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69.png" ContentType="image/png"/>
  <Override PartName="/word/media/rId74.png" ContentType="image/png"/>
  <Override PartName="/word/media/rId80.png" ContentType="image/png"/>
  <Override PartName="/word/media/rId30.png" ContentType="image/png"/>
  <Override PartName="/word/media/rId34.png" ContentType="image/png"/>
  <Override PartName="/word/media/rId53.png" ContentType="image/png"/>
  <Override PartName="/word/media/rId48.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f14d4e0d8a3b1450332d068859be55d5cda9c36"/>
    <w:p>
      <w:pPr>
        <w:pStyle w:val="Heading1"/>
      </w:pPr>
      <w:r>
        <w:t xml:space="preserve">Management domains and the International Union for Conservation of Nature (IUCN)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 Level 1 categories. The IUCN Level 2 categories fit well with corresponding management domains and legislative categories; however, could be grouped for simplicity and to be more intuitive (Figure</w:t>
      </w:r>
      <w:r>
        <w:t xml:space="preserve"> </w:t>
      </w:r>
      <w:r>
        <w:t xml:space="preserve">1</w:t>
      </w:r>
      <w:r>
        <w:t xml:space="preserve">). IUCN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 Level 1 categories: 2. Agriculture &amp; Aquaculture and 8. Invasive / Other Problematic Species, Genes &amp; Pathogens, but would be more specifically aligned with the IUCN Level 2 categories: 2.4 Marine &amp; Freshwater Aquaculture and 8.3 Introduced Genetic Material. 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 threat keywords to clauses; 4) assign salmon-specific scope categories; 5)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4"/>
    <w:bookmarkStart w:id="45"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6"/>
    <w:bookmarkEnd w:id="47"/>
    <w:bookmarkStart w:id="64" w:name="results"/>
    <w:p>
      <w:pPr>
        <w:pStyle w:val="Heading1"/>
      </w:pPr>
      <w:r>
        <w:t xml:space="preserve">Results</w:t>
      </w:r>
    </w:p>
    <w:bookmarkStart w:id="52"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End w:id="52"/>
    <w:bookmarkStart w:id="57" w:name="iucn-level-2-threats"/>
    <w:p>
      <w:pPr>
        <w:pStyle w:val="Heading2"/>
      </w:pPr>
      <w:r>
        <w:t xml:space="preserve">IUCN Level 2 threats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 threat category, separated by jurisdiction.</w:t>
      </w:r>
    </w:p>
    <w:bookmarkEnd w:id="57"/>
    <w:bookmarkStart w:id="63"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8" w:name="tab:scope-tally"/>
      <w:bookmarkEnd w:id="58"/>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0" name="Picture"/>
            <a:graphic>
              <a:graphicData uri="http://schemas.openxmlformats.org/drawingml/2006/picture">
                <pic:pic>
                  <pic:nvPicPr>
                    <pic:cNvPr descr="LAPSE_primary_publication_files/figure-docx/section-count-salmon-scope-1.png" id="61" name="Picture"/>
                    <pic:cNvPicPr>
                      <a:picLocks noChangeArrowheads="1" noChangeAspect="1"/>
                    </pic:cNvPicPr>
                  </pic:nvPicPr>
                  <pic:blipFill>
                    <a:blip r:embed="rId5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2" w:name="fig:section-count-salmon-scope"/>
      <w:bookmarkEnd w:id="62"/>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3"/>
    <w:bookmarkEnd w:id="64"/>
    <w:bookmarkStart w:id="66" w:name="clause-types-as-legislative-factors"/>
    <w:p>
      <w:pPr>
        <w:pStyle w:val="Heading1"/>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5" w:name="tab:clause-type-with-domain-tally"/>
      <w:bookmarkEnd w:id="65"/>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66"/>
    <w:bookmarkStart w:id="86"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03"/>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03"/>
        </w:numPr>
      </w:pPr>
      <w:r>
        <w:rPr>
          <w:b/>
          <w:bCs/>
        </w:rPr>
        <w:t xml:space="preserve">DG - Add this citation for this sentence</w:t>
      </w:r>
      <w:r>
        <w:rPr>
          <w:b/>
          <w:bCs/>
        </w:rPr>
        <w:t xml:space="preserve"> </w:t>
      </w:r>
      <w:hyperlink r:id="rId67">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04"/>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04"/>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68" w:name="tab:cu-species-cu-name-table"/>
      <w:bookmarkEnd w:id="68"/>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05"/>
        </w:numPr>
      </w:pPr>
      <w:r>
        <w:rPr>
          <w:b/>
          <w:bCs/>
        </w:rPr>
        <w:t xml:space="preserve">DG - I suggest adding a column that has the RPA citation that covers each group of DUs, since I don’t see the RPAs cited anywhere else.</w:t>
      </w:r>
    </w:p>
    <w:p>
      <w:pPr>
        <w:numPr>
          <w:ilvl w:val="0"/>
          <w:numId w:val="1005"/>
        </w:numPr>
      </w:pPr>
      <w:r>
        <w:rPr>
          <w:b/>
          <w:bCs/>
        </w:rPr>
        <w:t xml:space="preserve">DG - For consideration: mapping the CUs to their corresponding DUs in this table. The STREAM platform has a crosswalk for this.</w:t>
      </w:r>
    </w:p>
    <w:p>
      <w:pPr>
        <w:numPr>
          <w:ilvl w:val="0"/>
          <w:numId w:val="1005"/>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05"/>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06"/>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8: Conservation Unit count across IUCN threat categories and RPA threat rankings. Darker cells indicate more Conservation Units assessed at that threat level." title="" id="70" name="Picture"/>
            <a:graphic>
              <a:graphicData uri="http://schemas.openxmlformats.org/drawingml/2006/picture">
                <pic:pic>
                  <pic:nvPicPr>
                    <pic:cNvPr descr="LAPSE_primary_publication_files/figure-docx/cu-ranking-heatmap-1.png" id="71" name="Picture"/>
                    <pic:cNvPicPr>
                      <a:picLocks noChangeArrowheads="1" noChangeAspect="1"/>
                    </pic:cNvPicPr>
                  </pic:nvPicPr>
                  <pic:blipFill>
                    <a:blip r:embed="rId6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2" w:name="fig:cu-ranking-heatmap"/>
      <w:bookmarkEnd w:id="72"/>
      <w:r>
        <w:t xml:space="preserve">Figure 8: Conservation Unit count across IUCN threat categories and RPA threat rankings. Darker cells indicate more Conservation Units assessed at that threat level.</w:t>
      </w:r>
    </w:p>
    <w:p>
      <w:pPr>
        <w:numPr>
          <w:ilvl w:val="0"/>
          <w:numId w:val="1007"/>
        </w:numPr>
      </w:pPr>
      <w:r>
        <w:rPr>
          <w:b/>
          <w:bCs/>
        </w:rPr>
        <w:t xml:space="preserve">DG - It looks like the x-axis is organized alphabetically, causing some of the threats in categories 10 and 11 to be up at the top.</w:t>
      </w:r>
    </w:p>
    <w:p>
      <w:pPr>
        <w:numPr>
          <w:ilvl w:val="0"/>
          <w:numId w:val="1007"/>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78"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(2022a)</w:t>
      </w:r>
      <w:r>
        <w:t xml:space="preserve">]:</w:t>
      </w:r>
    </w:p>
    <w:p>
      <w:pPr>
        <w:numPr>
          <w:ilvl w:val="0"/>
          <w:numId w:val="1008"/>
        </w:numPr>
      </w:pPr>
      <w:r>
        <w:rPr>
          <w:b/>
          <w:bCs/>
        </w:rPr>
        <w:t xml:space="preserve">DG - Suggest using IUCN-CMP throughout if that’s what we’re starting with.</w:t>
      </w:r>
    </w:p>
    <w:p>
      <w:pPr>
        <w:numPr>
          <w:ilvl w:val="0"/>
          <w:numId w:val="1008"/>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08"/>
        </w:numPr>
      </w:pPr>
      <w:r>
        <w:rPr>
          <w:b/>
          <w:bCs/>
        </w:rPr>
        <w:t xml:space="preserve">DG - I suggest just citing the RES Docs instead of the SARs</w:t>
      </w:r>
    </w:p>
    <w:p>
      <w:pPr>
        <w:numPr>
          <w:ilvl w:val="0"/>
          <w:numId w:val="1008"/>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3" w:name="tab:cu-extreme-threat-table"/>
      <w:bookmarkEnd w:id="73"/>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9: Section counts by clause type for IUCN threat category 10.1 Geological Events." title="" id="75" name="Picture"/>
            <a:graphic>
              <a:graphicData uri="http://schemas.openxmlformats.org/drawingml/2006/picture">
                <pic:pic>
                  <pic:nvPicPr>
                    <pic:cNvPr descr="LAPSE_primary_publication_files/figure-docx/fig-clause-type-geological-events-1.png" id="76" name="Picture"/>
                    <pic:cNvPicPr>
                      <a:picLocks noChangeArrowheads="1" noChangeAspect="1"/>
                    </pic:cNvPicPr>
                  </pic:nvPicPr>
                  <pic:blipFill>
                    <a:blip r:embed="rId7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77" w:name="fig:fig-clause-type-geological-events"/>
      <w:bookmarkEnd w:id="77"/>
      <w:r>
        <w:t xml:space="preserve">Figure 9: Section counts by clause type for IUCN threat category 10.1 Geological Events.</w:t>
      </w:r>
    </w:p>
    <w:p>
      <w:pPr>
        <w:numPr>
          <w:ilvl w:val="0"/>
          <w:numId w:val="1009"/>
        </w:numPr>
      </w:pPr>
      <w:r>
        <w:rPr>
          <w:b/>
          <w:bCs/>
        </w:rPr>
        <w:t xml:space="preserve">DG - Could be helpful to note the different values on the x-axis between this and the next figure</w:t>
      </w:r>
    </w:p>
    <w:p>
      <w:pPr>
        <w:numPr>
          <w:ilvl w:val="0"/>
          <w:numId w:val="1009"/>
        </w:numPr>
      </w:pPr>
      <w:r>
        <w:rPr>
          <w:b/>
          <w:bCs/>
        </w:rPr>
        <w:t xml:space="preserve">Add more description of Big Bar slide</w:t>
      </w:r>
    </w:p>
    <w:p>
      <w:pPr>
        <w:numPr>
          <w:ilvl w:val="0"/>
          <w:numId w:val="1009"/>
        </w:numPr>
      </w:pPr>
      <w:r>
        <w:rPr>
          <w:b/>
          <w:bCs/>
        </w:rPr>
        <w:t xml:space="preserve">Comment on the most relevant legislation and why</w:t>
      </w:r>
    </w:p>
    <w:bookmarkEnd w:id="78"/>
    <w:bookmarkStart w:id="85"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10"/>
        </w:numPr>
      </w:pPr>
      <w:r>
        <w:rPr>
          <w:b/>
          <w:bCs/>
        </w:rPr>
        <w:t xml:space="preserve">DG - And 7.3 Other ecosystem modifications</w:t>
      </w:r>
    </w:p>
    <w:p>
      <w:pPr>
        <w:numPr>
          <w:ilvl w:val="0"/>
          <w:numId w:val="1010"/>
        </w:numPr>
      </w:pPr>
      <w:r>
        <w:rPr>
          <w:b/>
          <w:bCs/>
        </w:rPr>
        <w:t xml:space="preserve">DG - Likewise, this DU spawns in the South Thompson River watershed, so there’s an opportunity to make this description a bit more precise if wanted.</w:t>
      </w:r>
    </w:p>
    <w:p>
      <w:pPr>
        <w:pStyle w:val="TableCaption"/>
      </w:pPr>
      <w:bookmarkStart w:id="79" w:name="tab:cu-extreme-high-threat-table"/>
      <w:bookmarkEnd w:id="79"/>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1"/>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0: Section counts by clause type for IUCN threat category 7.2 Dams &amp; Water Management / Use." title="" id="81" name="Picture"/>
            <a:graphic>
              <a:graphicData uri="http://schemas.openxmlformats.org/drawingml/2006/picture">
                <pic:pic>
                  <pic:nvPicPr>
                    <pic:cNvPr descr="LAPSE_primary_publication_files/figure-docx/fig-clause-type-water-use-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3" w:name="fig:fig-clause-type-water-use"/>
      <w:bookmarkEnd w:id="83"/>
      <w:r>
        <w:t xml:space="preserve">Figure 10: Section counts by clause type for IUCN threat category 7.2 Dams &amp; Water Management / Use.</w:t>
      </w:r>
    </w:p>
    <w:p>
      <w:pPr>
        <w:numPr>
          <w:ilvl w:val="0"/>
          <w:numId w:val="1012"/>
        </w:numPr>
      </w:pPr>
      <w:r>
        <w:rPr>
          <w:b/>
          <w:bCs/>
        </w:rPr>
        <w:t xml:space="preserve">add more description of Bessette Creek</w:t>
      </w:r>
    </w:p>
    <w:p>
      <w:pPr>
        <w:numPr>
          <w:ilvl w:val="0"/>
          <w:numId w:val="1012"/>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4">
        <w:r>
          <w:rPr>
            <w:rStyle w:val="Hyperlink"/>
            <w:b/>
            <w:bCs/>
          </w:rPr>
          <w:t xml:space="preserve">Aquatic Report Catalogue</w:t>
        </w:r>
      </w:hyperlink>
    </w:p>
    <w:p>
      <w:pPr>
        <w:numPr>
          <w:ilvl w:val="0"/>
          <w:numId w:val="1012"/>
        </w:numPr>
      </w:pPr>
      <w:r>
        <w:rPr>
          <w:b/>
          <w:bCs/>
        </w:rPr>
        <w:t xml:space="preserve">Comment on the most relevant legislation and why</w:t>
      </w:r>
    </w:p>
    <w:p>
      <w:pPr>
        <w:numPr>
          <w:ilvl w:val="0"/>
          <w:numId w:val="1012"/>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13"/>
        </w:numPr>
      </w:pPr>
      <w:r>
        <w:rPr>
          <w:b/>
          <w:bCs/>
        </w:rPr>
        <w:t xml:space="preserve">The decision maker must consider the environmental flow needs of the stream (as outlined in the EFN Policy).</w:t>
      </w:r>
    </w:p>
    <w:p>
      <w:pPr>
        <w:numPr>
          <w:ilvl w:val="1"/>
          <w:numId w:val="1013"/>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85"/>
    <w:bookmarkEnd w:id="86"/>
    <w:bookmarkStart w:id="87"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87"/>
    <w:bookmarkStart w:id="89"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88"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14"/>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88"/>
    <w:bookmarkEnd w:id="89"/>
    <w:bookmarkStart w:id="167" w:name="references"/>
    <w:p>
      <w:pPr>
        <w:pStyle w:val="Heading1"/>
      </w:pPr>
      <w:r>
        <w:t xml:space="preserve">References</w:t>
      </w:r>
    </w:p>
    <w:bookmarkStart w:id="166" w:name="refs"/>
    <w:bookmarkStart w:id="90"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0"/>
    <w:bookmarkStart w:id="92"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1">
        <w:r>
          <w:rPr>
            <w:rStyle w:val="Hyperlink"/>
          </w:rPr>
          <w:t xml:space="preserve">10.1101/2024.12.01.626233</w:t>
        </w:r>
      </w:hyperlink>
      <w:r>
        <w:t xml:space="preserve">.</w:t>
      </w:r>
    </w:p>
    <w:bookmarkEnd w:id="92"/>
    <w:bookmarkStart w:id="94"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3">
        <w:r>
          <w:rPr>
            <w:rStyle w:val="Hyperlink"/>
          </w:rPr>
          <w:t xml:space="preserve">10.3390/su6096024</w:t>
        </w:r>
      </w:hyperlink>
      <w:r>
        <w:t xml:space="preserve">.</w:t>
      </w:r>
    </w:p>
    <w:bookmarkEnd w:id="94"/>
    <w:bookmarkStart w:id="95"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5"/>
    <w:bookmarkStart w:id="97"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96">
        <w:r>
          <w:rPr>
            <w:rStyle w:val="Hyperlink"/>
          </w:rPr>
          <w:t xml:space="preserve">10.5751/ES-02784-140145</w:t>
        </w:r>
      </w:hyperlink>
      <w:r>
        <w:t xml:space="preserve">.</w:t>
      </w:r>
    </w:p>
    <w:bookmarkEnd w:id="97"/>
    <w:bookmarkStart w:id="99"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98">
        <w:r>
          <w:rPr>
            <w:rStyle w:val="Hyperlink"/>
          </w:rPr>
          <w:t xml:space="preserve">10.1139/facets-2025-0031</w:t>
        </w:r>
      </w:hyperlink>
      <w:r>
        <w:t xml:space="preserve">.</w:t>
      </w:r>
    </w:p>
    <w:bookmarkEnd w:id="99"/>
    <w:bookmarkStart w:id="101"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0">
        <w:r>
          <w:rPr>
            <w:rStyle w:val="Hyperlink"/>
          </w:rPr>
          <w:t xml:space="preserve">10.3233/EPL-2002-32_5_13</w:t>
        </w:r>
      </w:hyperlink>
      <w:r>
        <w:t xml:space="preserve">.</w:t>
      </w:r>
    </w:p>
    <w:bookmarkEnd w:id="101"/>
    <w:bookmarkStart w:id="103"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2">
        <w:r>
          <w:rPr>
            <w:rStyle w:val="Hyperlink"/>
          </w:rPr>
          <w:t xml:space="preserve">https://www.canlii.org/</w:t>
        </w:r>
      </w:hyperlink>
      <w:r>
        <w:t xml:space="preserve"> </w:t>
      </w:r>
      <w:r>
        <w:t xml:space="preserve">[accessed 18 December 2025].</w:t>
      </w:r>
    </w:p>
    <w:bookmarkEnd w:id="103"/>
    <w:bookmarkStart w:id="105"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4">
        <w:r>
          <w:rPr>
            <w:rStyle w:val="Hyperlink"/>
          </w:rPr>
          <w:t xml:space="preserve">10.1111/1365-2664.14239</w:t>
        </w:r>
      </w:hyperlink>
      <w:r>
        <w:t xml:space="preserve">.</w:t>
      </w:r>
    </w:p>
    <w:bookmarkEnd w:id="105"/>
    <w:bookmarkStart w:id="107"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06">
        <w:r>
          <w:rPr>
            <w:rStyle w:val="Hyperlink"/>
          </w:rPr>
          <w:t xml:space="preserve">https://publications.gc.ca/collections/collection_2012/bcp-pco/CP32-93-2012-3-eng.pdf</w:t>
        </w:r>
      </w:hyperlink>
      <w:r>
        <w:t xml:space="preserve">.</w:t>
      </w:r>
    </w:p>
    <w:bookmarkEnd w:id="107"/>
    <w:bookmarkStart w:id="108"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08"/>
    <w:bookmarkStart w:id="110"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09">
        <w:r>
          <w:rPr>
            <w:rStyle w:val="Hyperlink"/>
          </w:rPr>
          <w:t xml:space="preserve">10.1016/j.tree.2014.12.004</w:t>
        </w:r>
      </w:hyperlink>
      <w:r>
        <w:t xml:space="preserve">.</w:t>
      </w:r>
    </w:p>
    <w:bookmarkEnd w:id="110"/>
    <w:bookmarkStart w:id="112"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1">
        <w:r>
          <w:rPr>
            <w:rStyle w:val="Hyperlink"/>
          </w:rPr>
          <w:t xml:space="preserve">10.1139/facets-2023-0204</w:t>
        </w:r>
      </w:hyperlink>
      <w:r>
        <w:t xml:space="preserve">.</w:t>
      </w:r>
    </w:p>
    <w:bookmarkEnd w:id="112"/>
    <w:bookmarkStart w:id="114"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3">
        <w:r>
          <w:rPr>
            <w:rStyle w:val="Hyperlink"/>
          </w:rPr>
          <w:t xml:space="preserve">https://www.justice.gc.ca/eng/rp-pr/csj-sjc/legis-redact/legistics/p3p1.html</w:t>
        </w:r>
      </w:hyperlink>
      <w:r>
        <w:t xml:space="preserve"> </w:t>
      </w:r>
      <w:r>
        <w:t xml:space="preserve">[accessed 18 December 2025].</w:t>
      </w:r>
    </w:p>
    <w:bookmarkEnd w:id="114"/>
    <w:bookmarkStart w:id="116"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5">
        <w:r>
          <w:rPr>
            <w:rStyle w:val="Hyperlink"/>
          </w:rPr>
          <w:t xml:space="preserve">https://laws-lois.justice.gc.ca/PDF/tops/eng/TOPS.pdf</w:t>
        </w:r>
      </w:hyperlink>
      <w:r>
        <w:t xml:space="preserve"> </w:t>
      </w:r>
      <w:r>
        <w:t xml:space="preserve">[accessed 13 January 2026].</w:t>
      </w:r>
    </w:p>
    <w:bookmarkEnd w:id="116"/>
    <w:bookmarkStart w:id="118"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17">
        <w:r>
          <w:rPr>
            <w:rStyle w:val="Hyperlink"/>
          </w:rPr>
          <w:t xml:space="preserve">https://waves-vagues.dfo-mpo.gc.ca/library-bibliotheque/315577.pdf</w:t>
        </w:r>
      </w:hyperlink>
      <w:r>
        <w:t xml:space="preserve">.</w:t>
      </w:r>
    </w:p>
    <w:bookmarkEnd w:id="118"/>
    <w:bookmarkStart w:id="120"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19">
        <w:r>
          <w:rPr>
            <w:rStyle w:val="Hyperlink"/>
          </w:rPr>
          <w:t xml:space="preserve">https://waves-vagues.dfo-mpo.gc.ca/library-bibliotheque/41031209.pdf</w:t>
        </w:r>
      </w:hyperlink>
      <w:r>
        <w:t xml:space="preserve">.</w:t>
      </w:r>
    </w:p>
    <w:bookmarkEnd w:id="120"/>
    <w:bookmarkStart w:id="122"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21">
        <w:r>
          <w:rPr>
            <w:rStyle w:val="Hyperlink"/>
          </w:rPr>
          <w:t xml:space="preserve">https://www.dfo-mpo.gc.ca/fisheries-peches/ifmp-gmp/salmon-saumon/2024/okanagan-2024-eng.html</w:t>
        </w:r>
      </w:hyperlink>
      <w:r>
        <w:t xml:space="preserve">.</w:t>
      </w:r>
    </w:p>
    <w:bookmarkEnd w:id="122"/>
    <w:bookmarkStart w:id="124"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23">
        <w:r>
          <w:rPr>
            <w:rStyle w:val="Hyperlink"/>
          </w:rPr>
          <w:t xml:space="preserve">https://www.dfo-mpo.gc.ca/reports-rapports/regs/sff-cpd/precautionary-precaution-eng.htm</w:t>
        </w:r>
      </w:hyperlink>
      <w:r>
        <w:t xml:space="preserve">.</w:t>
      </w:r>
    </w:p>
    <w:bookmarkEnd w:id="124"/>
    <w:bookmarkStart w:id="126"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25">
        <w:r>
          <w:rPr>
            <w:rStyle w:val="Hyperlink"/>
          </w:rPr>
          <w:t xml:space="preserve">https://www.pac.dfo-mpo.gc.ca/fm-gp/salmon-saumon/docs/trilat-agreement-accord/declaration-eng.html</w:t>
        </w:r>
      </w:hyperlink>
      <w:r>
        <w:t xml:space="preserve">.</w:t>
      </w:r>
    </w:p>
    <w:bookmarkEnd w:id="126"/>
    <w:bookmarkStart w:id="127"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27"/>
    <w:bookmarkStart w:id="128"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8"/>
    <w:bookmarkStart w:id="129"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9"/>
    <w:bookmarkStart w:id="131"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0">
        <w:r>
          <w:rPr>
            <w:rStyle w:val="Hyperlink"/>
          </w:rPr>
          <w:t xml:space="preserve">https://www.bclaws.gov.bc.ca/civix/document/id/complete/statreg/02069_01</w:t>
        </w:r>
      </w:hyperlink>
      <w:r>
        <w:t xml:space="preserve">.</w:t>
      </w:r>
    </w:p>
    <w:bookmarkEnd w:id="131"/>
    <w:bookmarkStart w:id="133"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2">
        <w:r>
          <w:rPr>
            <w:rStyle w:val="Hyperlink"/>
          </w:rPr>
          <w:t xml:space="preserve">https://waves-vagues.dfo-mpo.gc.ca/library-bibliotheque/40807071.pdf</w:t>
        </w:r>
      </w:hyperlink>
      <w:r>
        <w:t xml:space="preserve">.</w:t>
      </w:r>
    </w:p>
    <w:bookmarkEnd w:id="133"/>
    <w:bookmarkStart w:id="135"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4">
        <w:r>
          <w:rPr>
            <w:rStyle w:val="Hyperlink"/>
          </w:rPr>
          <w:t xml:space="preserve">10.1139/facets-2020-0084</w:t>
        </w:r>
      </w:hyperlink>
      <w:r>
        <w:t xml:space="preserve">.</w:t>
      </w:r>
    </w:p>
    <w:bookmarkEnd w:id="135"/>
    <w:bookmarkStart w:id="136"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6"/>
    <w:bookmarkStart w:id="138"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7">
        <w:r>
          <w:rPr>
            <w:rStyle w:val="Hyperlink"/>
          </w:rPr>
          <w:t xml:space="preserve">10.1016/j.biocon.2013.07.006</w:t>
        </w:r>
      </w:hyperlink>
      <w:r>
        <w:t xml:space="preserve">.</w:t>
      </w:r>
    </w:p>
    <w:bookmarkEnd w:id="138"/>
    <w:bookmarkStart w:id="140"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39">
        <w:r>
          <w:rPr>
            <w:rStyle w:val="Hyperlink"/>
          </w:rPr>
          <w:t xml:space="preserve">https://publications.gc.ca/collections/collection_2021/parl/xc51-1/XC51-1-1-432-5-eng.pdf</w:t>
        </w:r>
      </w:hyperlink>
      <w:r>
        <w:t xml:space="preserve">.</w:t>
      </w:r>
    </w:p>
    <w:bookmarkEnd w:id="140"/>
    <w:bookmarkStart w:id="142"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1">
        <w:r>
          <w:rPr>
            <w:rStyle w:val="Hyperlink"/>
          </w:rPr>
          <w:t xml:space="preserve">https://laws-lois.justice.gc.ca/PDF/F-14.pdf</w:t>
        </w:r>
      </w:hyperlink>
      <w:r>
        <w:t xml:space="preserve">.</w:t>
      </w:r>
    </w:p>
    <w:bookmarkEnd w:id="142"/>
    <w:bookmarkStart w:id="144"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3">
        <w:r>
          <w:rPr>
            <w:rStyle w:val="Hyperlink"/>
          </w:rPr>
          <w:t xml:space="preserve">10.1111/faf.70027</w:t>
        </w:r>
      </w:hyperlink>
      <w:r>
        <w:t xml:space="preserve">.</w:t>
      </w:r>
    </w:p>
    <w:bookmarkEnd w:id="144"/>
    <w:bookmarkStart w:id="146"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5">
        <w:r>
          <w:rPr>
            <w:rStyle w:val="Hyperlink"/>
          </w:rPr>
          <w:t xml:space="preserve">10.1139/cjfas-2017-0127</w:t>
        </w:r>
      </w:hyperlink>
      <w:r>
        <w:t xml:space="preserve">.</w:t>
      </w:r>
    </w:p>
    <w:bookmarkEnd w:id="146"/>
    <w:bookmarkStart w:id="148"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47">
        <w:r>
          <w:rPr>
            <w:rStyle w:val="Hyperlink"/>
          </w:rPr>
          <w:t xml:space="preserve">https://www.bclaws.gov.bc.ca/civix/content/amr/amr/2067365574/?xsl=/templates/browse.xsl</w:t>
        </w:r>
      </w:hyperlink>
      <w:r>
        <w:t xml:space="preserve">.</w:t>
      </w:r>
    </w:p>
    <w:bookmarkEnd w:id="148"/>
    <w:bookmarkStart w:id="150"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49">
        <w:r>
          <w:rPr>
            <w:rStyle w:val="Hyperlink"/>
          </w:rPr>
          <w:t xml:space="preserve">10.1139/facets-2020-0075</w:t>
        </w:r>
      </w:hyperlink>
      <w:r>
        <w:t xml:space="preserve">.</w:t>
      </w:r>
    </w:p>
    <w:bookmarkEnd w:id="150"/>
    <w:bookmarkStart w:id="152"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51">
        <w:r>
          <w:rPr>
            <w:rStyle w:val="Hyperlink"/>
          </w:rPr>
          <w:t xml:space="preserve">10.1111/cobi.14434</w:t>
        </w:r>
      </w:hyperlink>
      <w:r>
        <w:t xml:space="preserve">.</w:t>
      </w:r>
    </w:p>
    <w:bookmarkEnd w:id="152"/>
    <w:bookmarkStart w:id="154"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3">
        <w:r>
          <w:rPr>
            <w:rStyle w:val="Hyperlink"/>
          </w:rPr>
          <w:t xml:space="preserve">10.1111/j.1523-1739.2008.00937.x</w:t>
        </w:r>
      </w:hyperlink>
      <w:r>
        <w:t xml:space="preserve">.</w:t>
      </w:r>
    </w:p>
    <w:bookmarkEnd w:id="154"/>
    <w:bookmarkStart w:id="156"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5">
        <w:r>
          <w:rPr>
            <w:rStyle w:val="Hyperlink"/>
          </w:rPr>
          <w:t xml:space="preserve">10.1139/facets-2022-0095</w:t>
        </w:r>
      </w:hyperlink>
      <w:r>
        <w:t xml:space="preserve">.</w:t>
      </w:r>
    </w:p>
    <w:bookmarkEnd w:id="156"/>
    <w:bookmarkStart w:id="157"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57"/>
    <w:bookmarkStart w:id="159"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8">
        <w:r>
          <w:rPr>
            <w:rStyle w:val="Hyperlink"/>
          </w:rPr>
          <w:t xml:space="preserve">10.1139/facets-2020-0064</w:t>
        </w:r>
      </w:hyperlink>
      <w:r>
        <w:t xml:space="preserve">.</w:t>
      </w:r>
    </w:p>
    <w:bookmarkEnd w:id="159"/>
    <w:bookmarkStart w:id="161"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0">
        <w:r>
          <w:rPr>
            <w:rStyle w:val="Hyperlink"/>
          </w:rPr>
          <w:t xml:space="preserve">10.1139/facets-2024-0348</w:t>
        </w:r>
      </w:hyperlink>
      <w:r>
        <w:t xml:space="preserve">.</w:t>
      </w:r>
    </w:p>
    <w:bookmarkEnd w:id="161"/>
    <w:bookmarkStart w:id="163"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62">
        <w:r>
          <w:rPr>
            <w:rStyle w:val="Hyperlink"/>
          </w:rPr>
          <w:t xml:space="preserve">10.32614/CRAN.package.rvest</w:t>
        </w:r>
      </w:hyperlink>
      <w:r>
        <w:t xml:space="preserve">.</w:t>
      </w:r>
    </w:p>
    <w:bookmarkEnd w:id="163"/>
    <w:bookmarkStart w:id="165"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64">
        <w:r>
          <w:rPr>
            <w:rStyle w:val="Hyperlink"/>
          </w:rPr>
          <w:t xml:space="preserve">10.32614/CRAN.package.udpipe</w:t>
        </w:r>
      </w:hyperlink>
      <w:r>
        <w:t xml:space="preserve">.</w:t>
      </w:r>
    </w:p>
    <w:bookmarkEnd w:id="165"/>
    <w:bookmarkEnd w:id="166"/>
    <w:bookmarkEnd w:id="167"/>
    <w:bookmarkStart w:id="168" w:name="supplementary-material"/>
    <w:p>
      <w:pPr>
        <w:pStyle w:val="Heading1"/>
      </w:pPr>
      <w:r>
        <w:t xml:space="preserve">Supplementary material</w:t>
      </w:r>
    </w:p>
    <w:p>
      <w:pPr>
        <w:pStyle w:val="Compact"/>
        <w:numPr>
          <w:ilvl w:val="0"/>
          <w:numId w:val="1015"/>
        </w:numPr>
      </w:pPr>
      <w:r>
        <w:rPr>
          <w:b/>
          <w:bCs/>
        </w:rPr>
        <w:t xml:space="preserve">Links or downloads for the LAPSE tool materials (app etc.)</w:t>
      </w:r>
    </w:p>
    <w:bookmarkEnd w:id="168"/>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hyperlink" Id="rId84" Target="https://a100.gov.bc.ca/pub/acat/public/viewReport.do?reportId=59109" TargetMode="External" /><Relationship Type="http://schemas.openxmlformats.org/officeDocument/2006/relationships/hyperlink" Id="rId67" Target="https://cosewic.ca/index.php/en/reports/preparing-status-reports/guidelines-recognizing-designatable-units.html" TargetMode="External" /><Relationship Type="http://schemas.openxmlformats.org/officeDocument/2006/relationships/hyperlink" Id="rId137" Target="https://doi.org/10.1016/j.biocon.2013.07.006" TargetMode="External" /><Relationship Type="http://schemas.openxmlformats.org/officeDocument/2006/relationships/hyperlink" Id="rId109" Target="https://doi.org/10.1016/j.tree.2014.12.004" TargetMode="External" /><Relationship Type="http://schemas.openxmlformats.org/officeDocument/2006/relationships/hyperlink" Id="rId91" Target="https://doi.org/10.1101/2024.12.01.626233" TargetMode="External" /><Relationship Type="http://schemas.openxmlformats.org/officeDocument/2006/relationships/hyperlink" Id="rId104" Target="https://doi.org/10.1111/1365-2664.14239" TargetMode="External" /><Relationship Type="http://schemas.openxmlformats.org/officeDocument/2006/relationships/hyperlink" Id="rId151" Target="https://doi.org/10.1111/cobi.14434" TargetMode="External" /><Relationship Type="http://schemas.openxmlformats.org/officeDocument/2006/relationships/hyperlink" Id="rId143" Target="https://doi.org/10.1111/faf.70027" TargetMode="External" /><Relationship Type="http://schemas.openxmlformats.org/officeDocument/2006/relationships/hyperlink" Id="rId153" Target="https://doi.org/10.1111/j.1523-1739.2008.00937.x" TargetMode="External" /><Relationship Type="http://schemas.openxmlformats.org/officeDocument/2006/relationships/hyperlink" Id="rId145" Target="https://doi.org/10.1139/cjfas-2017-0127" TargetMode="External" /><Relationship Type="http://schemas.openxmlformats.org/officeDocument/2006/relationships/hyperlink" Id="rId158" Target="https://doi.org/10.1139/facets-2020-0064" TargetMode="External" /><Relationship Type="http://schemas.openxmlformats.org/officeDocument/2006/relationships/hyperlink" Id="rId149" Target="https://doi.org/10.1139/facets-2020-0075" TargetMode="External" /><Relationship Type="http://schemas.openxmlformats.org/officeDocument/2006/relationships/hyperlink" Id="rId134" Target="https://doi.org/10.1139/facets-2020-0084" TargetMode="External" /><Relationship Type="http://schemas.openxmlformats.org/officeDocument/2006/relationships/hyperlink" Id="rId155" Target="https://doi.org/10.1139/facets-2022-0095" TargetMode="External" /><Relationship Type="http://schemas.openxmlformats.org/officeDocument/2006/relationships/hyperlink" Id="rId111" Target="https://doi.org/10.1139/facets-2023-0204" TargetMode="External" /><Relationship Type="http://schemas.openxmlformats.org/officeDocument/2006/relationships/hyperlink" Id="rId160" Target="https://doi.org/10.1139/facets-2024-0348" TargetMode="External" /><Relationship Type="http://schemas.openxmlformats.org/officeDocument/2006/relationships/hyperlink" Id="rId98" Target="https://doi.org/10.1139/facets-2025-0031" TargetMode="External" /><Relationship Type="http://schemas.openxmlformats.org/officeDocument/2006/relationships/hyperlink" Id="rId100" Target="https://doi.org/10.3233/EPL-2002-32_5_13" TargetMode="External" /><Relationship Type="http://schemas.openxmlformats.org/officeDocument/2006/relationships/hyperlink" Id="rId162" Target="https://doi.org/10.32614/CRAN.package.rvest" TargetMode="External" /><Relationship Type="http://schemas.openxmlformats.org/officeDocument/2006/relationships/hyperlink" Id="rId164" Target="https://doi.org/10.32614/CRAN.package.udpipe" TargetMode="External" /><Relationship Type="http://schemas.openxmlformats.org/officeDocument/2006/relationships/hyperlink" Id="rId93" Target="https://doi.org/10.3390/su6096024" TargetMode="External" /><Relationship Type="http://schemas.openxmlformats.org/officeDocument/2006/relationships/hyperlink" Id="rId96" Target="https://doi.org/10.5751/ES-02784-140145" TargetMode="External" /><Relationship Type="http://schemas.openxmlformats.org/officeDocument/2006/relationships/hyperlink" Id="rId141" Target="https://laws-lois.justice.gc.ca/PDF/F-14.pdf" TargetMode="External" /><Relationship Type="http://schemas.openxmlformats.org/officeDocument/2006/relationships/hyperlink" Id="rId115" Target="https://laws-lois.justice.gc.ca/PDF/tops/eng/TOPS.pdf" TargetMode="External" /><Relationship Type="http://schemas.openxmlformats.org/officeDocument/2006/relationships/hyperlink" Id="rId106" Target="https://publications.gc.ca/collections/collection_2012/bcp-pco/CP32-93-2012-3-eng.pdf" TargetMode="External" /><Relationship Type="http://schemas.openxmlformats.org/officeDocument/2006/relationships/hyperlink" Id="rId139" Target="https://publications.gc.ca/collections/collection_2021/parl/xc51-1/XC51-1-1-432-5-eng.pdf" TargetMode="External" /><Relationship Type="http://schemas.openxmlformats.org/officeDocument/2006/relationships/hyperlink" Id="rId117" Target="https://waves-vagues.dfo-mpo.gc.ca/library-bibliotheque/315577.pdf" TargetMode="External" /><Relationship Type="http://schemas.openxmlformats.org/officeDocument/2006/relationships/hyperlink" Id="rId132" Target="https://waves-vagues.dfo-mpo.gc.ca/library-bibliotheque/40807071.pdf" TargetMode="External" /><Relationship Type="http://schemas.openxmlformats.org/officeDocument/2006/relationships/hyperlink" Id="rId119" Target="https://waves-vagues.dfo-mpo.gc.ca/library-bibliotheque/41031209.pdf" TargetMode="External" /><Relationship Type="http://schemas.openxmlformats.org/officeDocument/2006/relationships/hyperlink" Id="rId147" Target="https://www.bclaws.gov.bc.ca/civix/content/amr/amr/2067365574/?xsl=/templates/browse.xsl" TargetMode="External" /><Relationship Type="http://schemas.openxmlformats.org/officeDocument/2006/relationships/hyperlink" Id="rId130" Target="https://www.bclaws.gov.bc.ca/civix/document/id/complete/statreg/02069_01" TargetMode="External" /><Relationship Type="http://schemas.openxmlformats.org/officeDocument/2006/relationships/hyperlink" Id="rId102" Target="https://www.canlii.org/" TargetMode="External" /><Relationship Type="http://schemas.openxmlformats.org/officeDocument/2006/relationships/hyperlink" Id="rId121" Target="https://www.dfo-mpo.gc.ca/fisheries-peches/ifmp-gmp/salmon-saumon/2024/okanagan-2024-eng.html" TargetMode="External" /><Relationship Type="http://schemas.openxmlformats.org/officeDocument/2006/relationships/hyperlink" Id="rId123" Target="https://www.dfo-mpo.gc.ca/reports-rapports/regs/sff-cpd/precautionary-precaution-eng.htm" TargetMode="External" /><Relationship Type="http://schemas.openxmlformats.org/officeDocument/2006/relationships/hyperlink" Id="rId113" Target="https://www.justice.gc.ca/eng/rp-pr/csj-sjc/legis-redact/legistics/p3p1.html" TargetMode="External" /><Relationship Type="http://schemas.openxmlformats.org/officeDocument/2006/relationships/hyperlink" Id="rId125"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4" Target="https://a100.gov.bc.ca/pub/acat/public/viewReport.do?reportId=59109" TargetMode="External" /><Relationship Type="http://schemas.openxmlformats.org/officeDocument/2006/relationships/hyperlink" Id="rId67" Target="https://cosewic.ca/index.php/en/reports/preparing-status-reports/guidelines-recognizing-designatable-units.html" TargetMode="External" /><Relationship Type="http://schemas.openxmlformats.org/officeDocument/2006/relationships/hyperlink" Id="rId137" Target="https://doi.org/10.1016/j.biocon.2013.07.006" TargetMode="External" /><Relationship Type="http://schemas.openxmlformats.org/officeDocument/2006/relationships/hyperlink" Id="rId109" Target="https://doi.org/10.1016/j.tree.2014.12.004" TargetMode="External" /><Relationship Type="http://schemas.openxmlformats.org/officeDocument/2006/relationships/hyperlink" Id="rId91" Target="https://doi.org/10.1101/2024.12.01.626233" TargetMode="External" /><Relationship Type="http://schemas.openxmlformats.org/officeDocument/2006/relationships/hyperlink" Id="rId104" Target="https://doi.org/10.1111/1365-2664.14239" TargetMode="External" /><Relationship Type="http://schemas.openxmlformats.org/officeDocument/2006/relationships/hyperlink" Id="rId151" Target="https://doi.org/10.1111/cobi.14434" TargetMode="External" /><Relationship Type="http://schemas.openxmlformats.org/officeDocument/2006/relationships/hyperlink" Id="rId143" Target="https://doi.org/10.1111/faf.70027" TargetMode="External" /><Relationship Type="http://schemas.openxmlformats.org/officeDocument/2006/relationships/hyperlink" Id="rId153" Target="https://doi.org/10.1111/j.1523-1739.2008.00937.x" TargetMode="External" /><Relationship Type="http://schemas.openxmlformats.org/officeDocument/2006/relationships/hyperlink" Id="rId145" Target="https://doi.org/10.1139/cjfas-2017-0127" TargetMode="External" /><Relationship Type="http://schemas.openxmlformats.org/officeDocument/2006/relationships/hyperlink" Id="rId158" Target="https://doi.org/10.1139/facets-2020-0064" TargetMode="External" /><Relationship Type="http://schemas.openxmlformats.org/officeDocument/2006/relationships/hyperlink" Id="rId149" Target="https://doi.org/10.1139/facets-2020-0075" TargetMode="External" /><Relationship Type="http://schemas.openxmlformats.org/officeDocument/2006/relationships/hyperlink" Id="rId134" Target="https://doi.org/10.1139/facets-2020-0084" TargetMode="External" /><Relationship Type="http://schemas.openxmlformats.org/officeDocument/2006/relationships/hyperlink" Id="rId155" Target="https://doi.org/10.1139/facets-2022-0095" TargetMode="External" /><Relationship Type="http://schemas.openxmlformats.org/officeDocument/2006/relationships/hyperlink" Id="rId111" Target="https://doi.org/10.1139/facets-2023-0204" TargetMode="External" /><Relationship Type="http://schemas.openxmlformats.org/officeDocument/2006/relationships/hyperlink" Id="rId160" Target="https://doi.org/10.1139/facets-2024-0348" TargetMode="External" /><Relationship Type="http://schemas.openxmlformats.org/officeDocument/2006/relationships/hyperlink" Id="rId98" Target="https://doi.org/10.1139/facets-2025-0031" TargetMode="External" /><Relationship Type="http://schemas.openxmlformats.org/officeDocument/2006/relationships/hyperlink" Id="rId100" Target="https://doi.org/10.3233/EPL-2002-32_5_13" TargetMode="External" /><Relationship Type="http://schemas.openxmlformats.org/officeDocument/2006/relationships/hyperlink" Id="rId162" Target="https://doi.org/10.32614/CRAN.package.rvest" TargetMode="External" /><Relationship Type="http://schemas.openxmlformats.org/officeDocument/2006/relationships/hyperlink" Id="rId164" Target="https://doi.org/10.32614/CRAN.package.udpipe" TargetMode="External" /><Relationship Type="http://schemas.openxmlformats.org/officeDocument/2006/relationships/hyperlink" Id="rId93" Target="https://doi.org/10.3390/su6096024" TargetMode="External" /><Relationship Type="http://schemas.openxmlformats.org/officeDocument/2006/relationships/hyperlink" Id="rId96" Target="https://doi.org/10.5751/ES-02784-140145" TargetMode="External" /><Relationship Type="http://schemas.openxmlformats.org/officeDocument/2006/relationships/hyperlink" Id="rId141" Target="https://laws-lois.justice.gc.ca/PDF/F-14.pdf" TargetMode="External" /><Relationship Type="http://schemas.openxmlformats.org/officeDocument/2006/relationships/hyperlink" Id="rId115" Target="https://laws-lois.justice.gc.ca/PDF/tops/eng/TOPS.pdf" TargetMode="External" /><Relationship Type="http://schemas.openxmlformats.org/officeDocument/2006/relationships/hyperlink" Id="rId106" Target="https://publications.gc.ca/collections/collection_2012/bcp-pco/CP32-93-2012-3-eng.pdf" TargetMode="External" /><Relationship Type="http://schemas.openxmlformats.org/officeDocument/2006/relationships/hyperlink" Id="rId139" Target="https://publications.gc.ca/collections/collection_2021/parl/xc51-1/XC51-1-1-432-5-eng.pdf" TargetMode="External" /><Relationship Type="http://schemas.openxmlformats.org/officeDocument/2006/relationships/hyperlink" Id="rId117" Target="https://waves-vagues.dfo-mpo.gc.ca/library-bibliotheque/315577.pdf" TargetMode="External" /><Relationship Type="http://schemas.openxmlformats.org/officeDocument/2006/relationships/hyperlink" Id="rId132" Target="https://waves-vagues.dfo-mpo.gc.ca/library-bibliotheque/40807071.pdf" TargetMode="External" /><Relationship Type="http://schemas.openxmlformats.org/officeDocument/2006/relationships/hyperlink" Id="rId119" Target="https://waves-vagues.dfo-mpo.gc.ca/library-bibliotheque/41031209.pdf" TargetMode="External" /><Relationship Type="http://schemas.openxmlformats.org/officeDocument/2006/relationships/hyperlink" Id="rId147" Target="https://www.bclaws.gov.bc.ca/civix/content/amr/amr/2067365574/?xsl=/templates/browse.xsl" TargetMode="External" /><Relationship Type="http://schemas.openxmlformats.org/officeDocument/2006/relationships/hyperlink" Id="rId130" Target="https://www.bclaws.gov.bc.ca/civix/document/id/complete/statreg/02069_01" TargetMode="External" /><Relationship Type="http://schemas.openxmlformats.org/officeDocument/2006/relationships/hyperlink" Id="rId102" Target="https://www.canlii.org/" TargetMode="External" /><Relationship Type="http://schemas.openxmlformats.org/officeDocument/2006/relationships/hyperlink" Id="rId121" Target="https://www.dfo-mpo.gc.ca/fisheries-peches/ifmp-gmp/salmon-saumon/2024/okanagan-2024-eng.html" TargetMode="External" /><Relationship Type="http://schemas.openxmlformats.org/officeDocument/2006/relationships/hyperlink" Id="rId123" Target="https://www.dfo-mpo.gc.ca/reports-rapports/regs/sff-cpd/precautionary-precaution-eng.htm" TargetMode="External" /><Relationship Type="http://schemas.openxmlformats.org/officeDocument/2006/relationships/hyperlink" Id="rId113" Target="https://www.justice.gc.ca/eng/rp-pr/csj-sjc/legis-redact/legistics/p3p1.html" TargetMode="External" /><Relationship Type="http://schemas.openxmlformats.org/officeDocument/2006/relationships/hyperlink" Id="rId125"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2026-01-23T19:44:07Z</dcterms:created>
  <dcterms:modified xsi:type="dcterms:W3CDTF">2026-01-23T19:44:07Z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2026-01-23</vt:lpwstr>
  </property>
  <property fmtid="{D5CDD505-2E9C-101B-9397-08002B2CF9AE}" pid="5" name="language">
    <vt:lpwstr/>
  </property>
  <property fmtid="{D5CDD505-2E9C-101B-9397-08002B2CF9AE}" pid="6" name="output">
    <vt:lpwstr/>
  </property>
</Properties>
</file>