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media/rId41.png" ContentType="image/png"/>
  <Override PartName="/word/media/rId26.png" ContentType="image/png"/>
  <Override PartName="/word/media/rId74.png" ContentType="image/png"/>
  <Override PartName="/word/media/rId79.png" ContentType="image/png"/>
  <Override PartName="/word/media/rId85.png" ContentType="image/png"/>
  <Override PartName="/word/media/rId31.png" ContentType="image/png"/>
  <Override PartName="/word/media/rId35.png" ContentType="image/png"/>
  <Override PartName="/word/media/rId54.png" ContentType="image/png"/>
  <Override PartName="/word/media/rId59.png" ContentType="image/png"/>
  <Override PartName="/word/media/rId5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interface</w:t>
      </w:r>
      <w:r>
        <w:t xml:space="preserve"> </w:t>
      </w:r>
      <w:r>
        <w:t xml:space="preserve">between</w:t>
      </w:r>
      <w:r>
        <w:t xml:space="preserve"> </w:t>
      </w:r>
      <w:r>
        <w:t xml:space="preserve">statutes</w:t>
      </w:r>
      <w:r>
        <w:t xml:space="preserve"> </w:t>
      </w:r>
      <w:r>
        <w:t xml:space="preserve">and</w:t>
      </w:r>
      <w:r>
        <w:t xml:space="preserve"> </w:t>
      </w:r>
      <w:r>
        <w:t xml:space="preserve">salmon:</w:t>
      </w:r>
      <w:r>
        <w:t xml:space="preserve"> </w:t>
      </w:r>
      <w:r>
        <w:t xml:space="preserve">the</w:t>
      </w:r>
      <w:r>
        <w:t xml:space="preserve"> </w:t>
      </w:r>
      <w:r>
        <w:t xml:space="preserve">Legislation</w:t>
      </w:r>
      <w:r>
        <w:t xml:space="preserve"> </w:t>
      </w:r>
      <w:r>
        <w:t xml:space="preserve">Applicable</w:t>
      </w:r>
      <w:r>
        <w:t xml:space="preserve"> </w:t>
      </w:r>
      <w:r>
        <w:t xml:space="preserve">to</w:t>
      </w:r>
      <w:r>
        <w:t xml:space="preserve"> </w:t>
      </w:r>
      <w:r>
        <w:t xml:space="preserve">Pacific</w:t>
      </w:r>
      <w:r>
        <w:t xml:space="preserve"> </w:t>
      </w:r>
      <w:r>
        <w:t xml:space="preserve">Salmon</w:t>
      </w:r>
      <w:r>
        <w:t xml:space="preserve"> </w:t>
      </w:r>
      <w:r>
        <w:t xml:space="preserve">and</w:t>
      </w:r>
      <w:r>
        <w:t xml:space="preserve"> </w:t>
      </w:r>
      <w:r>
        <w:t xml:space="preserve">Ecosystems</w:t>
      </w:r>
      <w:r>
        <w:t xml:space="preserve"> </w:t>
      </w:r>
      <w:r>
        <w:t xml:space="preserve">(LAPSE)</w:t>
      </w:r>
      <w:r>
        <w:t xml:space="preserve"> </w:t>
      </w:r>
      <w:r>
        <w:t xml:space="preserve">framework</w:t>
      </w:r>
    </w:p>
    <w:p>
      <w:pPr>
        <w:pStyle w:val="Author"/>
      </w:pPr>
      <w:r>
        <w:t xml:space="preserve">Joe</w:t>
      </w:r>
      <w:r>
        <w:t xml:space="preserve"> </w:t>
      </w:r>
      <w:r>
        <w:t xml:space="preserve">Enns,</w:t>
      </w:r>
      <w:r>
        <w:t xml:space="preserve"> </w:t>
      </w:r>
      <w:r>
        <w:t xml:space="preserve">Cory</w:t>
      </w:r>
      <w:r>
        <w:t xml:space="preserve"> </w:t>
      </w:r>
      <w:r>
        <w:t xml:space="preserve">Lagasse,</w:t>
      </w:r>
      <w:r>
        <w:t xml:space="preserve"> </w:t>
      </w:r>
      <w:r>
        <w:t xml:space="preserve">Daniel</w:t>
      </w:r>
      <w:r>
        <w:t xml:space="preserve"> </w:t>
      </w:r>
      <w:r>
        <w:t xml:space="preserve">Gillis,</w:t>
      </w:r>
      <w:r>
        <w:t xml:space="preserve"> </w:t>
      </w:r>
      <w:r>
        <w:t xml:space="preserve">Marina</w:t>
      </w:r>
      <w:r>
        <w:t xml:space="preserve"> </w:t>
      </w:r>
      <w:r>
        <w:t xml:space="preserve">Wright</w:t>
      </w:r>
    </w:p>
    <w:p>
      <w:pPr>
        <w:pStyle w:val="Date"/>
      </w:pPr>
      <w:r>
        <w:t xml:space="preserve">2026-01-22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t xml:space="preserve">Introduction</w:t>
      </w:r>
    </w:p>
    <w:bookmarkStart w:id="20" w:name="X23eb75eb73759b85a41a4830e98a3f1b0635388"/>
    <w:p>
      <w:pPr>
        <w:pStyle w:val="Heading2"/>
      </w:pPr>
      <w:r>
        <w:t xml:space="preserve">The patchwork of Pacific salmon governance in Canada</w:t>
      </w:r>
    </w:p>
    <w:p>
      <w:pPr>
        <w:pStyle w:val="FirstParagraph"/>
      </w:pPr>
      <w:r>
        <w:t xml:space="preserve">Eurocentric colonial stewardship of natural resources in Canada is administered through a decentralized, multi-sector array of federal, provincial, and territorial constitutional authority</w:t>
      </w:r>
      <w:r>
        <w:t xml:space="preserve"> </w:t>
      </w:r>
      <w:r>
        <w:t xml:space="preserve">(Campbell and Thomas 2002; Ray et al. 2021)</w:t>
      </w:r>
      <w:r>
        <w:t xml:space="preserve">. Stemming from the</w:t>
      </w:r>
      <w:r>
        <w:t xml:space="preserve"> </w:t>
      </w:r>
      <w:r>
        <w:rPr>
          <w:i/>
          <w:iCs/>
        </w:rPr>
        <w:t xml:space="preserve">Constitution Act</w:t>
      </w:r>
      <w:r>
        <w:t xml:space="preserve">, legislative control over fisheries and ecological stewardship has been a reactionary process of assigning authority through two orders of government (federal and provincial) for new environmental issues as they arise, which creates a complex and overlapping governance distribution</w:t>
      </w:r>
      <w:r>
        <w:t xml:space="preserve"> </w:t>
      </w:r>
      <w:r>
        <w:t xml:space="preserve">(Becklumb 2013)</w:t>
      </w:r>
      <w:r>
        <w:t xml:space="preserve">. Provinces have jurisdiction over most wildlife within their borders; however, the federal government has jurisdiction over wildlife on federal land (e.g. national parks), as well as, migratory birds and aquatic species including marine mammals and fish</w:t>
      </w:r>
      <w:r>
        <w:t xml:space="preserve"> </w:t>
      </w:r>
      <w:r>
        <w:t xml:space="preserve">(Becklumb 2013; Kraus et al. 2021)</w:t>
      </w:r>
      <w:r>
        <w:t xml:space="preserve">. The dual roles – arising from the adaptation of British Common Law to the Canadian situation – can lead to confusion around management prerogatives</w:t>
      </w:r>
      <w:r>
        <w:t xml:space="preserve"> </w:t>
      </w:r>
      <w:r>
        <w:t xml:space="preserve">(Thompson 1974)</w:t>
      </w:r>
      <w:r>
        <w:t xml:space="preserve"> </w:t>
      </w:r>
      <w:r>
        <w:t xml:space="preserve">when jurisdictional authority is rarely the responsibility of one level of government</w:t>
      </w:r>
      <w:r>
        <w:t xml:space="preserve"> </w:t>
      </w:r>
      <w:r>
        <w:t xml:space="preserve">(Campbell and Thomas 2002)</w:t>
      </w:r>
      <w:r>
        <w:t xml:space="preserve">.</w:t>
      </w:r>
    </w:p>
    <w:p>
      <w:pPr>
        <w:pStyle w:val="BodyText"/>
      </w:pPr>
      <w:r>
        <w:t xml:space="preserve">The patchwork of legislative authority is most prominent in Pacific salmon management due to the various populations’ geographically widespread, anadromous life cycles that spans international boundaries and freshwater and marine ecosystems. While salmon populations and salmon fisheries are regulated federally, water use and watercourse alterations and the corresponding aquatic habitat is managed by the provinces. However, watercourse management is not strictly provincial jurisdiction. The federal government regulates navigable waters in oceans, lakes, rivers, and streams even within provincial boundaries</w:t>
      </w:r>
      <w:r>
        <w:t xml:space="preserve"> </w:t>
      </w:r>
      <w:r>
        <w:t xml:space="preserve">(Becklumb 2013; Swerdfager and Olive 2023)</w:t>
      </w:r>
      <w:r>
        <w:t xml:space="preserve">. Federal fisheries governance also includes the quality of fish-bearing waters, and both federal and provincial governments have authority to designate protected areas.</w:t>
      </w:r>
    </w:p>
    <w:p>
      <w:pPr>
        <w:pStyle w:val="BodyText"/>
      </w:pPr>
      <w:r>
        <w:t xml:space="preserve">Acts and regulations in British Columbia might be designed to address one broad category of human activity, but this activity can cover many aspects of salmon stewardship. For example, the provincial</w:t>
      </w:r>
      <w:r>
        <w:t xml:space="preserve"> </w:t>
      </w:r>
      <w:r>
        <w:rPr>
          <w:i/>
          <w:iCs/>
        </w:rPr>
        <w:t xml:space="preserve">Forest and Range Practices Act</w:t>
      </w:r>
      <w:r>
        <w:t xml:space="preserve"> </w:t>
      </w:r>
      <w:r>
        <w:t xml:space="preserve">(Government of British Columbia 2002)</w:t>
      </w:r>
      <w:r>
        <w:t xml:space="preserve"> </w:t>
      </w:r>
      <w:r>
        <w:t xml:space="preserve">is specific to forestry practices and planning, along with cattle ranging, but in terms of salmon threats, these activities impact many aspects including stream hydrology, water temperature, effluent, riparian habitat destruction, watercourse changes,</w:t>
      </w:r>
      <w:r>
        <w:t xml:space="preserve"> </w:t>
      </w:r>
      <w:r>
        <w:t xml:space="preserve">(Ulaski et al. 2025)</w:t>
      </w:r>
      <w:r>
        <w:t xml:space="preserve">, and the spread of invasive species.</w:t>
      </w:r>
    </w:p>
    <w:p>
      <w:pPr>
        <w:pStyle w:val="BodyText"/>
      </w:pPr>
      <w:r>
        <w:t xml:space="preserve">Projects that influence environmental factors may be subject to both provincial and federal environmental assessments during the planning stages</w:t>
      </w:r>
      <w:r>
        <w:t xml:space="preserve"> </w:t>
      </w:r>
      <w:r>
        <w:t xml:space="preserve">(Becklumb 2013)</w:t>
      </w:r>
      <w:r>
        <w:t xml:space="preserve">. Natural resource legislation and programs often operate on a sector-by-sector and individual resource basis where integrated stewardship relies on scale-appropriate planning and decision making</w:t>
      </w:r>
      <w:r>
        <w:t xml:space="preserve"> </w:t>
      </w:r>
      <w:r>
        <w:t xml:space="preserve">(Ray et al. 2021)</w:t>
      </w:r>
      <w:r>
        <w:t xml:space="preserve">. Provinces generally decide when, or if, to regulate on matters of environmental concern</w:t>
      </w:r>
      <w:r>
        <w:t xml:space="preserve"> </w:t>
      </w:r>
      <w:r>
        <w:t xml:space="preserve">(Campbell and Thomas 2002)</w:t>
      </w:r>
      <w:r>
        <w:t xml:space="preserve">. British Columbia is even more decentralized than other provinces, especially in terms of species at risk legislation, because British Columbia’s relevant provisions are spread over the greatest number of statutes and regulations</w:t>
      </w:r>
      <w:r>
        <w:t xml:space="preserve"> </w:t>
      </w:r>
      <w:r>
        <w:t xml:space="preserve">(Bogetti and Mason 2025)</w:t>
      </w:r>
      <w:r>
        <w:t xml:space="preserve">.</w:t>
      </w:r>
    </w:p>
    <w:bookmarkEnd w:id="20"/>
    <w:bookmarkStart w:id="21" w:name="X73644377a907dce2b45cf6342b97f459a660bc0"/>
    <w:p>
      <w:pPr>
        <w:pStyle w:val="Heading2"/>
      </w:pPr>
      <w:r>
        <w:t xml:space="preserve">Complexity in addressing Pacific Salmon population declines</w:t>
      </w:r>
    </w:p>
    <w:p>
      <w:pPr>
        <w:pStyle w:val="FirstParagraph"/>
      </w:pPr>
      <w:r>
        <w:t xml:space="preserve">Despite considerable attention towards policies and recovery programs for salmon conservation and governance (e.g. </w:t>
      </w:r>
      <w:r>
        <w:rPr>
          <w:i/>
          <w:iCs/>
        </w:rPr>
        <w:t xml:space="preserve">Canada’s Policy for Conservation of Wild Pacific Salmon and</w:t>
      </w:r>
      <w:r>
        <w:t xml:space="preserve"> </w:t>
      </w:r>
      <w:r>
        <w:t xml:space="preserve">the</w:t>
      </w:r>
      <w:r>
        <w:t xml:space="preserve"> </w:t>
      </w:r>
      <w:r>
        <w:rPr>
          <w:i/>
          <w:iCs/>
        </w:rPr>
        <w:t xml:space="preserve">Pacific Salmon Strategy Initiative;</w:t>
      </w:r>
      <w:r>
        <w:t xml:space="preserve"> </w:t>
      </w:r>
      <w:r>
        <w:t xml:space="preserve">DFO (2005)</w:t>
      </w:r>
      <w:r>
        <w:t xml:space="preserve">), Pacific salmon populations are generally declining across Canada, while the number of populations monitored continues to drop</w:t>
      </w:r>
      <w:r>
        <w:t xml:space="preserve"> </w:t>
      </w:r>
      <w:r>
        <w:t xml:space="preserve">(Price et al. 2017; Atkinson et al. 2024)</w:t>
      </w:r>
      <w:r>
        <w:t xml:space="preserve">. The causes of Pacific salmon population declines in Canada are varied and have been the subject of numerous major studies and reviews over the last few decades (e.g. the</w:t>
      </w:r>
      <w:r>
        <w:t xml:space="preserve"> </w:t>
      </w:r>
      <w:r>
        <w:rPr>
          <w:i/>
          <w:iCs/>
        </w:rPr>
        <w:t xml:space="preserve">Commission of Inquiry into the Decline of Sockeye Salmon in the Fraser River (Canada)</w:t>
      </w:r>
      <w:r>
        <w:t xml:space="preserve"> </w:t>
      </w:r>
      <w:r>
        <w:t xml:space="preserve">(Cohen 2012)</w:t>
      </w:r>
      <w:r>
        <w:t xml:space="preserve">;</w:t>
      </w:r>
      <w:r>
        <w:t xml:space="preserve"> </w:t>
      </w:r>
      <w:r>
        <w:rPr>
          <w:i/>
          <w:iCs/>
        </w:rPr>
        <w:t xml:space="preserve">Report of the Standing Committee on Fisheries and Oceans</w:t>
      </w:r>
      <w:r>
        <w:t xml:space="preserve"> </w:t>
      </w:r>
      <w:r>
        <w:t xml:space="preserve">(McDonald 2021)</w:t>
      </w:r>
      <w:r>
        <w:t xml:space="preserve">; and the</w:t>
      </w:r>
      <w:r>
        <w:t xml:space="preserve"> </w:t>
      </w:r>
      <w:r>
        <w:rPr>
          <w:i/>
          <w:iCs/>
        </w:rPr>
        <w:t xml:space="preserve">State of the Canadian Pacific salmon: response to changing climate and habitats</w:t>
      </w:r>
      <w:r>
        <w:t xml:space="preserve">(Grant et al. 2019)</w:t>
      </w:r>
      <w:r>
        <w:t xml:space="preserve">).</w:t>
      </w:r>
    </w:p>
    <w:p>
      <w:pPr>
        <w:pStyle w:val="BodyText"/>
      </w:pPr>
      <w:r>
        <w:t xml:space="preserve">The wild-origin salmon abundance declines are recognized as a consequence of numerous aspects of human activity, including the loss or degradation of habitat, climate change, hatchery pressures, and harvest</w:t>
      </w:r>
      <w:r>
        <w:t xml:space="preserve"> </w:t>
      </w:r>
      <w:r>
        <w:t xml:space="preserve">(Bisson et al. 2009; Cohen 2012; Grant et al. 2019; and McDonald 2021)</w:t>
      </w:r>
      <w:r>
        <w:t xml:space="preserve">. In response, commercial fisheries have been curtailed in recent decades</w:t>
      </w:r>
      <w:r>
        <w:t xml:space="preserve"> </w:t>
      </w:r>
      <w:r>
        <w:t xml:space="preserve">(Del Valle et al. 2024)</w:t>
      </w:r>
      <w:r>
        <w:t xml:space="preserve"> </w:t>
      </w:r>
      <w:r>
        <w:t xml:space="preserve">as Fisheries and Oceans Canada (DFO) aims to manage fisheries to preserve biodiversity in a manner consistent with the</w:t>
      </w:r>
      <w:r>
        <w:t xml:space="preserve"> </w:t>
      </w:r>
      <w:r>
        <w:rPr>
          <w:i/>
          <w:iCs/>
        </w:rPr>
        <w:t xml:space="preserve">Wild Salmon Policy</w:t>
      </w:r>
      <w:r>
        <w:t xml:space="preserve"> </w:t>
      </w:r>
      <w:r>
        <w:t xml:space="preserve">and the</w:t>
      </w:r>
      <w:r>
        <w:t xml:space="preserve"> </w:t>
      </w:r>
      <w:r>
        <w:t xml:space="preserve">“</w:t>
      </w:r>
      <w:r>
        <w:t xml:space="preserve">precautionary approach</w:t>
      </w:r>
      <w:r>
        <w:t xml:space="preserve">”</w:t>
      </w:r>
      <w:r>
        <w:t xml:space="preserve"> </w:t>
      </w:r>
      <w:r>
        <w:t xml:space="preserve">(DFO 2005)</w:t>
      </w:r>
      <w:r>
        <w:t xml:space="preserve">. Commercial salmon fisheries are one aspect that is directly managed by DFO as legislated under the federal</w:t>
      </w:r>
      <w:r>
        <w:t xml:space="preserve"> </w:t>
      </w:r>
      <w:r>
        <w:rPr>
          <w:i/>
          <w:iCs/>
        </w:rPr>
        <w:t xml:space="preserve">Fisheries Act</w:t>
      </w:r>
      <w:r>
        <w:t xml:space="preserve"> </w:t>
      </w:r>
      <w:r>
        <w:t xml:space="preserve">(Minister of Justice Canada 1985)</w:t>
      </w:r>
      <w:r>
        <w:t xml:space="preserve">, and subsequent regulations, which prescribe how, when, and where fisheries harvest may occur within Canadian waters with less of the jurisdictional ambiguity. Fisheries also result in a quantifiable mortality of salmon, therefore, impacts and targets can be more accurately measured and managed (assuming adequate monitoring information is collected), and can adjust to changing abundances. This ability to cut fisheries harvest in-season, while the other aspects that impact salmon population productivity and habitat capacity remain and continue to compound, creates a situation where harvest cutbacks (and the corresponding negative economic impacts) have little effect on recovering the salmon populations.</w:t>
      </w:r>
    </w:p>
    <w:p>
      <w:pPr>
        <w:pStyle w:val="Compact"/>
        <w:numPr>
          <w:ilvl w:val="0"/>
          <w:numId w:val="1001"/>
        </w:numPr>
      </w:pPr>
      <w:r>
        <w:rPr>
          <w:b/>
          <w:bCs/>
        </w:rPr>
        <w:t xml:space="preserve">Cory - do we need more citations for end of this paragraph? Do you have some?</w:t>
      </w:r>
    </w:p>
    <w:p>
      <w:pPr>
        <w:pStyle w:val="FirstParagraph"/>
      </w:pPr>
      <w:r>
        <w:t xml:space="preserve">Threats to salmon habitat require a much more coordinated, inter-jurisdictional and inter-departmental approach to evaluate and address. Freshwater habitat, including water quantity (discharge and timing) and water quality (temperature, chemistry, and pollution), are impacted by actions and conditions throughout the entire watershed. Impacts from activities are often indirect, requiring monitoring and long-term studies to identify with confidence</w:t>
      </w:r>
      <w:r>
        <w:t xml:space="preserve"> </w:t>
      </w:r>
      <w:r>
        <w:t xml:space="preserve">(Ulaski et al. 2025)</w:t>
      </w:r>
      <w:r>
        <w:t xml:space="preserve">. Local activities, such as forestry, agriculture, and urbanization, act cumulatively and compound with climate changes to degrade salmon watersheds</w:t>
      </w:r>
      <w:r>
        <w:t xml:space="preserve"> </w:t>
      </w:r>
      <w:r>
        <w:t xml:space="preserve">(Moore et al. 2025)</w:t>
      </w:r>
      <w:r>
        <w:t xml:space="preserve"> </w:t>
      </w:r>
      <w:r>
        <w:t xml:space="preserve">such that the regulation of threats to salmon freshwater habitat in British Columbia requires the application of multiple acts and regulations across both federal and provincial jurisdiction, where the impacts from activities and the benefits of mitigation are uncertain and spread out over time and space. For example, terms specific to pollution (effluent, wastewater, deleterious substances, etc.) occur in 18 Canadian federal acts and 22 British Columbian provincial acts, where the implementation of these acts are the responsibility of eight Canadian federal ministries and nine British Columbian provincial ministries</w:t>
      </w:r>
      <w:r>
        <w:t xml:space="preserve"> </w:t>
      </w:r>
      <w:r>
        <w:t xml:space="preserve">(Province of British Columbia 2025; Department of Justice Canada 2026)</w:t>
      </w:r>
      <w:r>
        <w:t xml:space="preserve">.</w:t>
      </w:r>
    </w:p>
    <w:p>
      <w:pPr>
        <w:pStyle w:val="Compact"/>
        <w:numPr>
          <w:ilvl w:val="0"/>
          <w:numId w:val="1002"/>
        </w:numPr>
      </w:pPr>
      <w:r>
        <w:rPr>
          <w:b/>
          <w:bCs/>
        </w:rPr>
        <w:t xml:space="preserve">Marina - I revised the paragraph to hopefully summarize what you’d suggested in your comment. My original paragraph was vague and unfinished. We don’t really mention specific gov’t branches and structures since they can change arbitrarily. Hopefully, this still covers what you were recommending.</w:t>
      </w:r>
    </w:p>
    <w:p>
      <w:pPr>
        <w:pStyle w:val="FirstParagraph"/>
      </w:pPr>
      <w:r>
        <w:t xml:space="preserve">Assessment frameworks have been developed amidst this uncertainty and complexity to evaluate anthropogenic activities and limiting factors for the survival and recovery of Pacific salmon populations</w:t>
      </w:r>
      <w:r>
        <w:t xml:space="preserve"> </w:t>
      </w:r>
      <w:r>
        <w:t xml:space="preserve">(Salafsky et al. 2008; DFO 2021; Chalifour et al. 2022)</w:t>
      </w:r>
      <w:r>
        <w:t xml:space="preserve">. These frameworks are varied in their approaches, but aim to be comprehensive in assessing the wide range of concerns that may impact salmon across their life cycle to inform status assessments, recovery planning, and conservation strategies. One widely used risk assessment framework for Pacific salmon is the</w:t>
      </w:r>
      <w:r>
        <w:t xml:space="preserve"> </w:t>
      </w:r>
      <w:r>
        <w:rPr>
          <w:i/>
          <w:iCs/>
        </w:rPr>
        <w:t xml:space="preserve">International Union for Conservation of Nature</w:t>
      </w:r>
      <w:r>
        <w:t xml:space="preserve"> </w:t>
      </w:r>
      <w:r>
        <w:t xml:space="preserve">(IUCN)</w:t>
      </w:r>
      <w:r>
        <w:t xml:space="preserve"> </w:t>
      </w:r>
      <w:r>
        <w:rPr>
          <w:i/>
          <w:iCs/>
        </w:rPr>
        <w:t xml:space="preserve">Direct Threats Classification</w:t>
      </w:r>
      <w:r>
        <w:t xml:space="preserve"> </w:t>
      </w:r>
      <w:r>
        <w:t xml:space="preserve">(Salafsky et al. 2008)</w:t>
      </w:r>
      <w:r>
        <w:t xml:space="preserve">, which is applied for Recovery Potential Assessments as part of</w:t>
      </w:r>
      <w:r>
        <w:t xml:space="preserve"> </w:t>
      </w:r>
      <w:r>
        <w:rPr>
          <w:i/>
          <w:iCs/>
        </w:rPr>
        <w:t xml:space="preserve">Species at Risk Act</w:t>
      </w:r>
      <w:r>
        <w:t xml:space="preserve"> </w:t>
      </w:r>
      <w:r>
        <w:t xml:space="preserve">listing processes and for Committee on the Status of Endangered Wildlife in Canada (COSEWIC</w:t>
      </w:r>
      <w:r>
        <w:rPr>
          <w:b/>
          <w:bCs/>
        </w:rPr>
        <w:t xml:space="preserve">)</w:t>
      </w:r>
      <w:r>
        <w:t xml:space="preserve"> </w:t>
      </w:r>
      <w:r>
        <w:t xml:space="preserve">status assessments</w:t>
      </w:r>
      <w:r>
        <w:t xml:space="preserve"> </w:t>
      </w:r>
      <w:r>
        <w:t xml:space="preserve">(Arbeider et al. 2020; Dionne 2023; Doutaz et al. 2023)</w:t>
      </w:r>
      <w:r>
        <w:t xml:space="preserve">.</w:t>
      </w:r>
    </w:p>
    <w:p>
      <w:pPr>
        <w:pStyle w:val="BodyText"/>
      </w:pPr>
      <w:r>
        <w:t xml:space="preserve">Rebuilding plans have been developed under the</w:t>
      </w:r>
      <w:r>
        <w:t xml:space="preserve"> </w:t>
      </w:r>
      <w:r>
        <w:rPr>
          <w:i/>
          <w:iCs/>
        </w:rPr>
        <w:t xml:space="preserve">Fisheries Act</w:t>
      </w:r>
      <w:r>
        <w:t xml:space="preserve"> </w:t>
      </w:r>
      <w:r>
        <w:t xml:space="preserve">Fish Stock Provisions</w:t>
      </w:r>
      <w:r>
        <w:t xml:space="preserve"> </w:t>
      </w:r>
      <w:r>
        <w:t xml:space="preserve">(DFO 2022a)</w:t>
      </w:r>
      <w:r>
        <w:t xml:space="preserve"> </w:t>
      </w:r>
      <w:r>
        <w:t xml:space="preserve">for a small number of Pacific salmon populations including Okanagan Chinook</w:t>
      </w:r>
      <w:r>
        <w:t xml:space="preserve"> </w:t>
      </w:r>
      <w:r>
        <w:t xml:space="preserve">(DFO 2022b)</w:t>
      </w:r>
      <w:r>
        <w:t xml:space="preserve"> </w:t>
      </w:r>
      <w:r>
        <w:t xml:space="preserve">and West Coast Vancouver Island Chinook</w:t>
      </w:r>
      <w:r>
        <w:t xml:space="preserve"> </w:t>
      </w:r>
      <w:r>
        <w:t xml:space="preserve">(DFO 2025)</w:t>
      </w:r>
      <w:r>
        <w:t xml:space="preserve">. Risk assessments are intended to guide the development of rebuilding plans and mitigation actions with the ultimate aim of reversing declines and improving conservation status, assuming there is agreement upon the most important threats. A key challenge is identifying actions that are impactful and feasible across the wide geographic range and diverse life history of Pacific salmon. In many cases, dispersed authority, regulatory complexities, ambiguous responsibilities, ill-defined standards of management, and unclear conservation objectives across jurisdictions become barriers to effective and timely action.</w:t>
      </w:r>
    </w:p>
    <w:bookmarkEnd w:id="21"/>
    <w:bookmarkStart w:id="22" w:name="Xf99c42c3166c79d6e14b14d7da12046c07a47b6"/>
    <w:p>
      <w:pPr>
        <w:pStyle w:val="Heading2"/>
      </w:pPr>
      <w:r>
        <w:t xml:space="preserve">Why study salmon legislation: purpose and objectives</w:t>
      </w:r>
    </w:p>
    <w:p>
      <w:pPr>
        <w:pStyle w:val="FirstParagraph"/>
      </w:pPr>
      <w:r>
        <w:t xml:space="preserve">The need for collaborative, coordinated action to address Pacific salmon declines is recognized by governments throughout policies, plans, and initiatives including the</w:t>
      </w:r>
      <w:r>
        <w:t xml:space="preserve"> </w:t>
      </w:r>
      <w:r>
        <w:rPr>
          <w:i/>
          <w:iCs/>
        </w:rPr>
        <w:t xml:space="preserve">Wild Salmon Policy</w:t>
      </w:r>
      <w:r>
        <w:t xml:space="preserve"> </w:t>
      </w:r>
      <w:r>
        <w:t xml:space="preserve">(DFO 2005)</w:t>
      </w:r>
      <w:r>
        <w:t xml:space="preserve"> </w:t>
      </w:r>
      <w:r>
        <w:t xml:space="preserve">and the</w:t>
      </w:r>
      <w:r>
        <w:t xml:space="preserve"> </w:t>
      </w:r>
      <w:r>
        <w:rPr>
          <w:i/>
          <w:iCs/>
        </w:rPr>
        <w:t xml:space="preserve">Trilateral declaration on the urgent need to address wild Pacific salmon populations in British Columbia</w:t>
      </w:r>
      <w:r>
        <w:t xml:space="preserve"> </w:t>
      </w:r>
      <w:r>
        <w:t xml:space="preserve">(DFO 2024)</w:t>
      </w:r>
      <w:r>
        <w:t xml:space="preserve">. Coordinated action requires adequate organizational capacity and systems for implementation to ensure that regulatory controls and mitigation activities address underlying threats to salmon and their habitat. However, linking threats and recovery actions to the relevant regulatory systems can be complex because salmon are often affected by multiple threats that each span across agencies and governmental jurisdiction. In this study, we seek to decode the complexity between threats to salmon and corresponding environmental legislation by creating an interface between regulatory language and anthropogenic threat categories.</w:t>
      </w:r>
    </w:p>
    <w:p>
      <w:pPr>
        <w:pStyle w:val="BodyText"/>
      </w:pPr>
      <w:r>
        <w:t xml:space="preserve">Laws formally codify societal values and expectations</w:t>
      </w:r>
      <w:r>
        <w:t xml:space="preserve"> </w:t>
      </w:r>
      <w:r>
        <w:t xml:space="preserve">(Swerdfager and Olive 2023)</w:t>
      </w:r>
      <w:r>
        <w:t xml:space="preserve"> </w:t>
      </w:r>
      <w:r>
        <w:t xml:space="preserve">by governing human activity. Salmon population management administered through legislative authority, therefore, relies on a tertiary system where laws control human activity, which impacts the quantity and quality of salmon habitat, which affects the capacity of the habitat to produce salmon. Because this system of control pivots around human activity, we focused this study and tools around human activity as well, employing the hierarchical categorization structure developed by the</w:t>
      </w:r>
      <w:r>
        <w:t xml:space="preserve"> </w:t>
      </w:r>
      <w:r>
        <w:rPr>
          <w:i/>
          <w:iCs/>
        </w:rPr>
        <w:t xml:space="preserve">International Union for Conservation of Nature</w:t>
      </w:r>
      <w:r>
        <w:t xml:space="preserve"> </w:t>
      </w:r>
      <w:r>
        <w:t xml:space="preserve">(IUCN) and</w:t>
      </w:r>
      <w:r>
        <w:t xml:space="preserve"> </w:t>
      </w:r>
      <w:r>
        <w:rPr>
          <w:i/>
          <w:iCs/>
        </w:rPr>
        <w:t xml:space="preserve">Conservation Measures Partnership</w:t>
      </w:r>
      <w:r>
        <w:t xml:space="preserve"> </w:t>
      </w:r>
      <w:r>
        <w:t xml:space="preserve">(CMP). However, not all aspects of salmon management are specific to threats from human activity. Topics such as species status, spatial designation (parks), and overall governance administration may not connect to a direct human threat, or may encompass all the threats. In order to capture all these threat and non-threat related categories in our legislation-salmonscape interface, we created a</w:t>
      </w:r>
      <w:r>
        <w:t xml:space="preserve"> </w:t>
      </w:r>
      <w:r>
        <w:t xml:space="preserve">“</w:t>
      </w:r>
      <w:r>
        <w:t xml:space="preserve">management domain</w:t>
      </w:r>
      <w:r>
        <w:t xml:space="preserve">”</w:t>
      </w:r>
      <w:r>
        <w:t xml:space="preserve"> </w:t>
      </w:r>
      <w:r>
        <w:t xml:space="preserve">schema that we define as</w:t>
      </w:r>
      <w:r>
        <w:t xml:space="preserve"> </w:t>
      </w:r>
      <w:r>
        <w:t xml:space="preserve">“</w:t>
      </w:r>
      <w:r>
        <w:t xml:space="preserve">discrete areas of administrative concern.</w:t>
      </w:r>
      <w:r>
        <w:t xml:space="preserve">”</w:t>
      </w:r>
    </w:p>
    <w:p>
      <w:pPr>
        <w:pStyle w:val="BodyText"/>
      </w:pPr>
      <w:r>
        <w:t xml:space="preserve">We developed the</w:t>
      </w:r>
      <w:r>
        <w:t xml:space="preserve"> </w:t>
      </w:r>
      <w:r>
        <w:rPr>
          <w:i/>
          <w:iCs/>
        </w:rPr>
        <w:t xml:space="preserve">Legislation Applicable to Pacific Salmon and their Ecosystems</w:t>
      </w:r>
      <w:r>
        <w:t xml:space="preserve"> </w:t>
      </w:r>
      <w:r>
        <w:t xml:space="preserve">(LAPSE) process and database that parses Canadian federal and British Columbian acts and regulations relevant to Pacific salmon, then uses keyword phrase relationships to match clauses (paragraphs) to our management domains and corresponding IUCN threat categories. By creating an extensive, open-source, and accessible database linking legislation to salmon, we aim to facilitate a better understanding of the legislative and regulatory context through which salmon and their ecosystems are governed in British Columbia, while providing a framework to support systematic and critical reviews of strengths and shortcomings of regulations with respect to salmon threats.</w:t>
      </w:r>
    </w:p>
    <w:bookmarkEnd w:id="22"/>
    <w:bookmarkEnd w:id="23"/>
    <w:bookmarkStart w:id="30" w:name="Xf36a64da03c825d64fdc209fc6c979849cc8a9e"/>
    <w:p>
      <w:pPr>
        <w:pStyle w:val="Heading1"/>
      </w:pPr>
      <w:r>
        <w:t xml:space="preserve">Management domains and International Union for Conservation of Nature (IUCN) threat categories</w:t>
      </w:r>
    </w:p>
    <w:p>
      <w:pPr>
        <w:pStyle w:val="FirstParagraph"/>
      </w:pPr>
      <w:r>
        <w:t xml:space="preserve">Salafsky et al. (2008)</w:t>
      </w:r>
      <w:r>
        <w:t xml:space="preserve"> </w:t>
      </w:r>
      <w:r>
        <w:t xml:space="preserve">recognized that using a common language or a standard lexicon is essential for conservation science. Threats are a fundamental conservation concept, and can be defined as</w:t>
      </w:r>
      <w:r>
        <w:t xml:space="preserve"> </w:t>
      </w:r>
      <w:r>
        <w:t xml:space="preserve">“</w:t>
      </w:r>
      <w:r>
        <w:t xml:space="preserve">current or future human activities or altered natural phenomena that affect one or more ecosystems or species of interest</w:t>
      </w:r>
      <w:r>
        <w:t xml:space="preserve">”</w:t>
      </w:r>
      <w:r>
        <w:t xml:space="preserve"> </w:t>
      </w:r>
      <w:r>
        <w:t xml:space="preserve">(Salafsky et al. 2024)</w:t>
      </w:r>
      <w:r>
        <w:t xml:space="preserve">. The IUCN and the CMP began developing classifications of direct threats in the early 2000s, which were then compiled and developed further through an iterative process resulting in the</w:t>
      </w:r>
      <w:r>
        <w:t xml:space="preserve"> </w:t>
      </w:r>
      <w:r>
        <w:rPr>
          <w:i/>
          <w:iCs/>
        </w:rPr>
        <w:t xml:space="preserve">IUCN – CMP Direct Threats Classification Version 4.0</w:t>
      </w:r>
      <w:r>
        <w:t xml:space="preserve"> </w:t>
      </w:r>
      <w:r>
        <w:t xml:space="preserve">(Salafsky et al. 2024)</w:t>
      </w:r>
      <w:r>
        <w:t xml:space="preserve"> </w:t>
      </w:r>
      <w:r>
        <w:t xml:space="preserve">used for this exercise. The IUCN Direct Threats Classification uses a hierarchical, exclusive, comprehensive, and expandable structure of three levels similar to the Linnean system of grouping by family, genera, and species</w:t>
      </w:r>
      <w:r>
        <w:t xml:space="preserve"> </w:t>
      </w:r>
      <w:r>
        <w:t xml:space="preserve">(Salafsky et al. 2008)</w:t>
      </w:r>
      <w:r>
        <w:t xml:space="preserve">. First-level categories (Level 1), the broadest, are subdivided into second-level categories (Level 2), which are further subdivided into the most specific, third-level categories (Level 3).</w:t>
      </w:r>
    </w:p>
    <w:p>
      <w:pPr>
        <w:pStyle w:val="BodyText"/>
      </w:pPr>
      <w:r>
        <w:t xml:space="preserve">Canadian and British Columbian legislation has been enacted on a sector-by-sector basis, which doesn’t exactly align well with the IUCN Level 1 categories. At the same time, the IUCN Level 2 categories can be too fine of a resolution. IUCN Level 3 categories were not used in this assessment. Lumping and splitting between IUCN Levels 1 and 2 categories was required to match threats with legislation</w:t>
      </w:r>
      <w:r>
        <w:t xml:space="preserve"> </w:t>
      </w:r>
      <w:r>
        <w:t xml:space="preserve">1</w:t>
      </w:r>
      <w:r>
        <w:t xml:space="preserve">, which is why the management domain categories were required. For example, aquaculture and hatcheries are important aspects that impact Pacific salmon populations. This topic spans two IUCN Level 1 categories: 2. Agriculture &amp; Aquaculture and 8. Invasive / Other Problematic Species, Genes &amp; Pathogens, but would be more specifically aligned with the IUCN Level 2 categories: 2.4 Marine &amp; Freshwater Aquaculture and 8.3 Introduced Genetic Material to match legislation such as the</w:t>
      </w:r>
      <w:r>
        <w:t xml:space="preserve"> </w:t>
      </w:r>
      <w:r>
        <w:rPr>
          <w:i/>
          <w:iCs/>
        </w:rPr>
        <w:t xml:space="preserve">Aquaculture Activities Regulations</w:t>
      </w:r>
      <w:r>
        <w:t xml:space="preserve"> </w:t>
      </w:r>
      <w:r>
        <w:t xml:space="preserve">under the</w:t>
      </w:r>
      <w:r>
        <w:t xml:space="preserve"> </w:t>
      </w:r>
      <w:r>
        <w:rPr>
          <w:i/>
          <w:iCs/>
        </w:rPr>
        <w:t xml:space="preserve">Fisheries Act</w:t>
      </w:r>
      <w:r>
        <w:t xml:space="preserve">. For clarity and better alignment, we created a management domain called</w:t>
      </w:r>
      <w:r>
        <w:t xml:space="preserve"> </w:t>
      </w:r>
      <w:r>
        <w:t xml:space="preserve">“</w:t>
      </w:r>
      <w:r>
        <w:t xml:space="preserve">Aquaculture and Hatcheries.</w:t>
      </w:r>
      <w:r>
        <w:t xml:space="preserve">”</w:t>
      </w:r>
      <w:r>
        <w:t xml:space="preserve"> </w:t>
      </w:r>
      <w:r>
        <w:t xml:space="preserve">A similar misalignment occurs when assessing the provincial</w:t>
      </w:r>
      <w:r>
        <w:t xml:space="preserve"> </w:t>
      </w:r>
      <w:r>
        <w:t xml:space="preserve">“</w:t>
      </w:r>
      <w:r>
        <w:rPr>
          <w:i/>
          <w:iCs/>
        </w:rPr>
        <w:t xml:space="preserve">Forest And Range Practices Act</w:t>
      </w:r>
      <w:r>
        <w:t xml:space="preserve">.</w:t>
      </w:r>
      <w:r>
        <w:t xml:space="preserve">”</w:t>
      </w:r>
      <w:r>
        <w:t xml:space="preserve"> </w:t>
      </w:r>
      <w:r>
        <w:t xml:space="preserve">Since the management domain categories were derived as close as possible to the IUCN threat categories (a mix of Level 1 and Level 2), most can be viewed as equivalent</w:t>
      </w:r>
      <w:r>
        <w:t xml:space="preserve"> </w:t>
      </w:r>
      <w:r>
        <w:t xml:space="preserve">1</w:t>
      </w:r>
      <w:r>
        <w:t xml:space="preserve">.</w:t>
      </w:r>
    </w:p>
    <w:p>
      <w:pPr>
        <w:pStyle w:val="TableCaption"/>
      </w:pPr>
      <w:bookmarkStart w:id="24" w:name="tab:management-domain-threat-table"/>
      <w:bookmarkEnd w:id="24"/>
      <w:r>
        <w:t xml:space="preserve">Table 1:</w:t>
      </w:r>
      <w:r>
        <w:t xml:space="preserve"> </w:t>
      </w:r>
      <w:r>
        <w:t xml:space="preserve">Management domains and corresponding IUCN threat categories.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3600"/>
        <w:gridCol w:w="3312"/>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Management 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IUCN Level 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IUCN Level 1</w:t>
            </w:r>
          </w:p>
        </w:tc>
      </w:tr>
      <w:tr>
        <w:trPr>
          <w:trHeight w:val="360" w:hRule="auto"/>
        </w:trPr>
        body 1
        <w:tc>
          <w:tcPr>
            <w:tcBorders>
              <w:bottom w:val="single" w:sz="8" w:space="0" w:color="CCCCCC"/>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Agriculture</w:t>
            </w:r>
          </w:p>
        </w:tc>
        <w:tc>
          <w:tcPr>
            <w:tcBorders>
              <w:bottom w:val="single" w:sz="8" w:space="0" w:color="CCCCCC"/>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Annual &amp; Perennial Non-Timber Crops</w:t>
            </w:r>
          </w:p>
        </w:tc>
        <w:tc>
          <w:tcPr>
            <w:vMerge w:val="restart"/>
            <w:tcBorders>
              <w:bottom w:val="single" w:sz="8" w:space="0" w:color="CCCCCC"/>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Agriculture &amp; Aquaculture</w:t>
            </w:r>
          </w:p>
        </w:tc>
      </w:tr>
      <w:tr>
        <w:trPr>
          <w:trHeight w:val="360" w:hRule="auto"/>
        </w:trPr>
        body 2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Aquaculture and Hatcheries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 Marine &amp; Freshwater Aquaculture</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 3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Introduced Genetic Material</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Invasive / Other Problematic Species, Genes &amp; Pathogens</w:t>
            </w:r>
          </w:p>
        </w:tc>
      </w:tr>
      <w:tr>
        <w:trPr>
          <w:trHeight w:val="360" w:hRule="auto"/>
        </w:trPr>
        body 4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Climate Change and Natural Disasters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 Geological Events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Natural Disasters</w:t>
            </w:r>
          </w:p>
        </w:tc>
      </w:tr>
      <w:tr>
        <w:trPr>
          <w:trHeight w:val="360" w:hRule="auto"/>
        </w:trPr>
        body 5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 Changes in Temperature Regimes</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Climate Change</w:t>
            </w:r>
          </w:p>
        </w:tc>
      </w:tr>
      <w:tr>
        <w:trPr>
          <w:trHeight w:val="360" w:hRule="auto"/>
        </w:trPr>
        body 6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Changes in Precipitation &amp; Hydrological Regimes</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 7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Fisheries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Fishing, Harvesting &amp; Controlling Aquatic Species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Biological Resource Use &amp; Control</w:t>
            </w:r>
          </w:p>
        </w:tc>
      </w:tr>
      <w:tr>
        <w:trPr>
          <w:trHeight w:val="360" w:hRule="auto"/>
        </w:trPr>
        body 8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Forest and Range</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Wood &amp; Pulp Plantations</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Agriculture &amp; Aquaculture</w:t>
            </w:r>
          </w:p>
        </w:tc>
      </w:tr>
      <w:tr>
        <w:trPr>
          <w:trHeight w:val="360" w:hRule="auto"/>
        </w:trPr>
        body 9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Terrestrial Animal Farming, Ranching &amp; Herding</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body10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Logging, Harvesting &amp; Controlling Trees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Biological Resource Use &amp; Control</w:t>
            </w:r>
          </w:p>
        </w:tc>
      </w:tr>
      <w:tr>
        <w:trPr>
          <w:trHeight w:val="360" w:hRule="auto"/>
        </w:trPr>
        body11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 Disturbance</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 Other Human Disturbances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Human Intrusions &amp; Disturbances</w:t>
            </w:r>
          </w:p>
        </w:tc>
      </w:tr>
      <w:tr>
        <w:trPr>
          <w:trHeight w:val="360" w:hRule="auto"/>
        </w:trPr>
        body12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Invasive or Problematic Species and Disease</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 Invasive Non-Native / Alien Species</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Invasive / Other Problematic Species, Genes &amp; Pathogens</w:t>
            </w:r>
          </w:p>
        </w:tc>
      </w:tr>
      <w:tr>
        <w:trPr>
          <w:trHeight w:val="360" w:hRule="auto"/>
        </w:trPr>
        body13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 Problematic Native Species</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body14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 Pathogens</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body15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Mining and Energy</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Oil &amp; Gas Exploration &amp; Extraction</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Energy Production &amp; Mining</w:t>
            </w:r>
          </w:p>
        </w:tc>
      </w:tr>
      <w:tr>
        <w:trPr>
          <w:trHeight w:val="360" w:hRule="auto"/>
        </w:trPr>
        body16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Mining &amp; Quarrying</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body17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 Renewable Energy</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body18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Pollution</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 Water-Borne &amp; Other Effluent Pollution</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Pollution</w:t>
            </w:r>
          </w:p>
        </w:tc>
      </w:tr>
      <w:tr>
        <w:trPr>
          <w:trHeight w:val="360" w:hRule="auto"/>
        </w:trPr>
        body19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 Garbage &amp; Solid Waste</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body20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Transportation Infrastructure</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Roads, Trails &amp; Railroads</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Transportation, Service &amp; Security Corridors</w:t>
            </w:r>
          </w:p>
        </w:tc>
      </w:tr>
      <w:tr>
        <w:trPr>
          <w:trHeight w:val="360" w:hRule="auto"/>
        </w:trPr>
        body21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Utility &amp; Service Lines</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body22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Shipping Lanes</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body23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Use and Watercourse Modifications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Residential Areas</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Residential, Commercial &amp; Recreation Areas</w:t>
            </w:r>
          </w:p>
        </w:tc>
      </w:tr>
      <w:tr>
        <w:trPr>
          <w:trHeight w:val="360" w:hRule="auto"/>
        </w:trPr>
        body24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Dams &amp; Water Management / Use</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Natural System Management &amp; Modifications</w:t>
            </w:r>
          </w:p>
        </w:tc>
      </w:tr>
      <w:tr>
        <w:trPr>
          <w:trHeight w:val="360" w:hRule="auto"/>
        </w:trPr>
        body25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Earth &amp; Sediment Management</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body26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Biological System Management</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body27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Restoration</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vMerge w:val="restart"/>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r>
      <w:tr>
        <w:trPr>
          <w:trHeight w:val="360" w:hRule="auto"/>
        </w:trPr>
        body28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Designation</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r>
        <w:trPr>
          <w:trHeight w:val="360" w:hRule="auto"/>
        </w:trPr>
        body29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Status and Assessment</w:t>
            </w:r>
          </w:p>
        </w:tc>
        <w:tc>
          <w:tcPr>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p>
        </w:tc>
        <w:tc>
          <w:tcPr>
            <w:vMerge/>
            <w:tcBorders>
              <w:bottom w:val="single" w:sz="8" w:space="0" w:color="CCCCCC"/>
              <w:top w:val="single" w:sz="8" w:space="0" w:color="CCCCCC"/>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r>
    </w:tbl>
    <w:p>
      <w:pPr>
        <w:pStyle w:val="BodyText"/>
      </w:pPr>
      <w:r>
        <w:t xml:space="preserve">Stewardship decisions and activities related to salmon are often in response to identifiable threats to salmon health and population status.</w:t>
      </w:r>
    </w:p>
    <w:p>
      <w:pPr>
        <w:pStyle w:val="BodyText"/>
      </w:pPr>
      <w:r>
        <w:t xml:space="preserve">Legislated recovery planning also relies on a description of identified threats</w:t>
      </w:r>
      <w:r>
        <w:t xml:space="preserve"> </w:t>
      </w:r>
      <w:r>
        <w:t xml:space="preserve">(McCune et al. 2013)</w:t>
      </w:r>
      <w:r>
        <w:t xml:space="preserve">.</w:t>
      </w:r>
    </w:p>
    <w:p>
      <w:pPr>
        <w:pStyle w:val="BodyText"/>
      </w:pPr>
      <w:r>
        <w:t xml:space="preserve">Human systems can be categorized as direct threats to biodiversity more specifically for conservation strategies</w:t>
      </w:r>
      <w:r>
        <w:t xml:space="preserve"> </w:t>
      </w:r>
      <w:r>
        <w:t xml:space="preserve">(Salafsky et al. 2008)</w:t>
      </w:r>
      <w:r>
        <w:t xml:space="preserve">.</w:t>
      </w:r>
    </w:p>
    <w:p>
      <w:pPr>
        <w:pStyle w:val="BodyText"/>
      </w:pPr>
      <w:r>
        <w:t xml:space="preserve">**describe the IUCN threat levels and categories -</w:t>
      </w:r>
    </w:p>
    <w:p>
      <w:pPr>
        <w:pStyle w:val="BodyText"/>
      </w:pPr>
      <w:r>
        <w:t xml:space="preserve">The</w:t>
      </w:r>
      <w:r>
        <w:t xml:space="preserve"> </w:t>
      </w:r>
      <w:r>
        <w:rPr>
          <w:i/>
          <w:iCs/>
        </w:rPr>
        <w:t xml:space="preserve">International Union for Conservation of Nature</w:t>
      </w:r>
      <w:r>
        <w:t xml:space="preserve"> </w:t>
      </w:r>
      <w:r>
        <w:t xml:space="preserve">(IUCN) and</w:t>
      </w:r>
      <w:r>
        <w:t xml:space="preserve"> </w:t>
      </w:r>
      <w:r>
        <w:rPr>
          <w:i/>
          <w:iCs/>
        </w:rPr>
        <w:t xml:space="preserve">Conservation Measures Partnership</w:t>
      </w:r>
      <w:r>
        <w:t xml:space="preserve"> </w:t>
      </w:r>
      <w:r>
        <w:t xml:space="preserve">(CMP) has developed a hierarchical grouping of threats used globally by conservation practitioners.</w:t>
      </w:r>
      <w:r>
        <w:t xml:space="preserve"> </w:t>
      </w:r>
      <w:r>
        <w:rPr>
          <w:b/>
          <w:bCs/>
        </w:rPr>
        <w:t xml:space="preserve">already mentioned</w:t>
      </w:r>
    </w:p>
    <w:p>
      <w:pPr>
        <w:pStyle w:val="BodyText"/>
      </w:pPr>
      <w:r>
        <w:t xml:space="preserve">IUCN direct threat categories are used to assess threats as part of IUCN red list assessments, as well as, in status assessments for Pacific salmon populations conducted by the</w:t>
      </w:r>
      <w:r>
        <w:t xml:space="preserve"> </w:t>
      </w:r>
      <w:r>
        <w:rPr>
          <w:i/>
          <w:iCs/>
        </w:rPr>
        <w:t xml:space="preserve">Committee for the Status of Endangered Wildlife in Canada</w:t>
      </w:r>
      <w:r>
        <w:t xml:space="preserve"> </w:t>
      </w:r>
      <w:r>
        <w:t xml:space="preserve">(COSEWIC).</w:t>
      </w:r>
      <w:r>
        <w:t xml:space="preserve"> </w:t>
      </w:r>
      <w:r>
        <w:rPr>
          <w:b/>
          <w:bCs/>
        </w:rPr>
        <w:t xml:space="preserve">already mentioned</w:t>
      </w:r>
    </w:p>
    <w:p>
      <w:pPr>
        <w:pStyle w:val="BodyText"/>
      </w:pPr>
      <w:r>
        <w:t xml:space="preserve">For this study, the</w:t>
      </w:r>
      <w:r>
        <w:t xml:space="preserve"> </w:t>
      </w:r>
      <w:r>
        <w:rPr>
          <w:i/>
          <w:iCs/>
        </w:rPr>
        <w:t xml:space="preserve">IUCN - CMP Direct Threats Classification 4.0</w:t>
      </w:r>
      <w:r>
        <w:t xml:space="preserve"> </w:t>
      </w:r>
      <w:r>
        <w:t xml:space="preserve">(Salafsky et al. 2024)</w:t>
      </w:r>
      <w:r>
        <w:t xml:space="preserve"> </w:t>
      </w:r>
      <w:r>
        <w:t xml:space="preserve">was used to categorize legislation by direct threats to salmon conservation.</w:t>
      </w:r>
    </w:p>
    <w:p>
      <w:pPr>
        <w:pStyle w:val="BodyText"/>
      </w:pPr>
      <w:r>
        <w:rPr>
          <w:b/>
          <w:bCs/>
        </w:rPr>
        <w:t xml:space="preserve">Level 2 threat classification</w:t>
      </w:r>
      <w:r>
        <w:t xml:space="preserve"> </w:t>
      </w:r>
      <w:r>
        <w:t xml:space="preserve">was used as the finest resolution that could be applied consistently.</w:t>
      </w:r>
    </w:p>
    <w:p>
      <w:pPr>
        <w:numPr>
          <w:ilvl w:val="0"/>
          <w:numId w:val="1003"/>
        </w:numPr>
      </w:pPr>
      <w:r>
        <w:rPr>
          <w:b/>
          <w:bCs/>
        </w:rPr>
        <w:t xml:space="preserve">Explain the levels and hierarchy</w:t>
      </w:r>
    </w:p>
    <w:p>
      <w:pPr>
        <w:numPr>
          <w:ilvl w:val="0"/>
          <w:numId w:val="1003"/>
        </w:numPr>
      </w:pPr>
      <w:r>
        <w:rPr>
          <w:b/>
          <w:bCs/>
        </w:rPr>
        <w:t xml:space="preserve">DG - Not everyone will be familiar with the different threat levels in this framework. Before this sentence, a brief explanation of the threats hierarchy could help the unfamiliar reader.</w:t>
      </w:r>
    </w:p>
    <w:p>
      <w:pPr>
        <w:numPr>
          <w:ilvl w:val="0"/>
          <w:numId w:val="1003"/>
        </w:numPr>
      </w:pPr>
      <w:r>
        <w:rPr>
          <w:b/>
          <w:bCs/>
        </w:rPr>
        <w:t xml:space="preserve">You could point the reader to the original publication of this framework (</w:t>
      </w:r>
      <w:hyperlink r:id="rId25">
        <w:r>
          <w:rPr>
            <w:rStyle w:val="Hyperlink"/>
            <w:b/>
            <w:bCs/>
          </w:rPr>
          <w:t xml:space="preserve">The Society for Conservation Biology</w:t>
        </w:r>
      </w:hyperlink>
      <w:r>
        <w:rPr>
          <w:b/>
          <w:bCs/>
        </w:rPr>
        <w:t xml:space="preserve">), and/or summarize some key information from this paper, such as, “The threat classification hierarchically categorizes threats into three levels.</w:t>
      </w:r>
    </w:p>
    <w:p>
      <w:pPr>
        <w:numPr>
          <w:ilvl w:val="0"/>
          <w:numId w:val="1003"/>
        </w:numPr>
      </w:pPr>
      <w:r>
        <w:rPr>
          <w:b/>
          <w:bCs/>
        </w:rPr>
        <w:t xml:space="preserve">Each level one category (e.g., Agriculture &amp; Aquaculture) is further subdivided into several level two categories (e.g., Annual &amp; Perennial Non-Timber Crops, Marine &amp; Freshwater Aquaculture), and are subsequently into numerous level three and four categories.”</w:t>
      </w:r>
    </w:p>
    <w:p>
      <w:pPr>
        <w:numPr>
          <w:ilvl w:val="0"/>
          <w:numId w:val="1003"/>
        </w:numPr>
      </w:pPr>
      <w:r>
        <w:rPr>
          <w:b/>
          <w:bCs/>
        </w:rPr>
        <w:t xml:space="preserve">Something like this could help the reader follow the sentence that explains why level two was chosen (consistent application).</w:t>
      </w:r>
    </w:p>
    <w:p>
      <w:pPr>
        <w:pStyle w:val="FirstParagraph"/>
      </w:pPr>
      <w:r>
        <w:t xml:space="preserve">Legislative clauses that influence Pacific salmon governance in British Columbia are not always associated with conservation threats. As well, some clauses may involve all threats. For example, statutes that outline species status or determine ecological reserves have relevance to how salmon are managed, but can’t be attributed to any one IUCN threat category. Pacific salmon life history also ranges over a broad geography of marine and freshwater habitat (including terrestrial watershed aspects), touching on almost every conservation threat available. We developed management domain categories through this study as a clearer and more comprehensive alignment between regulatory administrative concern and conservation threat categories (Figure</w:t>
      </w:r>
      <w:r>
        <w:t xml:space="preserve"> </w:t>
      </w:r>
      <w:r>
        <w:t xml:space="preserve">1</w:t>
      </w:r>
      <w:r>
        <w:t xml:space="preserve">).</w:t>
      </w:r>
    </w:p>
    <w:p>
      <w:pPr>
        <w:pStyle w:val="CaptionedFigure"/>
      </w:pPr>
      <w:r>
        <w:drawing>
          <wp:inline>
            <wp:extent cx="5943600" cy="3343275"/>
            <wp:effectExtent b="0" l="0" r="0" t="0"/>
            <wp:docPr descr="Figure 1: Flowchart showing alignment of IUCN Level 2 threat categories with Management Domain in relation to legislation and jurisdiction." title="" id="27" name="Picture"/>
            <a:graphic>
              <a:graphicData uri="http://schemas.openxmlformats.org/drawingml/2006/picture">
                <pic:pic>
                  <pic:nvPicPr>
                    <pic:cNvPr descr="../assets/Management%20Domain%20Flowchart.png" id="28" name="Picture"/>
                    <pic:cNvPicPr>
                      <a:picLocks noChangeArrowheads="1" noChangeAspect="1"/>
                    </pic:cNvPicPr>
                  </pic:nvPicPr>
                  <pic:blipFill>
                    <a:blip r:embed="rId26"/>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bookmarkStart w:id="29" w:name="fig:fig-flowchart-image"/>
      <w:bookmarkEnd w:id="29"/>
      <w:r>
        <w:t xml:space="preserve">Figure 1: Flowchart showing alignment of IUCN Level 2 threat categories with Management Domain in relation to legislation and jurisdiction.</w:t>
      </w:r>
    </w:p>
    <w:bookmarkEnd w:id="30"/>
    <w:bookmarkStart w:id="48" w:name="X9e9523a728308a0d2bfaa4b1ff0f8b364c9693a"/>
    <w:p>
      <w:pPr>
        <w:pStyle w:val="Heading1"/>
      </w:pPr>
      <w:r>
        <w:t xml:space="preserve">Parsing legislations: a process for clause categorization</w:t>
      </w:r>
    </w:p>
    <w:p>
      <w:pPr>
        <w:pStyle w:val="FirstParagraph"/>
      </w:pPr>
      <w:r>
        <w:t xml:space="preserve">Assessment of legislative context is prone to subjective interpretation. The inclusion and exclusion of both the overall acts and the clauses within the acts creates points of assumption and bias. For this exercise we cast as wide a net as possible and created a process that is publicly accessible, automated, and repeatable if legislation changes. The process steps are: accumulate and review legislation (CanLii); parse legislation by clause (paragraph), section, and heading; match management domain and IUCN threat keywords to clauses; assign salmon-specific scope categories; match clause type keywords to clauses.</w:t>
      </w:r>
    </w:p>
    <w:bookmarkStart w:id="40" w:name="legislation-accumulation-and-review"/>
    <w:p>
      <w:pPr>
        <w:pStyle w:val="Heading2"/>
      </w:pPr>
      <w:r>
        <w:t xml:space="preserve">Legislation accumulation and review</w:t>
      </w:r>
    </w:p>
    <w:p>
      <w:pPr>
        <w:pStyle w:val="FirstParagraph"/>
      </w:pPr>
      <w:r>
        <w:t xml:space="preserve">Administrative concerns specific to natural resource stewardship are also often split between ministries at the federal and provincial level, which can further decentralize responsibility. Figures</w:t>
      </w:r>
      <w:r>
        <w:t xml:space="preserve"> </w:t>
      </w:r>
      <w:r>
        <w:t xml:space="preserve">2</w:t>
      </w:r>
      <w:r>
        <w:t xml:space="preserve"> </w:t>
      </w:r>
      <w:r>
        <w:t xml:space="preserve">and</w:t>
      </w:r>
      <w:r>
        <w:t xml:space="preserve"> </w:t>
      </w:r>
      <w:r>
        <w:t xml:space="preserve">3</w:t>
      </w:r>
      <w:r>
        <w:t xml:space="preserve"> </w:t>
      </w:r>
      <w:r>
        <w:t xml:space="preserve">show a compilation of federal and provincial acts relevant to Pacific salmon stewardship with assigned ministries. Relevant acts were compiled through a step-wise keyword search process using the Canadian Legal Information Institute (CanLII) website</w:t>
      </w:r>
      <w:r>
        <w:t xml:space="preserve"> </w:t>
      </w:r>
      <w:r>
        <w:t xml:space="preserve">(Canadian Legal Information Institute 2025)</w:t>
      </w:r>
      <w:r>
        <w:t xml:space="preserve">. The ministries were referenced from the federal</w:t>
      </w:r>
      <w:r>
        <w:t xml:space="preserve"> </w:t>
      </w:r>
      <w:r>
        <w:rPr>
          <w:i/>
          <w:iCs/>
        </w:rPr>
        <w:t xml:space="preserve">Table of Public Statutes and Responsible Ministers</w:t>
      </w:r>
      <w:r>
        <w:t xml:space="preserve"> </w:t>
      </w:r>
      <w:r>
        <w:t xml:space="preserve">(Department of Justice Canada 2026)</w:t>
      </w:r>
      <w:r>
        <w:t xml:space="preserve"> </w:t>
      </w:r>
      <w:r>
        <w:t xml:space="preserve">and the British Columbian provincial</w:t>
      </w:r>
      <w:r>
        <w:t xml:space="preserve"> </w:t>
      </w:r>
      <w:r>
        <w:rPr>
          <w:i/>
          <w:iCs/>
        </w:rPr>
        <w:t xml:space="preserve">Acts - Minsters’ Responsibilities</w:t>
      </w:r>
      <w:r>
        <w:t xml:space="preserve"> </w:t>
      </w:r>
      <w:r>
        <w:t xml:space="preserve">(Province of British Columbia 2025)</w:t>
      </w:r>
      <w:r>
        <w:rPr>
          <w:i/>
          <w:iCs/>
        </w:rPr>
        <w:t xml:space="preserve">.</w:t>
      </w:r>
      <w:r>
        <w:t xml:space="preserve"> </w:t>
      </w:r>
      <w:r>
        <w:t xml:space="preserve">The ministry and minister names shown may not necessarily represent the current cabinet names, which can be changed arbitrarily by the government of the day. The table represents the minister and ministry names as they are stated in the legislation and corresponding minister responsibility tables, which are less prone to short-term changes.</w:t>
      </w:r>
    </w:p>
    <w:p>
      <w:pPr>
        <w:pStyle w:val="CaptionedFigure"/>
      </w:pPr>
      <w:r>
        <w:drawing>
          <wp:inline>
            <wp:extent cx="5943600" cy="5094514"/>
            <wp:effectExtent b="0" l="0" r="0" t="0"/>
            <wp:docPr descr="Figure 2: List of Canadian federal acts relevant to Pacific salmon and habitat governance with assigned ministries." title="" id="32" name="Picture"/>
            <a:graphic>
              <a:graphicData uri="http://schemas.openxmlformats.org/drawingml/2006/picture">
                <pic:pic>
                  <pic:nvPicPr>
                    <pic:cNvPr descr="LAPSE_primary_publication_files/figure-docx/fig-sankey-federal-1.png" id="33" name="Picture"/>
                    <pic:cNvPicPr>
                      <a:picLocks noChangeArrowheads="1" noChangeAspect="1"/>
                    </pic:cNvPicPr>
                  </pic:nvPicPr>
                  <pic:blipFill>
                    <a:blip r:embed="rId31"/>
                    <a:stretch>
                      <a:fillRect/>
                    </a:stretch>
                  </pic:blipFill>
                  <pic:spPr bwMode="auto">
                    <a:xfrm>
                      <a:off x="0" y="0"/>
                      <a:ext cx="5943600" cy="5094514"/>
                    </a:xfrm>
                    <a:prstGeom prst="rect">
                      <a:avLst/>
                    </a:prstGeom>
                    <a:noFill/>
                    <a:ln w="9525">
                      <a:noFill/>
                      <a:headEnd/>
                      <a:tailEnd/>
                    </a:ln>
                  </pic:spPr>
                </pic:pic>
              </a:graphicData>
            </a:graphic>
          </wp:inline>
        </w:drawing>
      </w:r>
    </w:p>
    <w:p>
      <w:pPr>
        <w:pStyle w:val="ImageCaption"/>
      </w:pPr>
      <w:bookmarkStart w:id="34" w:name="fig:fig-sankey-federal"/>
      <w:bookmarkEnd w:id="34"/>
      <w:r>
        <w:t xml:space="preserve">Figure 2: List of Canadian federal acts relevant to Pacific salmon and habitat governance with assigned ministries.</w:t>
      </w:r>
    </w:p>
    <w:p>
      <w:pPr>
        <w:pStyle w:val="CaptionedFigure"/>
      </w:pPr>
      <w:r>
        <w:drawing>
          <wp:inline>
            <wp:extent cx="5943600" cy="5094514"/>
            <wp:effectExtent b="0" l="0" r="0" t="0"/>
            <wp:docPr descr="Figure 3: List of British Columbian provincial acts relevant to Pacific salmon and habitat governance with assigned ministries." title="" id="36" name="Picture"/>
            <a:graphic>
              <a:graphicData uri="http://schemas.openxmlformats.org/drawingml/2006/picture">
                <pic:pic>
                  <pic:nvPicPr>
                    <pic:cNvPr descr="LAPSE_primary_publication_files/figure-docx/fig-sankey-provincial-1.png" id="37" name="Picture"/>
                    <pic:cNvPicPr>
                      <a:picLocks noChangeArrowheads="1" noChangeAspect="1"/>
                    </pic:cNvPicPr>
                  </pic:nvPicPr>
                  <pic:blipFill>
                    <a:blip r:embed="rId35"/>
                    <a:stretch>
                      <a:fillRect/>
                    </a:stretch>
                  </pic:blipFill>
                  <pic:spPr bwMode="auto">
                    <a:xfrm>
                      <a:off x="0" y="0"/>
                      <a:ext cx="5943600" cy="5094514"/>
                    </a:xfrm>
                    <a:prstGeom prst="rect">
                      <a:avLst/>
                    </a:prstGeom>
                    <a:noFill/>
                    <a:ln w="9525">
                      <a:noFill/>
                      <a:headEnd/>
                      <a:tailEnd/>
                    </a:ln>
                  </pic:spPr>
                </pic:pic>
              </a:graphicData>
            </a:graphic>
          </wp:inline>
        </w:drawing>
      </w:r>
    </w:p>
    <w:p>
      <w:pPr>
        <w:pStyle w:val="ImageCaption"/>
      </w:pPr>
      <w:bookmarkStart w:id="38" w:name="fig:fig-sankey-provincial"/>
      <w:bookmarkEnd w:id="38"/>
      <w:r>
        <w:t xml:space="preserve">Figure 3: List of British Columbian provincial acts relevant to Pacific salmon and habitat governance with assigned ministries.</w:t>
      </w:r>
    </w:p>
    <w:p>
      <w:pPr>
        <w:pStyle w:val="BodyText"/>
      </w:pPr>
      <w:r>
        <w:t xml:space="preserve">We accumulated Canadian federal and British Columbian provincial legislation according to their relevance to salmon and habitat stewardship. For this study, the term legislation refers to acts, regulations, codes, and orders. Policies are formal statements about how the government of the day plans to execute the legislative requirements</w:t>
      </w:r>
      <w:r>
        <w:t xml:space="preserve"> </w:t>
      </w:r>
      <w:r>
        <w:t xml:space="preserve">(Marentette and Kronlund 2020)</w:t>
      </w:r>
      <w:r>
        <w:t xml:space="preserve">. Legislation itself is a better indicator of a jurisdiction’s long-term commitment to natural resource stewardship</w:t>
      </w:r>
      <w:r>
        <w:t xml:space="preserve"> </w:t>
      </w:r>
      <w:r>
        <w:t xml:space="preserve">(Bogetti and Mason 2025)</w:t>
      </w:r>
      <w:r>
        <w:t xml:space="preserve"> </w:t>
      </w:r>
      <w:r>
        <w:t xml:space="preserve">because these policies are more prone to changes in the political, administrative, and budgetary landscape without due process or a parliamentary vote. Specific departmental policy frameworks and processes were not assessed within this exercise.</w:t>
      </w:r>
    </w:p>
    <w:p>
      <w:pPr>
        <w:pStyle w:val="Compact"/>
        <w:numPr>
          <w:ilvl w:val="0"/>
          <w:numId w:val="1004"/>
        </w:numPr>
      </w:pPr>
      <w:r>
        <w:rPr>
          <w:b/>
          <w:bCs/>
        </w:rPr>
        <w:t xml:space="preserve">MW - That’s true, although many sections of the Water Sustainability Act aren’t built out and utilized.</w:t>
      </w:r>
    </w:p>
    <w:p>
      <w:pPr>
        <w:pStyle w:val="FirstParagraph"/>
      </w:pPr>
      <w:r>
        <w:t xml:space="preserve">Indigenous legislation, Yukon Territorial legislation, municipal bylaws, and international conventions were also not included explicitly. Although this other legislation is pivotal in the stewardship of Pacific salmon, this regionally diverse administration was outside the scope of this legislative review in terms of feasibility and timelines.</w:t>
      </w:r>
    </w:p>
    <w:p>
      <w:pPr>
        <w:pStyle w:val="BodyText"/>
      </w:pPr>
      <w:r>
        <w:t xml:space="preserve">The</w:t>
      </w:r>
      <w:r>
        <w:t xml:space="preserve"> </w:t>
      </w:r>
      <w:r>
        <w:rPr>
          <w:i/>
          <w:iCs/>
        </w:rPr>
        <w:t xml:space="preserve">Canadian Legal Information Institute</w:t>
      </w:r>
      <w:r>
        <w:t xml:space="preserve"> </w:t>
      </w:r>
      <w:r>
        <w:t xml:space="preserve">website, CanLII</w:t>
      </w:r>
      <w:r>
        <w:t xml:space="preserve"> </w:t>
      </w:r>
      <w:r>
        <w:t xml:space="preserve">(Canadian Legal Information Institute 2025)</w:t>
      </w:r>
      <w:r>
        <w:t xml:space="preserve">, provides an excellent resource for searching federal and provincial legislation by keyword search. We used CanLii through a step-wise, systematic process to query Pacific salmon specific terms (salmon, Chinook, sockeye, etc.); extract other keywords from the salmon-specific legislation (word frequency analysis using udpipe R package); query found keywords and IUCN Threat description wording in CanLII to find adjacent legislation; filter legislation regionally (excluding provinces other than BC); and download HTML files for relevant legislation directly from government websites.</w:t>
      </w:r>
    </w:p>
    <w:p>
      <w:pPr>
        <w:pStyle w:val="Compact"/>
        <w:numPr>
          <w:ilvl w:val="0"/>
          <w:numId w:val="1005"/>
        </w:numPr>
      </w:pPr>
      <w:r>
        <w:rPr>
          <w:b/>
          <w:bCs/>
        </w:rPr>
        <w:t xml:space="preserve">DG - Needs citation - citation(</w:t>
      </w:r>
      <w:r>
        <w:rPr>
          <w:b/>
          <w:bCs/>
        </w:rPr>
        <w:t xml:space="preserve">“</w:t>
      </w:r>
      <w:r>
        <w:rPr>
          <w:b/>
          <w:bCs/>
        </w:rPr>
        <w:t xml:space="preserve">packagename</w:t>
      </w:r>
      <w:r>
        <w:rPr>
          <w:b/>
          <w:bCs/>
        </w:rPr>
        <w:t xml:space="preserve">”</w:t>
      </w:r>
      <w:r>
        <w:rPr>
          <w:b/>
          <w:bCs/>
        </w:rPr>
        <w:t xml:space="preserve">) in R can get you this</w:t>
      </w:r>
    </w:p>
    <w:p>
      <w:pPr>
        <w:pStyle w:val="FirstParagraph"/>
      </w:pPr>
      <w:r>
        <w:t xml:space="preserve">Through the CanLII website, the user may look up the keywords queried in each statute chosen. This allows the user to assess the context of the word in the legislation and determine if the section is relevant to Pacific salmon. The number of statutes collected for inclusion in this study is shown in Table</w:t>
      </w:r>
      <w:r>
        <w:t xml:space="preserve"> </w:t>
      </w:r>
      <w:r>
        <w:t xml:space="preserve">2</w:t>
      </w:r>
      <w:r>
        <w:t xml:space="preserve">.</w:t>
      </w:r>
    </w:p>
    <w:p>
      <w:pPr>
        <w:pStyle w:val="TableCaption"/>
      </w:pPr>
      <w:bookmarkStart w:id="39" w:name="tab:legislation-summary-table"/>
      <w:bookmarkEnd w:id="39"/>
      <w:r>
        <w:t xml:space="preserve">Table 2:</w:t>
      </w:r>
      <w:r>
        <w:t xml:space="preserve"> </w:t>
      </w:r>
      <w:r>
        <w:t xml:space="preserve">Count of legislation by jurisdiction and legislation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58"/>
        <w:gridCol w:w="765"/>
        <w:gridCol w:w="1670"/>
        <w:gridCol w:w="1010"/>
        <w:gridCol w:w="961"/>
        <w:gridCol w:w="936"/>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Jurisdiction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Regulations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w:t>
            </w:r>
          </w:p>
        </w:tc>
      </w:tr>
      <w:tr>
        <w:trPr>
          <w:trHeight w:val="5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Federal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w:t>
            </w:r>
          </w:p>
        </w:tc>
      </w:tr>
      <w:tr>
        <w:trPr>
          <w:trHeight w:val="572" w:hRule="auto"/>
        </w:trPr>
        body2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Provincial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w:t>
            </w:r>
          </w:p>
        </w:tc>
      </w:tr>
      <w:tr>
        <w:trPr>
          <w:trHeight w:val="572" w:hRule="auto"/>
        </w:trPr>
        body3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73</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114</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7</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196</w:t>
            </w:r>
          </w:p>
        </w:tc>
      </w:tr>
    </w:tbl>
    <w:bookmarkEnd w:id="40"/>
    <w:bookmarkStart w:id="45" w:name="legistics"/>
    <w:p>
      <w:pPr>
        <w:pStyle w:val="Heading2"/>
      </w:pPr>
      <w:r>
        <w:t xml:space="preserve">Legistics</w:t>
      </w:r>
    </w:p>
    <w:p>
      <w:pPr>
        <w:pStyle w:val="FirstParagraph"/>
      </w:pPr>
      <w:r>
        <w:t xml:space="preserve">The decentralized overlapping patchwork of Pacific salmon legislation in Canada creates a dynamic such that each act and regulation may contain a variety of administrative responsibilities, possibly attributed to different agencies. However, each act and regulation is comprised of sections and subsections that contain individual clauses that are more specific to a particular management domain. Typological device structure and definitions used in this exercise were derived from the Government of Canada’s</w:t>
      </w:r>
      <w:r>
        <w:t xml:space="preserve"> </w:t>
      </w:r>
      <w:r>
        <w:t xml:space="preserve">“</w:t>
      </w:r>
      <w:r>
        <w:t xml:space="preserve">Legistics Paragraphing</w:t>
      </w:r>
      <w:r>
        <w:t xml:space="preserve">”</w:t>
      </w:r>
      <w:r>
        <w:t xml:space="preserve"> </w:t>
      </w:r>
      <w:r>
        <w:t xml:space="preserve">(Department of Justice Canada 2022)</w:t>
      </w:r>
      <w:r>
        <w:t xml:space="preserve">. For the purpose of this review, we used the individual clause (Figure</w:t>
      </w:r>
      <w:r>
        <w:t xml:space="preserve"> </w:t>
      </w:r>
      <w:r>
        <w:t xml:space="preserve">4</w:t>
      </w:r>
      <w:r>
        <w:t xml:space="preserve">) as the sample unit for assignment into management domains and other attributes.</w:t>
      </w:r>
    </w:p>
    <w:p>
      <w:pPr>
        <w:pStyle w:val="CaptionedFigure"/>
      </w:pPr>
      <w:r>
        <w:drawing>
          <wp:inline>
            <wp:extent cx="5943600" cy="2139048"/>
            <wp:effectExtent b="0" l="0" r="0" t="0"/>
            <wp:docPr descr="Figure 4: Fisheries Act (federal) examples of paragraph parsing from HTML code." title="" id="42" name="Picture"/>
            <a:graphic>
              <a:graphicData uri="http://schemas.openxmlformats.org/drawingml/2006/picture">
                <pic:pic>
                  <pic:nvPicPr>
                    <pic:cNvPr descr="../assets/Legistics%20Paragraphing.png" id="43" name="Picture"/>
                    <pic:cNvPicPr>
                      <a:picLocks noChangeArrowheads="1" noChangeAspect="1"/>
                    </pic:cNvPicPr>
                  </pic:nvPicPr>
                  <pic:blipFill>
                    <a:blip r:embed="rId41"/>
                    <a:stretch>
                      <a:fillRect/>
                    </a:stretch>
                  </pic:blipFill>
                  <pic:spPr bwMode="auto">
                    <a:xfrm>
                      <a:off x="0" y="0"/>
                      <a:ext cx="5943600" cy="2139048"/>
                    </a:xfrm>
                    <a:prstGeom prst="rect">
                      <a:avLst/>
                    </a:prstGeom>
                    <a:noFill/>
                    <a:ln w="9525">
                      <a:noFill/>
                      <a:headEnd/>
                      <a:tailEnd/>
                    </a:ln>
                  </pic:spPr>
                </pic:pic>
              </a:graphicData>
            </a:graphic>
          </wp:inline>
        </w:drawing>
      </w:r>
    </w:p>
    <w:p>
      <w:pPr>
        <w:pStyle w:val="ImageCaption"/>
      </w:pPr>
      <w:bookmarkStart w:id="44" w:name="fig:fig-legistics-paragraphing"/>
      <w:bookmarkEnd w:id="44"/>
      <w:r>
        <w:t xml:space="preserve">Figure 4:</w:t>
      </w:r>
      <w:r>
        <w:t xml:space="preserve"> </w:t>
      </w:r>
      <w:r>
        <w:t xml:space="preserve">Fisheries Act (federal) examples of paragraph parsing from HTML code.</w:t>
      </w:r>
    </w:p>
    <w:p>
      <w:pPr>
        <w:pStyle w:val="BodyText"/>
      </w:pPr>
      <w:r>
        <w:t xml:space="preserve">Legislation presented on Canadian and British Columbian government websites, and corresponding HTML code, is structured such that each clause is separated individually as a paragraph element. HTML code for paragraph elements is generally consistent across legislation, but section, subsection, and heading elements are not. As shown in Figure</w:t>
      </w:r>
      <w:r>
        <w:t xml:space="preserve"> </w:t>
      </w:r>
      <w:r>
        <w:t xml:space="preserve">4</w:t>
      </w:r>
      <w:r>
        <w:t xml:space="preserve">,</w:t>
      </w:r>
      <w:r>
        <w:t xml:space="preserve"> </w:t>
      </w:r>
      <w:r>
        <w:t xml:space="preserve">“</w:t>
      </w:r>
      <w:r>
        <w:t xml:space="preserve">clause</w:t>
      </w:r>
      <w:r>
        <w:t xml:space="preserve">”</w:t>
      </w:r>
      <w:r>
        <w:t xml:space="preserve"> </w:t>
      </w:r>
      <w:r>
        <w:t xml:space="preserve">in this study can also refer to subclauses, but also sections, subsections, and opening words (chapeau or umbrella) when they are stand-alone paragraph elements. HTML files were parsed using R and the</w:t>
      </w:r>
      <w:r>
        <w:t xml:space="preserve"> </w:t>
      </w:r>
      <w:r>
        <w:t xml:space="preserve">“</w:t>
      </w:r>
      <w:r>
        <w:t xml:space="preserve">rvest</w:t>
      </w:r>
      <w:r>
        <w:t xml:space="preserve">”</w:t>
      </w:r>
      <w:r>
        <w:t xml:space="preserve"> </w:t>
      </w:r>
      <w:r>
        <w:t xml:space="preserve">package to extract the text of each clause, then grouped by section and heading.</w:t>
      </w:r>
    </w:p>
    <w:p>
      <w:pPr>
        <w:pStyle w:val="Compact"/>
        <w:numPr>
          <w:ilvl w:val="0"/>
          <w:numId w:val="1006"/>
        </w:numPr>
      </w:pPr>
      <w:r>
        <w:rPr>
          <w:b/>
          <w:bCs/>
        </w:rPr>
        <w:t xml:space="preserve">DG - Also needs a citation. Note to be consistent in the introduction of R package names. udpipe doesn’t have quotation marks, this one does. The formatting depends on the citation style, so it can be changed later, but a consistent starting point would be good.</w:t>
      </w:r>
    </w:p>
    <w:p>
      <w:pPr>
        <w:pStyle w:val="Compact"/>
        <w:numPr>
          <w:ilvl w:val="0"/>
          <w:numId w:val="1006"/>
        </w:numPr>
      </w:pPr>
      <w:r>
        <w:rPr>
          <w:b/>
          <w:bCs/>
        </w:rPr>
        <w:t xml:space="preserve">MW - Define the statute being the Fisheries Act into the figure or title? For some reason, the term statute is confusing me. I had to look up the definition to check if it included regulations or not. I wonder if it should be defined for readability earlier in the report or if people should just know this term.</w:t>
      </w:r>
    </w:p>
    <w:bookmarkEnd w:id="45"/>
    <w:bookmarkStart w:id="46" w:name="the-lapse-framework-development"/>
    <w:p>
      <w:pPr>
        <w:pStyle w:val="Heading2"/>
      </w:pPr>
      <w:r>
        <w:t xml:space="preserve">The LAPSE framework development</w:t>
      </w:r>
    </w:p>
    <w:p>
      <w:pPr>
        <w:pStyle w:val="FirstParagraph"/>
      </w:pPr>
      <w:r>
        <w:t xml:space="preserve">The parsed legislation was stored in a SQLite database with datatables including jurisdiction, act name, legislation name, legislation type, paragraph content, section, heading, management domain, IUCN threat category, scope, and keywords matched. Storing the data as a database rather than one large spreadsheet allowed for a more dynamic and versatile system for querying, while streamlining the parsing and collection process.</w:t>
      </w:r>
    </w:p>
    <w:bookmarkEnd w:id="46"/>
    <w:bookmarkStart w:id="47" w:name="keyword-and-keyphrase-development"/>
    <w:p>
      <w:pPr>
        <w:pStyle w:val="Heading2"/>
      </w:pPr>
      <w:r>
        <w:t xml:space="preserve">Keyword and keyphrase development</w:t>
      </w:r>
    </w:p>
    <w:p>
      <w:pPr>
        <w:pStyle w:val="FirstParagraph"/>
      </w:pPr>
      <w:r>
        <w:t xml:space="preserve">The management domain and IUCN threat matching process pivoted around an established list of keywords and phrases relevant to Pacific salmon stewardship. Keywords act as the language link between categorization and the legislative clauses. Keywords must be specific enough to match an IUCN threat, yet general enough to appear in multiple acts and regulations that span many decades of legislative language.</w:t>
      </w:r>
    </w:p>
    <w:p>
      <w:pPr>
        <w:pStyle w:val="BodyText"/>
      </w:pPr>
      <w:r>
        <w:t xml:space="preserve">We derived keyword lists from the</w:t>
      </w:r>
      <w:r>
        <w:t xml:space="preserve"> </w:t>
      </w:r>
      <w:r>
        <w:rPr>
          <w:i/>
          <w:iCs/>
        </w:rPr>
        <w:t xml:space="preserve">IUCN - CMP Direct Threats Classification 4.0</w:t>
      </w:r>
      <w:r>
        <w:t xml:space="preserve"> </w:t>
      </w:r>
      <w:r>
        <w:t xml:space="preserve">examples and definitions; word frequency analyses (unigrams, bigrams, and trigrams) of collected legislation; and iterative researcher input and revision. The keyword and keyphrase development process required an iterative researcher revision step because of the varied context of language. While the words used in the IUCN threat definitions may be specific to those threats, they may not be relevant to salmon stewardship and may also have multiple meanings leading to an over-assignment of categories. For example, the word</w:t>
      </w:r>
      <w:r>
        <w:t xml:space="preserve"> </w:t>
      </w:r>
      <w:r>
        <w:t xml:space="preserve">“</w:t>
      </w:r>
      <w:r>
        <w:t xml:space="preserve">landfill</w:t>
      </w:r>
      <w:r>
        <w:t xml:space="preserve">”</w:t>
      </w:r>
      <w:r>
        <w:t xml:space="preserve"> </w:t>
      </w:r>
      <w:r>
        <w:t xml:space="preserve">is listed on the IUCN threat examples for</w:t>
      </w:r>
      <w:r>
        <w:t xml:space="preserve"> </w:t>
      </w:r>
      <w:r>
        <w:t xml:space="preserve">“</w:t>
      </w:r>
      <w:r>
        <w:t xml:space="preserve">1.2 Commercial &amp; Industrial Areas,</w:t>
      </w:r>
      <w:r>
        <w:t xml:space="preserve">”</w:t>
      </w:r>
      <w:r>
        <w:t xml:space="preserve"> </w:t>
      </w:r>
      <w:r>
        <w:t xml:space="preserve">in the context of the physical footprint of landfill sites. Much of the collected legislation deals with pollution, in which landfills are mentioned as a source of effluent. However, for salmon habitat, the main threat would come from water effluent, rather than the physical impact of landfill sites proximal to salmon habitat, and pollution would be a more accurate designation.</w:t>
      </w:r>
      <w:r>
        <w:t xml:space="preserve"> </w:t>
      </w:r>
      <w:r>
        <w:t xml:space="preserve">“</w:t>
      </w:r>
      <w:r>
        <w:t xml:space="preserve">Landfill</w:t>
      </w:r>
      <w:r>
        <w:t xml:space="preserve">”</w:t>
      </w:r>
      <w:r>
        <w:t xml:space="preserve"> </w:t>
      </w:r>
      <w:r>
        <w:t xml:space="preserve">as a keyword adds many clauses that could be considered outside of the scope of this tool, and so</w:t>
      </w:r>
      <w:r>
        <w:t xml:space="preserve"> </w:t>
      </w:r>
      <w:r>
        <w:t xml:space="preserve">“</w:t>
      </w:r>
      <w:r>
        <w:t xml:space="preserve">landfill</w:t>
      </w:r>
      <w:r>
        <w:t xml:space="preserve">”</w:t>
      </w:r>
      <w:r>
        <w:t xml:space="preserve"> </w:t>
      </w:r>
      <w:r>
        <w:t xml:space="preserve">was removed from the keyword list. Conversely, the word</w:t>
      </w:r>
      <w:r>
        <w:t xml:space="preserve"> </w:t>
      </w:r>
      <w:r>
        <w:t xml:space="preserve">“</w:t>
      </w:r>
      <w:r>
        <w:t xml:space="preserve">riparian</w:t>
      </w:r>
      <w:r>
        <w:t xml:space="preserve">”</w:t>
      </w:r>
      <w:r>
        <w:t xml:space="preserve"> </w:t>
      </w:r>
      <w:r>
        <w:t xml:space="preserve">is very relevant to salmon habitat stewardship in British Columbia, yet that word doesn’t appear in the IUCN threat examples or word frequency analyses. As well,</w:t>
      </w:r>
      <w:r>
        <w:t xml:space="preserve"> </w:t>
      </w:r>
      <w:r>
        <w:t xml:space="preserve">“</w:t>
      </w:r>
      <w:r>
        <w:t xml:space="preserve">riparian</w:t>
      </w:r>
      <w:r>
        <w:t xml:space="preserve">”</w:t>
      </w:r>
      <w:r>
        <w:t xml:space="preserve"> </w:t>
      </w:r>
      <w:r>
        <w:t xml:space="preserve">doesn’t appear in word frequency analyses of other legislation.</w:t>
      </w:r>
      <w:r>
        <w:t xml:space="preserve"> </w:t>
      </w:r>
      <w:r>
        <w:t xml:space="preserve">“</w:t>
      </w:r>
      <w:r>
        <w:t xml:space="preserve">Riparian</w:t>
      </w:r>
      <w:r>
        <w:t xml:space="preserve">”</w:t>
      </w:r>
      <w:r>
        <w:t xml:space="preserve"> </w:t>
      </w:r>
      <w:r>
        <w:t xml:space="preserve">was added as a keyword solely from the researchers’ discretion.</w:t>
      </w:r>
    </w:p>
    <w:p>
      <w:pPr>
        <w:numPr>
          <w:ilvl w:val="0"/>
          <w:numId w:val="1007"/>
        </w:numPr>
      </w:pPr>
      <w:r>
        <w:rPr>
          <w:b/>
          <w:bCs/>
        </w:rPr>
        <w:t xml:space="preserve">DG - I think this example adequately gets across the idea that keywords may have multiple meanings and may be misaligned with threat categories. I’ve provided some edits for consideration that attempt to refine the context of the threat category definitions. Feel free to refine/reject my edits, and let me know if the ideas I’m attempting to introduce don’t make sense. Happy to discuss further.</w:t>
      </w:r>
    </w:p>
    <w:p>
      <w:pPr>
        <w:numPr>
          <w:ilvl w:val="0"/>
          <w:numId w:val="1007"/>
        </w:numPr>
      </w:pPr>
      <w:r>
        <w:rPr>
          <w:b/>
          <w:bCs/>
        </w:rPr>
        <w:t xml:space="preserve">DG</w:t>
      </w:r>
      <w:r>
        <w:t xml:space="preserve"> </w:t>
      </w:r>
      <w:r>
        <w:t xml:space="preserve">-</w:t>
      </w:r>
      <w:r>
        <w:t xml:space="preserve"> </w:t>
      </w:r>
      <w:r>
        <w:rPr>
          <w:b/>
          <w:bCs/>
        </w:rPr>
        <w:t xml:space="preserve">This is the first time that</w:t>
      </w:r>
      <w:r>
        <w:rPr>
          <w:b/>
          <w:bCs/>
        </w:rPr>
        <w:t xml:space="preserve"> </w:t>
      </w:r>
      <w:r>
        <w:rPr>
          <w:b/>
          <w:bCs/>
        </w:rPr>
        <w:t xml:space="preserve">“</w:t>
      </w:r>
      <w:r>
        <w:rPr>
          <w:b/>
          <w:bCs/>
        </w:rPr>
        <w:t xml:space="preserve">tool</w:t>
      </w:r>
      <w:r>
        <w:rPr>
          <w:b/>
          <w:bCs/>
        </w:rPr>
        <w:t xml:space="preserve">”</w:t>
      </w:r>
      <w:r>
        <w:rPr>
          <w:b/>
          <w:bCs/>
        </w:rPr>
        <w:t xml:space="preserve"> </w:t>
      </w:r>
      <w:r>
        <w:rPr>
          <w:b/>
          <w:bCs/>
        </w:rPr>
        <w:t xml:space="preserve">is used to describe the project. It may be helpful to introduce the concept of this project’s outcomes as a tool in an earlier part of the report, possibly in the section introducing the objectives.</w:t>
      </w:r>
    </w:p>
    <w:p>
      <w:pPr>
        <w:pStyle w:val="FirstParagraph"/>
      </w:pPr>
      <w:r>
        <w:t xml:space="preserve">Researcher subjectivity can influence the process on two fronts: legislation inclusion, and keyword list development. However, using keyword lists allows for the subjectivity to be acknowledged, and the keyword lists to be reported such that the process may be repeatable. The meaning and context behind keywords, especially single words, can cause mis-categorization in unexpected ways. For example, the word</w:t>
      </w:r>
      <w:r>
        <w:t xml:space="preserve"> </w:t>
      </w:r>
      <w:r>
        <w:t xml:space="preserve">“</w:t>
      </w:r>
      <w:r>
        <w:t xml:space="preserve">stock</w:t>
      </w:r>
      <w:r>
        <w:t xml:space="preserve">”</w:t>
      </w:r>
      <w:r>
        <w:t xml:space="preserve"> </w:t>
      </w:r>
      <w:r>
        <w:t xml:space="preserve">is an important keyword for salmon stewardship (the Fisheries management domain category). However, as a single word,</w:t>
      </w:r>
      <w:r>
        <w:t xml:space="preserve"> </w:t>
      </w:r>
      <w:r>
        <w:t xml:space="preserve">“</w:t>
      </w:r>
      <w:r>
        <w:t xml:space="preserve">stock</w:t>
      </w:r>
      <w:r>
        <w:t xml:space="preserve">”</w:t>
      </w:r>
      <w:r>
        <w:t xml:space="preserve"> </w:t>
      </w:r>
      <w:r>
        <w:t xml:space="preserve">can also refer to business holdings, freight cars, and cattle, which do not fit the Fisheries management domain. Revision of</w:t>
      </w:r>
      <w:r>
        <w:t xml:space="preserve"> </w:t>
      </w:r>
      <w:r>
        <w:t xml:space="preserve">“</w:t>
      </w:r>
      <w:r>
        <w:t xml:space="preserve">stock</w:t>
      </w:r>
      <w:r>
        <w:t xml:space="preserve">”</w:t>
      </w:r>
      <w:r>
        <w:t xml:space="preserve"> </w:t>
      </w:r>
      <w:r>
        <w:t xml:space="preserve">as a keyword is important for the accuracy of categorization. Outputs were reviewed iteratively, and keyword revision was a continuous process to find more relevant bigram or trigram alternatives; remove keywords where sections are already matched with other, more applicable keywords; and search for more specific word variations (plural, past tense, etc.)</w:t>
      </w:r>
    </w:p>
    <w:p>
      <w:pPr>
        <w:pStyle w:val="Compact"/>
        <w:numPr>
          <w:ilvl w:val="0"/>
          <w:numId w:val="1008"/>
        </w:numPr>
      </w:pPr>
      <w:r>
        <w:rPr>
          <w:b/>
          <w:bCs/>
        </w:rPr>
        <w:t xml:space="preserve">The number of statutes per se is not generally indicative of overall quality or potential effectiveness of any legal framework</w:t>
      </w:r>
      <w:r>
        <w:rPr>
          <w:b/>
          <w:bCs/>
        </w:rPr>
        <w:t xml:space="preserve"> </w:t>
      </w:r>
      <w:r>
        <w:rPr>
          <w:b/>
          <w:bCs/>
        </w:rPr>
        <w:t xml:space="preserve">(Ray et al. 2021)</w:t>
      </w:r>
    </w:p>
    <w:bookmarkEnd w:id="47"/>
    <w:bookmarkEnd w:id="48"/>
    <w:bookmarkStart w:id="69" w:name="X21d2b709a3b2e27437c410286f2936ef3517541"/>
    <w:p>
      <w:pPr>
        <w:pStyle w:val="Heading1"/>
      </w:pPr>
      <w:r>
        <w:t xml:space="preserve">Management domains and the LAPSE framework</w:t>
      </w:r>
    </w:p>
    <w:p>
      <w:pPr>
        <w:pStyle w:val="FirstParagraph"/>
      </w:pPr>
      <w:r>
        <w:t xml:space="preserve">Management domains represent a reframing of multi-jurisdictional issues by salmon stewardship concern rather than specific agency. This tool can then be used by practitioners to view binding legislation when considering actions or proposals. Using the IUCN-CMP Direct Threats Classification 4.0, and other broader categories identified through this exercise process, the following management domains were identified (Table</w:t>
      </w:r>
      <w:r>
        <w:t xml:space="preserve"> </w:t>
      </w:r>
      <w:r>
        <w:t xml:space="preserve">3</w:t>
      </w:r>
      <w:r>
        <w:t xml:space="preserve">).</w:t>
      </w:r>
    </w:p>
    <w:p>
      <w:pPr>
        <w:pStyle w:val="TableCaption"/>
      </w:pPr>
      <w:bookmarkStart w:id="49" w:name="tab:management-domain-tally"/>
      <w:bookmarkEnd w:id="49"/>
      <w:r>
        <w:t xml:space="preserve">Table 3:</w:t>
      </w:r>
      <w:r>
        <w:t xml:space="preserve"> </w:t>
      </w:r>
      <w:r>
        <w:t xml:space="preserve">Count of statutes, sections, and clauses by management domain.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25"/>
        <w:gridCol w:w="1279"/>
        <w:gridCol w:w="1328"/>
        <w:gridCol w:w="1254"/>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Management 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Clauses</w:t>
            </w:r>
          </w:p>
        </w:tc>
      </w:tr>
      <w:tr>
        <w:trPr>
          <w:trHeight w:val="61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Agriculture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w:t>
            </w:r>
          </w:p>
        </w:tc>
      </w:tr>
      <w:tr>
        <w:trPr>
          <w:trHeight w:val="61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Aquaculture and Hatcheries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Climate Change and Natural Disasters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w:t>
            </w:r>
          </w:p>
        </w:tc>
      </w:tr>
      <w:tr>
        <w:trPr>
          <w:trHeight w:val="60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2,844</w:t>
            </w:r>
          </w:p>
        </w:tc>
      </w:tr>
      <w:tr>
        <w:trPr>
          <w:trHeight w:val="61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Forest and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1,273</w:t>
            </w:r>
          </w:p>
        </w:tc>
      </w:tr>
      <w:tr>
        <w:trPr>
          <w:trHeight w:val="60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Governance Administration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1,585</w:t>
            </w:r>
          </w:p>
        </w:tc>
      </w:tr>
      <w:tr>
        <w:trPr>
          <w:trHeight w:val="57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Human Disturbance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61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Invasive or Problematic Species and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985</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Mining and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664</w:t>
            </w:r>
          </w:p>
        </w:tc>
      </w:tr>
      <w:tr>
        <w:trPr>
          <w:trHeight w:val="60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Pollution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7,611</w:t>
            </w:r>
          </w:p>
        </w:tc>
      </w:tr>
      <w:tr>
        <w:trPr>
          <w:trHeight w:val="57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Restoration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978</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Designation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7,151</w:t>
            </w:r>
          </w:p>
        </w:tc>
      </w:tr>
      <w:tr>
        <w:trPr>
          <w:trHeight w:val="61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Status and Assessment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787</w:t>
            </w:r>
          </w:p>
        </w:tc>
      </w:tr>
      <w:tr>
        <w:trPr>
          <w:trHeight w:val="61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Transportation Infrastructure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973</w:t>
            </w:r>
          </w:p>
        </w:tc>
      </w:tr>
      <w:tr>
        <w:trPr>
          <w:trHeight w:val="600" w:hRule="auto"/>
        </w:trPr>
        body15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Water Use and Watercourse Modifications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4,099</w:t>
            </w:r>
          </w:p>
        </w:tc>
      </w:tr>
      <w:tr>
        <w:trPr>
          <w:trHeight w:val="604" w:hRule="auto"/>
        </w:trPr>
        body16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196</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8,554</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29,959</w:t>
            </w:r>
          </w:p>
        </w:tc>
      </w:tr>
    </w:tbl>
    <w:p>
      <w:pPr>
        <w:pStyle w:val="BodyText"/>
      </w:pPr>
      <w:r>
        <w:br/>
      </w:r>
    </w:p>
    <w:p>
      <w:pPr>
        <w:pStyle w:val="BodyText"/>
      </w:pPr>
      <w:r>
        <w:t xml:space="preserve">Management domains were identified within all the collected statutes. Pollution was the management domain with the highest section count (Figure</w:t>
      </w:r>
      <w:r>
        <w:t xml:space="preserve"> </w:t>
      </w:r>
      <w:r>
        <w:t xml:space="preserve">5</w:t>
      </w:r>
      <w:r>
        <w:t xml:space="preserve">), split almost evenly between federal and provincial jurisdictions. Human Disturbance (research</w:t>
      </w:r>
      <w:r>
        <w:t xml:space="preserve"> </w:t>
      </w:r>
      <w:r>
        <w:rPr>
          <w:b/>
          <w:bCs/>
        </w:rPr>
        <w:t xml:space="preserve">**scientific?</w:t>
      </w:r>
      <w:r>
        <w:t xml:space="preserve"> </w:t>
      </w:r>
      <w:r>
        <w:t xml:space="preserve">activities) and Climate Change and Natural Disasters had the fewest section count. Fisheries was in the top three for section count, with a majority of sections under federal jurisdiction. Water Use and Watercourse Modifications was in the top four for section count, with a majority of sections under provincial jurisdiction. This count indicates an underlying possibly dysfunctional relationship where salmon harvest is controlled federally while habitat aspects are governed provincially.</w:t>
      </w:r>
    </w:p>
    <w:p>
      <w:pPr>
        <w:pStyle w:val="Compact"/>
        <w:numPr>
          <w:ilvl w:val="0"/>
          <w:numId w:val="1009"/>
        </w:numPr>
      </w:pPr>
      <w:r>
        <w:rPr>
          <w:b/>
          <w:bCs/>
        </w:rPr>
        <w:t xml:space="preserve">MW - The Management Domain of Human Disturbance is just research activities? This seems less intuitive for me than the other management domains since human disturbance could refer to most of them.</w:t>
      </w:r>
    </w:p>
    <w:p>
      <w:pPr>
        <w:pStyle w:val="CaptionedFigure"/>
      </w:pPr>
      <w:r>
        <w:drawing>
          <wp:inline>
            <wp:extent cx="5943600" cy="4457699"/>
            <wp:effectExtent b="0" l="0" r="0" t="0"/>
            <wp:docPr descr="Figure 5: Count of sections matched by management domain, stacked by jurisdiction." title="" id="51" name="Picture"/>
            <a:graphic>
              <a:graphicData uri="http://schemas.openxmlformats.org/drawingml/2006/picture">
                <pic:pic>
                  <pic:nvPicPr>
                    <pic:cNvPr descr="LAPSE_primary_publication_files/figure-docx/section-count-by-management-domain-1.png" id="52" name="Picture"/>
                    <pic:cNvPicPr>
                      <a:picLocks noChangeArrowheads="1" noChangeAspect="1"/>
                    </pic:cNvPicPr>
                  </pic:nvPicPr>
                  <pic:blipFill>
                    <a:blip r:embed="rId50"/>
                    <a:stretch>
                      <a:fillRect/>
                    </a:stretch>
                  </pic:blipFill>
                  <pic:spPr bwMode="auto">
                    <a:xfrm>
                      <a:off x="0" y="0"/>
                      <a:ext cx="5943600" cy="4457699"/>
                    </a:xfrm>
                    <a:prstGeom prst="rect">
                      <a:avLst/>
                    </a:prstGeom>
                    <a:noFill/>
                    <a:ln w="9525">
                      <a:noFill/>
                      <a:headEnd/>
                      <a:tailEnd/>
                    </a:ln>
                  </pic:spPr>
                </pic:pic>
              </a:graphicData>
            </a:graphic>
          </wp:inline>
        </w:drawing>
      </w:r>
    </w:p>
    <w:p>
      <w:pPr>
        <w:pStyle w:val="ImageCaption"/>
      </w:pPr>
      <w:bookmarkStart w:id="53" w:name="fig:section-count-by-management-domain"/>
      <w:bookmarkEnd w:id="53"/>
      <w:r>
        <w:t xml:space="preserve">Figure 5: Count of sections matched by management domain, stacked by jurisdiction.</w:t>
      </w:r>
    </w:p>
    <w:bookmarkStart w:id="58" w:name="iucn-level-2-categories"/>
    <w:p>
      <w:pPr>
        <w:pStyle w:val="Heading2"/>
      </w:pPr>
      <w:r>
        <w:t xml:space="preserve">IUCN Level 2 categories</w:t>
      </w:r>
    </w:p>
    <w:p>
      <w:pPr>
        <w:pStyle w:val="FirstParagraph"/>
      </w:pPr>
      <w:r>
        <w:t xml:space="preserve">IUCN Level 2 categories are more specific, and the categorization process matched to 25 categories (Figure</w:t>
      </w:r>
      <w:r>
        <w:t xml:space="preserve"> </w:t>
      </w:r>
      <w:r>
        <w:t xml:space="preserve">6</w:t>
      </w:r>
      <w:r>
        <w:t xml:space="preserve">) that parallel the management domain categories. Multiple IUCN threats comprise a management domain; however</w:t>
      </w:r>
      <w:r>
        <w:t xml:space="preserve"> </w:t>
      </w:r>
      <w:r>
        <w:t xml:space="preserve">“</w:t>
      </w:r>
      <w:r>
        <w:t xml:space="preserve">9.1 Water-Borne &amp; Other Effluent Pollution</w:t>
      </w:r>
      <w:r>
        <w:t xml:space="preserve">”</w:t>
      </w:r>
      <w:r>
        <w:t xml:space="preserve"> </w:t>
      </w:r>
      <w:r>
        <w:t xml:space="preserve">matched with the highest number of sections (as in the management domains) followed by</w:t>
      </w:r>
      <w:r>
        <w:t xml:space="preserve"> </w:t>
      </w:r>
      <w:r>
        <w:t xml:space="preserve">“</w:t>
      </w:r>
      <w:r>
        <w:t xml:space="preserve">5.4 Fishing, Harvesting &amp; Controlling Aquatic Species.</w:t>
      </w:r>
      <w:r>
        <w:t xml:space="preserve">”</w:t>
      </w:r>
      <w:r>
        <w:t xml:space="preserve"> </w:t>
      </w:r>
      <w:r>
        <w:t xml:space="preserve">Eight IUCN threat categories make up the Water Use and Watercourse Modifications management domain, but</w:t>
      </w:r>
      <w:r>
        <w:t xml:space="preserve"> </w:t>
      </w:r>
      <w:r>
        <w:t xml:space="preserve">“</w:t>
      </w:r>
      <w:r>
        <w:t xml:space="preserve">7.2 Dams &amp; Water Management / Use</w:t>
      </w:r>
      <w:r>
        <w:t xml:space="preserve">”</w:t>
      </w:r>
      <w:r>
        <w:t xml:space="preserve"> </w:t>
      </w:r>
      <w:r>
        <w:t xml:space="preserve">has the majority of matches.</w:t>
      </w:r>
    </w:p>
    <w:p>
      <w:pPr>
        <w:pStyle w:val="CaptionedFigure"/>
      </w:pPr>
      <w:r>
        <w:drawing>
          <wp:inline>
            <wp:extent cx="5943600" cy="4754880"/>
            <wp:effectExtent b="0" l="0" r="0" t="0"/>
            <wp:docPr descr="Figure 6: Section counts by IUCN threat category, separated by jurisdiction." title="" id="55" name="Picture"/>
            <a:graphic>
              <a:graphicData uri="http://schemas.openxmlformats.org/drawingml/2006/picture">
                <pic:pic>
                  <pic:nvPicPr>
                    <pic:cNvPr descr="LAPSE_primary_publication_files/figure-docx/fig-section-count-by-iucn-1.png" id="56" name="Picture"/>
                    <pic:cNvPicPr>
                      <a:picLocks noChangeArrowheads="1" noChangeAspect="1"/>
                    </pic:cNvPicPr>
                  </pic:nvPicPr>
                  <pic:blipFill>
                    <a:blip r:embed="rId54"/>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bookmarkStart w:id="57" w:name="fig:fig-section-count-by-iucn"/>
      <w:bookmarkEnd w:id="57"/>
      <w:r>
        <w:t xml:space="preserve">Figure 6: Section counts by IUCN threat category, separated by jurisdiction.</w:t>
      </w:r>
    </w:p>
    <w:bookmarkEnd w:id="58"/>
    <w:bookmarkStart w:id="68" w:name="salmon-specific-scope"/>
    <w:p>
      <w:pPr>
        <w:pStyle w:val="Heading2"/>
      </w:pPr>
      <w:r>
        <w:t xml:space="preserve">Salmon-specific scope</w:t>
      </w:r>
    </w:p>
    <w:p>
      <w:pPr>
        <w:pStyle w:val="FirstParagraph"/>
      </w:pPr>
      <w:r>
        <w:t xml:space="preserve">Regulatory language that can be matched to management domain and IUCN threat categories is not inherently relevant to Pacific salmon. However, clauses fall within a relevance spectrum. For example, a clause that states catch limits for Chinook salmon would be much more specific to salmon stewardship than a clause that states that a minister shall include ecological integrity objectives in a park management plan. Both clauses influence salmon governance and stewardship, but one clause is more direct. A</w:t>
      </w:r>
      <w:r>
        <w:t xml:space="preserve"> </w:t>
      </w:r>
      <w:r>
        <w:t xml:space="preserve">“</w:t>
      </w:r>
      <w:r>
        <w:t xml:space="preserve">scope</w:t>
      </w:r>
      <w:r>
        <w:t xml:space="preserve">”</w:t>
      </w:r>
      <w:r>
        <w:t xml:space="preserve"> </w:t>
      </w:r>
      <w:r>
        <w:t xml:space="preserve">classification was developed as part of this study to parallel management domains and categorize clauses based on their direct application to Pacific salmon. Scope categories were determined by the specificity of the language used in the section (Figure</w:t>
      </w:r>
      <w:r>
        <w:t xml:space="preserve"> </w:t>
      </w:r>
      <w:r>
        <w:t xml:space="preserve">7</w:t>
      </w:r>
      <w:r>
        <w:t xml:space="preserve">). The scope categories were defined as:</w:t>
      </w:r>
      <w:r>
        <w:t xml:space="preserve"> </w:t>
      </w:r>
      <w:r>
        <w:t xml:space="preserve">“</w:t>
      </w:r>
      <w:r>
        <w:t xml:space="preserve">1 – Salmon</w:t>
      </w:r>
      <w:r>
        <w:t xml:space="preserve">”</w:t>
      </w:r>
      <w:r>
        <w:t xml:space="preserve"> </w:t>
      </w:r>
      <w:r>
        <w:t xml:space="preserve">(refers to Pacific salmon specifically);</w:t>
      </w:r>
      <w:r>
        <w:t xml:space="preserve"> </w:t>
      </w:r>
      <w:r>
        <w:t xml:space="preserve">“</w:t>
      </w:r>
      <w:r>
        <w:t xml:space="preserve">2 – Fish</w:t>
      </w:r>
      <w:r>
        <w:t xml:space="preserve">”</w:t>
      </w:r>
      <w:r>
        <w:t xml:space="preserve"> </w:t>
      </w:r>
      <w:r>
        <w:t xml:space="preserve">(refers to fish that include salmon);</w:t>
      </w:r>
      <w:r>
        <w:t xml:space="preserve"> </w:t>
      </w:r>
      <w:r>
        <w:t xml:space="preserve">“</w:t>
      </w:r>
      <w:r>
        <w:t xml:space="preserve">3 – Habitat</w:t>
      </w:r>
      <w:r>
        <w:t xml:space="preserve">”</w:t>
      </w:r>
      <w:r>
        <w:t xml:space="preserve"> </w:t>
      </w:r>
      <w:r>
        <w:t xml:space="preserve">(refers to any habitat that includes salmon habitat); and</w:t>
      </w:r>
      <w:r>
        <w:t xml:space="preserve"> </w:t>
      </w:r>
      <w:r>
        <w:t xml:space="preserve">“</w:t>
      </w:r>
      <w:r>
        <w:t xml:space="preserve">4 – Governance</w:t>
      </w:r>
      <w:r>
        <w:t xml:space="preserve">”</w:t>
      </w:r>
      <w:r>
        <w:t xml:space="preserve"> </w:t>
      </w:r>
      <w:r>
        <w:t xml:space="preserve">(refers to administrative processes and structure).</w:t>
      </w:r>
    </w:p>
    <w:p>
      <w:pPr>
        <w:pStyle w:val="CaptionedFigure"/>
      </w:pPr>
      <w:r>
        <w:drawing>
          <wp:inline>
            <wp:extent cx="5943600" cy="5200649"/>
            <wp:effectExtent b="0" l="0" r="0" t="0"/>
            <wp:docPr descr="Figure 7: Proportion of sections by management domain, displayed as concentric rings representing scope categories (inner to outer: 1 - Salmon, 2 - Fish, 3 - Habitat, 4 - Governance)." title="" id="60" name="Picture"/>
            <a:graphic>
              <a:graphicData uri="http://schemas.openxmlformats.org/drawingml/2006/picture">
                <pic:pic>
                  <pic:nvPicPr>
                    <pic:cNvPr descr="LAPSE_primary_publication_files/figure-docx/multiscope-donut-1.png" id="61" name="Picture"/>
                    <pic:cNvPicPr>
                      <a:picLocks noChangeArrowheads="1" noChangeAspect="1"/>
                    </pic:cNvPicPr>
                  </pic:nvPicPr>
                  <pic:blipFill>
                    <a:blip r:embed="rId59"/>
                    <a:stretch>
                      <a:fillRect/>
                    </a:stretch>
                  </pic:blipFill>
                  <pic:spPr bwMode="auto">
                    <a:xfrm>
                      <a:off x="0" y="0"/>
                      <a:ext cx="5943600" cy="5200649"/>
                    </a:xfrm>
                    <a:prstGeom prst="rect">
                      <a:avLst/>
                    </a:prstGeom>
                    <a:noFill/>
                    <a:ln w="9525">
                      <a:noFill/>
                      <a:headEnd/>
                      <a:tailEnd/>
                    </a:ln>
                  </pic:spPr>
                </pic:pic>
              </a:graphicData>
            </a:graphic>
          </wp:inline>
        </w:drawing>
      </w:r>
    </w:p>
    <w:p>
      <w:pPr>
        <w:pStyle w:val="ImageCaption"/>
      </w:pPr>
      <w:bookmarkStart w:id="62" w:name="fig:multiscope-donut"/>
      <w:bookmarkEnd w:id="62"/>
      <w:r>
        <w:t xml:space="preserve">Figure 7: Proportion of sections by management domain, displayed as concentric rings representing scope categories (inner to outer: 1 - Salmon, 2 - Fish, 3 - Habitat, 4 - Governance).</w:t>
      </w:r>
    </w:p>
    <w:p>
      <w:pPr>
        <w:pStyle w:val="Compact"/>
        <w:numPr>
          <w:ilvl w:val="0"/>
          <w:numId w:val="1010"/>
        </w:numPr>
      </w:pPr>
      <w:r>
        <w:rPr>
          <w:b/>
          <w:bCs/>
        </w:rPr>
        <w:t xml:space="preserve">DG - This is a super cool figure. I have a couple of questions about it. How was the order of the categories decided? Governance is the largest ring as #4, but it has the fewest management domains, so it could be more easily interpreted as a smaller ring compared to salmon, which relates to many categories but is the smallest ring at #1. I also find the colours difficult to distinguish. I assume this pattern was used because there are so many categories and a categorical colour scheme may be difficult with so many categories. I suggest devising an accessible colour scheme using an online tool for the maximum feasible number of categories, and then perhaps add linework/cross hatching to further distinguish the remaining categories. Currently, the gradient suggests in a way that there’s a relationship between proximal management domains, but it merely is arranged alphabetically.</w:t>
      </w:r>
    </w:p>
    <w:p>
      <w:pPr>
        <w:pStyle w:val="FirstParagraph"/>
      </w:pPr>
      <w:r>
        <w:t xml:space="preserve">The scope assignment process was linked, but occurred independent of the management domain and IUCN threat assignment process. The</w:t>
      </w:r>
      <w:r>
        <w:t xml:space="preserve"> </w:t>
      </w:r>
      <w:r>
        <w:t xml:space="preserve">“</w:t>
      </w:r>
      <w:r>
        <w:t xml:space="preserve">1 – Salmon</w:t>
      </w:r>
      <w:r>
        <w:t xml:space="preserve">”</w:t>
      </w:r>
      <w:r>
        <w:t xml:space="preserve"> </w:t>
      </w:r>
      <w:r>
        <w:t xml:space="preserve">scope was assigned based solely on salmon keywords (salmon, Chinook, sockeye, etc.), regardless of management domain or IUCN threat. The</w:t>
      </w:r>
      <w:r>
        <w:t xml:space="preserve"> </w:t>
      </w:r>
      <w:r>
        <w:t xml:space="preserve">“</w:t>
      </w:r>
      <w:r>
        <w:t xml:space="preserve">2 – Fish</w:t>
      </w:r>
      <w:r>
        <w:t xml:space="preserve">”</w:t>
      </w:r>
      <w:r>
        <w:t xml:space="preserve"> </w:t>
      </w:r>
      <w:r>
        <w:t xml:space="preserve">and</w:t>
      </w:r>
      <w:r>
        <w:t xml:space="preserve"> </w:t>
      </w:r>
      <w:r>
        <w:t xml:space="preserve">“</w:t>
      </w:r>
      <w:r>
        <w:t xml:space="preserve">3 – Habitat</w:t>
      </w:r>
      <w:r>
        <w:t xml:space="preserve">”</w:t>
      </w:r>
      <w:r>
        <w:t xml:space="preserve"> </w:t>
      </w:r>
      <w:r>
        <w:t xml:space="preserve">scopes align directly to IUCN threats (unless already classified as</w:t>
      </w:r>
      <w:r>
        <w:t xml:space="preserve"> </w:t>
      </w:r>
      <w:r>
        <w:t xml:space="preserve">“</w:t>
      </w:r>
      <w:r>
        <w:t xml:space="preserve">1 – Salmon</w:t>
      </w:r>
      <w:r>
        <w:t xml:space="preserve">”</w:t>
      </w:r>
      <w:r>
        <w:t xml:space="preserve">). The</w:t>
      </w:r>
      <w:r>
        <w:t xml:space="preserve"> </w:t>
      </w:r>
      <w:r>
        <w:t xml:space="preserve">“</w:t>
      </w:r>
      <w:r>
        <w:t xml:space="preserve">4 – Governance</w:t>
      </w:r>
      <w:r>
        <w:t xml:space="preserve">”</w:t>
      </w:r>
      <w:r>
        <w:t xml:space="preserve"> </w:t>
      </w:r>
      <w:r>
        <w:t xml:space="preserve">scope was applied last in a separate matching process. Language specific to Pacific salmon management was found in far fewer sections than indirect, less specific language (Table</w:t>
      </w:r>
      <w:r>
        <w:t xml:space="preserve"> </w:t>
      </w:r>
      <w:r>
        <w:t xml:space="preserve">4</w:t>
      </w:r>
      <w:r>
        <w:t xml:space="preserve">). More federal legislation sections matched with salmon harvest categories than provincial.</w:t>
      </w:r>
    </w:p>
    <w:p>
      <w:pPr>
        <w:pStyle w:val="TableCaption"/>
      </w:pPr>
      <w:bookmarkStart w:id="63" w:name="tab:scope-tally"/>
      <w:bookmarkEnd w:id="63"/>
      <w:r>
        <w:t xml:space="preserve">Table 4:</w:t>
      </w:r>
      <w:r>
        <w:t xml:space="preserve"> </w:t>
      </w:r>
      <w:r>
        <w:t xml:space="preserve">Count of statutes, sections, and clauses by scope category.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27"/>
        <w:gridCol w:w="1279"/>
        <w:gridCol w:w="1328"/>
        <w:gridCol w:w="1254"/>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Scope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Statutes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Sections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Clauses</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 Salmon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439</w:t>
            </w:r>
          </w:p>
        </w:tc>
      </w:tr>
      <w:tr>
        <w:trPr>
          <w:trHeight w:val="60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 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3,389</w:t>
            </w:r>
          </w:p>
        </w:tc>
      </w:tr>
      <w:tr>
        <w:trPr>
          <w:trHeight w:val="60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 Habitat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15,647</w:t>
            </w:r>
          </w:p>
        </w:tc>
      </w:tr>
      <w:tr>
        <w:trPr>
          <w:trHeight w:val="600"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 Governance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9,192</w:t>
            </w:r>
          </w:p>
        </w:tc>
      </w:tr>
      <w:tr>
        <w:trPr>
          <w:trHeight w:val="604" w:hRule="auto"/>
        </w:trPr>
        body5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196</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7,083</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28,667</w:t>
            </w:r>
          </w:p>
        </w:tc>
      </w:tr>
    </w:tbl>
    <w:p>
      <w:pPr>
        <w:pStyle w:val="BodyText"/>
      </w:pPr>
      <w:r>
        <w:br/>
      </w:r>
      <w:r>
        <w:t xml:space="preserve">Pacific salmon-specific language (</w:t>
      </w:r>
      <w:r>
        <w:t xml:space="preserve">“</w:t>
      </w:r>
      <w:r>
        <w:t xml:space="preserve">1 - Salmon</w:t>
      </w:r>
      <w:r>
        <w:t xml:space="preserve">”</w:t>
      </w:r>
      <w:r>
        <w:t xml:space="preserve">) also matched more federal statutes (Figure</w:t>
      </w:r>
      <w:r>
        <w:t xml:space="preserve"> </w:t>
      </w:r>
      <w:r>
        <w:t xml:space="preserve">8</w:t>
      </w:r>
      <w:r>
        <w:t xml:space="preserve">, specifically, the British Columbia Sport Fishing Regulations, 1996; National Parks of Canada Fishing Regulations; and Pacific Fishery Regulations 1993. It is also interesting to note that the federal Fisheries Act does not use the word</w:t>
      </w:r>
      <w:r>
        <w:t xml:space="preserve"> </w:t>
      </w:r>
      <w:r>
        <w:t xml:space="preserve">“</w:t>
      </w:r>
      <w:r>
        <w:t xml:space="preserve">salmon</w:t>
      </w:r>
      <w:r>
        <w:t xml:space="preserve">”</w:t>
      </w:r>
      <w:r>
        <w:t xml:space="preserve"> </w:t>
      </w:r>
      <w:r>
        <w:t xml:space="preserve">or any salmon-specific keywords (</w:t>
      </w:r>
      <w:r>
        <w:t xml:space="preserve">“</w:t>
      </w:r>
      <w:r>
        <w:t xml:space="preserve">1 - Salmon</w:t>
      </w:r>
      <w:r>
        <w:t xml:space="preserve">”</w:t>
      </w:r>
      <w:r>
        <w:t xml:space="preserve">) at all, only the regulations made under the</w:t>
      </w:r>
      <w:r>
        <w:t xml:space="preserve"> </w:t>
      </w:r>
      <w:r>
        <w:rPr>
          <w:i/>
          <w:iCs/>
        </w:rPr>
        <w:t xml:space="preserve">Fisheries Act</w:t>
      </w:r>
      <w:r>
        <w:t xml:space="preserve"> </w:t>
      </w:r>
      <w:r>
        <w:t xml:space="preserve">use salmon-specific language.</w:t>
      </w:r>
    </w:p>
    <w:p>
      <w:pPr>
        <w:pStyle w:val="CaptionedFigure"/>
      </w:pPr>
      <w:r>
        <w:drawing>
          <wp:inline>
            <wp:extent cx="5943600" cy="4457699"/>
            <wp:effectExtent b="0" l="0" r="0" t="0"/>
            <wp:docPr descr="Figure 8: Count of sections by legislation for scope category ‘1 - Salmon’, coloured by jurisdiction." title="" id="65" name="Picture"/>
            <a:graphic>
              <a:graphicData uri="http://schemas.openxmlformats.org/drawingml/2006/picture">
                <pic:pic>
                  <pic:nvPicPr>
                    <pic:cNvPr descr="LAPSE_primary_publication_files/figure-docx/section-count-salmon-scope-1.png" id="66" name="Picture"/>
                    <pic:cNvPicPr>
                      <a:picLocks noChangeArrowheads="1" noChangeAspect="1"/>
                    </pic:cNvPicPr>
                  </pic:nvPicPr>
                  <pic:blipFill>
                    <a:blip r:embed="rId64"/>
                    <a:stretch>
                      <a:fillRect/>
                    </a:stretch>
                  </pic:blipFill>
                  <pic:spPr bwMode="auto">
                    <a:xfrm>
                      <a:off x="0" y="0"/>
                      <a:ext cx="5943600" cy="4457699"/>
                    </a:xfrm>
                    <a:prstGeom prst="rect">
                      <a:avLst/>
                    </a:prstGeom>
                    <a:noFill/>
                    <a:ln w="9525">
                      <a:noFill/>
                      <a:headEnd/>
                      <a:tailEnd/>
                    </a:ln>
                  </pic:spPr>
                </pic:pic>
              </a:graphicData>
            </a:graphic>
          </wp:inline>
        </w:drawing>
      </w:r>
    </w:p>
    <w:p>
      <w:pPr>
        <w:pStyle w:val="ImageCaption"/>
      </w:pPr>
      <w:bookmarkStart w:id="67" w:name="fig:section-count-salmon-scope"/>
      <w:bookmarkEnd w:id="67"/>
      <w:r>
        <w:t xml:space="preserve">Figure 8: Count of sections by legislation for scope category</w:t>
      </w:r>
      <w:r>
        <w:t xml:space="preserve"> </w:t>
      </w:r>
      <w:r>
        <w:t xml:space="preserve">‘</w:t>
      </w:r>
      <w:r>
        <w:t xml:space="preserve">1 - Salmon</w:t>
      </w:r>
      <w:r>
        <w:t xml:space="preserve">’</w:t>
      </w:r>
      <w:r>
        <w:t xml:space="preserve">, coloured by jurisdiction.</w:t>
      </w:r>
    </w:p>
    <w:bookmarkEnd w:id="68"/>
    <w:bookmarkEnd w:id="69"/>
    <w:bookmarkStart w:id="71" w:name="legislative-factors-clause-types"/>
    <w:p>
      <w:pPr>
        <w:pStyle w:val="Heading1"/>
      </w:pPr>
      <w:r>
        <w:t xml:space="preserve">Legislative factors: clause types</w:t>
      </w:r>
    </w:p>
    <w:p>
      <w:pPr>
        <w:pStyle w:val="FirstParagraph"/>
      </w:pPr>
      <w:r>
        <w:t xml:space="preserve">The process of parsing legislation by clause and section, then matching categories by keywords also allows for other possible categorizations. Similar to management domains and IUCN threats, the nature of the clauses was also matched in terms of the</w:t>
      </w:r>
      <w:r>
        <w:t xml:space="preserve"> </w:t>
      </w:r>
      <w:r>
        <w:t xml:space="preserve">“</w:t>
      </w:r>
      <w:r>
        <w:t xml:space="preserve">clause type</w:t>
      </w:r>
      <w:r>
        <w:t xml:space="preserve">”</w:t>
      </w:r>
      <w:r>
        <w:t xml:space="preserve"> </w:t>
      </w:r>
      <w:r>
        <w:t xml:space="preserve">(Table</w:t>
      </w:r>
      <w:r>
        <w:t xml:space="preserve"> </w:t>
      </w:r>
      <w:r>
        <w:t xml:space="preserve">5</w:t>
      </w:r>
      <w:r>
        <w:t xml:space="preserve">). Clauses, in general, fit into groupings by their context and the nature of their intent. For this exercise, the categories and keywords were developed solely by the researchers through a subjective process.</w:t>
      </w:r>
    </w:p>
    <w:p>
      <w:pPr>
        <w:pStyle w:val="TableCaption"/>
      </w:pPr>
      <w:bookmarkStart w:id="70" w:name="tab:clause-type-with-domain-tally"/>
      <w:bookmarkEnd w:id="70"/>
      <w:r>
        <w:t xml:space="preserve">Table 5:</w:t>
      </w:r>
      <w:r>
        <w:t xml:space="preserve"> </w:t>
      </w:r>
      <w:r>
        <w:t xml:space="preserve">Section counts by management domain and clause type. Column abbreviations: Admin. = Administration, Application, &amp; Structure; Auth. = Authorization &amp; Mandate; Desig. = Designation; Instr. = Instruction; Interp. = Interpretation &amp; Purpose; Licence = Licence, Permitting, &amp; Exemptions; Prohib. = Prohibition, Restriction, or Limitation.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Management 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Admin.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Auth.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Desig.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Instr.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Interp.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Licence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Prohib.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Total</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Pollution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3,948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Spatial Designation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3,720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Water Use and Watercourse Modifications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1,954</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Fisheries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1,685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Governance Administration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1,517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Forest and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994</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Transportation Infrastructure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779</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Invasive or Problematic Species and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547</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Restoration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Mining and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488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Species Status and Assessment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428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Agriculture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322</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Aquaculture and Hatcheries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315</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Climate Change and Natural Disasters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105</w:t>
            </w:r>
          </w:p>
        </w:tc>
      </w:tr>
      <w:tr>
        <w:trPr>
          <w:trHeight w:val="360" w:hRule="auto"/>
        </w:trPr>
        body15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Human Disturbance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8</w:t>
            </w:r>
          </w:p>
        </w:tc>
      </w:tr>
      <w:tr>
        <w:trPr>
          <w:trHeight w:val="360" w:hRule="auto"/>
        </w:trPr>
        body16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Total</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1,123</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3,242</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2,915</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3,157</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2,717</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2,568</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1,598</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000000"/>
              </w:rPr>
              <w:t xml:space="preserve">17,320</w:t>
            </w:r>
          </w:p>
        </w:tc>
      </w:tr>
    </w:tbl>
    <w:p>
      <w:pPr>
        <w:pStyle w:val="BodyText"/>
      </w:pPr>
      <w:r>
        <w:br/>
      </w:r>
    </w:p>
    <w:bookmarkEnd w:id="71"/>
    <w:bookmarkStart w:id="91" w:name="X3d1f28ebf57a42a02e6321b912ef3127a66a1d5"/>
    <w:p>
      <w:pPr>
        <w:pStyle w:val="Heading1"/>
      </w:pPr>
      <w:r>
        <w:t xml:space="preserve">Recovery potential assessments (RPA) and threat ranking case studies</w:t>
      </w:r>
    </w:p>
    <w:p>
      <w:pPr>
        <w:pStyle w:val="FirstParagraph"/>
      </w:pPr>
      <w:r>
        <w:t xml:space="preserve">The </w:t>
      </w:r>
      <w:r>
        <w:rPr>
          <w:i/>
          <w:iCs/>
        </w:rPr>
        <w:t xml:space="preserve">Committee on the Status of Endangered Wildlife in Canada</w:t>
      </w:r>
      <w:r>
        <w:t xml:space="preserve"> </w:t>
      </w:r>
      <w:r>
        <w:t xml:space="preserve">(COSEWIC) assesses the status of wildlife species at risk in Canada, which is the first step in the process of listing a wildlife species under the</w:t>
      </w:r>
      <w:r>
        <w:t xml:space="preserve"> </w:t>
      </w:r>
      <w:r>
        <w:rPr>
          <w:i/>
          <w:iCs/>
        </w:rPr>
        <w:t xml:space="preserve">Species at Risk Act</w:t>
      </w:r>
      <w:r>
        <w:t xml:space="preserve"> </w:t>
      </w:r>
      <w:r>
        <w:t xml:space="preserve">(SARA). COSEWIC uses Designatable Units (DUs) to assess units below the level of a recognized taxonomic species if it has attributes that make it both</w:t>
      </w:r>
      <w:r>
        <w:t xml:space="preserve"> </w:t>
      </w:r>
      <w:r>
        <w:t xml:space="preserve">“</w:t>
      </w:r>
      <w:r>
        <w:t xml:space="preserve">discrete</w:t>
      </w:r>
      <w:r>
        <w:t xml:space="preserve">”</w:t>
      </w:r>
      <w:r>
        <w:t xml:space="preserve"> </w:t>
      </w:r>
      <w:r>
        <w:t xml:space="preserve">and</w:t>
      </w:r>
      <w:r>
        <w:t xml:space="preserve"> </w:t>
      </w:r>
      <w:r>
        <w:t xml:space="preserve">“</w:t>
      </w:r>
      <w:r>
        <w:t xml:space="preserve">evolutionarily significant</w:t>
      </w:r>
      <w:r>
        <w:t xml:space="preserve">”</w:t>
      </w:r>
      <w:r>
        <w:t xml:space="preserve">. COSEWIC has delineated DUs within Pacific salmon species according to these criteria for the purposes of its status assessments of these species. When a DU under DFO’s responsibility is designated as Threatened, Endangered, or Extirpated, a DFO-led Recovery Potential Assessment (RPA) process is initiated, which typically includes a threat assessment using the same IUCN-CMP threat classification used in this legislative assessment.</w:t>
      </w:r>
    </w:p>
    <w:p>
      <w:pPr>
        <w:numPr>
          <w:ilvl w:val="0"/>
          <w:numId w:val="1011"/>
        </w:numPr>
      </w:pPr>
      <w:r>
        <w:rPr>
          <w:b/>
          <w:bCs/>
        </w:rPr>
        <w:t xml:space="preserve">DG - I made some edits for your consideration to fill in some missing details about COSEWIC and the SARA process. Originally my revisions were a bit longer but I scaled it back to try and focus on key pieces. Happy to discuss if needed.</w:t>
      </w:r>
    </w:p>
    <w:p>
      <w:pPr>
        <w:numPr>
          <w:ilvl w:val="0"/>
          <w:numId w:val="1011"/>
        </w:numPr>
      </w:pPr>
      <w:r>
        <w:rPr>
          <w:b/>
          <w:bCs/>
        </w:rPr>
        <w:t xml:space="preserve">DG - Add this citation for this sentence</w:t>
      </w:r>
      <w:r>
        <w:rPr>
          <w:b/>
          <w:bCs/>
        </w:rPr>
        <w:t xml:space="preserve"> </w:t>
      </w:r>
      <w:hyperlink r:id="rId72">
        <w:r>
          <w:rPr>
            <w:rStyle w:val="Hyperlink"/>
            <w:b/>
            <w:bCs/>
          </w:rPr>
          <w:t xml:space="preserve">Cosewic - Guidelines for Recognizing Designatable Units</w:t>
        </w:r>
      </w:hyperlink>
    </w:p>
    <w:p>
      <w:pPr>
        <w:pStyle w:val="FirstParagraph"/>
      </w:pPr>
      <w:r>
        <w:t xml:space="preserve">DFO published</w:t>
      </w:r>
      <w:r>
        <w:t xml:space="preserve"> </w:t>
      </w:r>
      <w:r>
        <w:rPr>
          <w:i/>
          <w:iCs/>
        </w:rPr>
        <w:t xml:space="preserve">Canada’s Policy for Conservation of Wild Pacific Salmon</w:t>
      </w:r>
      <w:r>
        <w:t xml:space="preserve">, or the Wild Salmon Policy (WSP), in 2005, which outlines managing salmon as Conservation Units (CU), differing somewhat from the DUs used by COSEWIC. Conservation Units are defined in the WSP as:</w:t>
      </w:r>
      <w:r>
        <w:t xml:space="preserve"> </w:t>
      </w:r>
      <w:r>
        <w:t xml:space="preserve">“</w:t>
      </w:r>
      <w:r>
        <w:t xml:space="preserve">a group of wild salmon sufficiently isolated from other groups that, if extirpated is very unlikely to recolonize naturally within an acceptable timeframe, such as a human lifetime or a specified number of salmon generations</w:t>
      </w:r>
      <w:r>
        <w:t xml:space="preserve">”</w:t>
      </w:r>
      <w:r>
        <w:t xml:space="preserve"> </w:t>
      </w:r>
      <w:r>
        <w:t xml:space="preserve">(Canada 2005). Since CUs are the most current unit for managing salmon in British Columbia, we incorporated CUs in this effort (Table 5).</w:t>
      </w:r>
    </w:p>
    <w:p>
      <w:pPr>
        <w:numPr>
          <w:ilvl w:val="0"/>
          <w:numId w:val="1012"/>
        </w:numPr>
      </w:pPr>
      <w:r>
        <w:rPr>
          <w:b/>
          <w:bCs/>
        </w:rPr>
        <w:t xml:space="preserve">DG - The COSEWIC status assessments for Pacific salmon have a good discussion of the similarities and differences between DUs and CUs. In my view, there are more similarities than differences, and this sentence seems to frame the two as being different.</w:t>
      </w:r>
    </w:p>
    <w:p>
      <w:pPr>
        <w:numPr>
          <w:ilvl w:val="0"/>
          <w:numId w:val="1012"/>
        </w:numPr>
      </w:pPr>
      <w:r>
        <w:rPr>
          <w:b/>
          <w:bCs/>
        </w:rPr>
        <w:t xml:space="preserve">DG - The RPAs were conducted with respect to DUs, since it is a part of the DFO SARA listing process. What this paragraph may be lacking is a discussion of how the salmon DUs were derived, partly based on the CUs DFO had already described. This results in most of the CUs/DUs lining up, except for Interior Fraser Coho (assessed as 1 DU in 2016, 5 CUs currently). Perhaps something to the effect of,</w:t>
      </w:r>
      <w:r>
        <w:rPr>
          <w:b/>
          <w:bCs/>
        </w:rPr>
        <w:t xml:space="preserve"> </w:t>
      </w:r>
      <w:r>
        <w:rPr>
          <w:b/>
          <w:bCs/>
        </w:rPr>
        <w:t xml:space="preserve">“</w:t>
      </w:r>
      <w:r>
        <w:rPr>
          <w:b/>
          <w:bCs/>
        </w:rPr>
        <w:t xml:space="preserve">Since the population structure described through the DU and CU systems largely overlaps for most salmon populations, we attribute the RPA threat assessment results for DUs to their corresponding CUs; however, in a case where a DU is represented by multiple CUs (e.g., interior Fraser Coho) or vice versa, we attributed the overall assessment to each component population</w:t>
      </w:r>
      <w:r>
        <w:rPr>
          <w:b/>
          <w:bCs/>
        </w:rPr>
        <w:t xml:space="preserve">”</w:t>
      </w:r>
      <w:r>
        <w:rPr>
          <w:b/>
          <w:bCs/>
        </w:rPr>
        <w:t xml:space="preserve">.</w:t>
      </w:r>
    </w:p>
    <w:p>
      <w:pPr>
        <w:pStyle w:val="TableCaption"/>
      </w:pPr>
      <w:bookmarkStart w:id="73" w:name="tab:cu-species-cu-name-table"/>
      <w:bookmarkEnd w:id="73"/>
      <w:r>
        <w:t xml:space="preserve">Table 6:</w:t>
      </w:r>
      <w:r>
        <w:t xml:space="preserve"> </w:t>
      </w:r>
      <w:r>
        <w:t xml:space="preserve">Conservation Units included in the DFO Recovery Potential Assessment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Conservation Unit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BOUNDARY BAY_FA_0.3</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FRASER RIVER-UPPER PITT_SU_1.3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FRASER RIVER_FA_0.3</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FRASER RIVER_SU_1.3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THOMPSON_SP_1.2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MARIA SLOUGH_SU_0.3</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 RIVER-PORTAGE_FA_1.3</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 RIVER_SP_1.3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 RIVER_SU_1.3</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FRASER-FRASER CANYON_SP_1.3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THOMPSON_SP_1.3</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THOMPSON_SU_1.3</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OKANAGAN_0.X</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THOMPSON-BESSETTE CREEK_SU_1.2</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THOMPSON_SU_1.3</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FRASER RIVER_SP_1.3</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FRASER CANYON</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THOMPSON</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THOMPSON</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Coho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THOMPSON</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BOWRON-EARLY SUMMER TIMING</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CULTUS-LATE TIMING</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HARRISON-UPSTREAM MIGRATING-LATE TIMING</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 BARRIERE-EARLY SUMMER TIMING</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QUESNEL-SUMMER TIMING</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SETON-LATE TIMING</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TAKLA/TREMBLEUR-EARLY STUART TIMING</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TAKLA/TREMBLEUR/STUART-SUMMER TIMING</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TASEKO-EARLY SUMMER TIMING</w:t>
            </w:r>
          </w:p>
        </w:tc>
      </w:tr>
      <w:tr>
        <w:trPr>
          <w:trHeight w:val="360" w:hRule="auto"/>
        </w:trPr>
        body31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WIDGEON</w:t>
            </w:r>
          </w:p>
        </w:tc>
      </w:tr>
    </w:tbl>
    <w:p>
      <w:pPr>
        <w:numPr>
          <w:ilvl w:val="0"/>
          <w:numId w:val="1013"/>
        </w:numPr>
      </w:pPr>
      <w:r>
        <w:rPr>
          <w:b/>
          <w:bCs/>
        </w:rPr>
        <w:t xml:space="preserve">DG - I suggest adding a column that has the RPA citation that covers each group of DUs, since I don’t see the RPAs cited anywhere else.</w:t>
      </w:r>
    </w:p>
    <w:p>
      <w:pPr>
        <w:numPr>
          <w:ilvl w:val="0"/>
          <w:numId w:val="1013"/>
        </w:numPr>
      </w:pPr>
      <w:r>
        <w:rPr>
          <w:b/>
          <w:bCs/>
        </w:rPr>
        <w:t xml:space="preserve">DG - For consideration: mapping the CUs to their corresponding DUs in this table. The STREAM platform has a crosswalk for this.</w:t>
      </w:r>
    </w:p>
    <w:p>
      <w:pPr>
        <w:numPr>
          <w:ilvl w:val="0"/>
          <w:numId w:val="1013"/>
        </w:numPr>
      </w:pPr>
      <w:r>
        <w:rPr>
          <w:b/>
          <w:bCs/>
        </w:rPr>
        <w:t xml:space="preserve">DG - Following that train of thought, I think a more appropriate caption for this table would be: Designatable Units included in DFO’s Recovery Potential Assessment analyses and their corresponding Conservation Units</w:t>
      </w:r>
    </w:p>
    <w:p>
      <w:pPr>
        <w:numPr>
          <w:ilvl w:val="0"/>
          <w:numId w:val="1013"/>
        </w:numPr>
      </w:pPr>
      <w:r>
        <w:rPr>
          <w:b/>
          <w:bCs/>
        </w:rPr>
        <w:t xml:space="preserve">DG - I think it would be worth mentioning how this selection of RPAs done. My understanding is that it only included RPAs that conducted threat assessments following the IUCN threat categories. My recollection is that the Sakinaw Lake Sockeye RPA didn’t exactly follow it, so it was excluded from your analysis. Is this correct?</w:t>
      </w:r>
    </w:p>
    <w:p>
      <w:pPr>
        <w:pStyle w:val="FirstParagraph"/>
      </w:pPr>
      <w:r>
        <w:t xml:space="preserve">The RPA process identified two IUCN threat categories as being</w:t>
      </w:r>
      <w:r>
        <w:t xml:space="preserve"> </w:t>
      </w:r>
      <w:r>
        <w:t xml:space="preserve">“</w:t>
      </w:r>
      <w:r>
        <w:t xml:space="preserve">Extreme</w:t>
      </w:r>
      <w:r>
        <w:t xml:space="preserve">”</w:t>
      </w:r>
      <w:r>
        <w:t xml:space="preserve"> </w:t>
      </w:r>
      <w:r>
        <w:t xml:space="preserve">or</w:t>
      </w:r>
      <w:r>
        <w:t xml:space="preserve"> </w:t>
      </w:r>
      <w:r>
        <w:t xml:space="preserve">“</w:t>
      </w:r>
      <w:r>
        <w:t xml:space="preserve">Extreme-High</w:t>
      </w:r>
      <w:r>
        <w:t xml:space="preserve">”</w:t>
      </w:r>
      <w:r>
        <w:t xml:space="preserve"> </w:t>
      </w:r>
      <w:r>
        <w:t xml:space="preserve">ranking (Figure</w:t>
      </w:r>
      <w:r>
        <w:t xml:space="preserve"> </w:t>
      </w:r>
      <w:r>
        <w:t xml:space="preserve">9</w:t>
      </w:r>
      <w:r>
        <w:t xml:space="preserve">).</w:t>
      </w:r>
      <w:r>
        <w:t xml:space="preserve"> </w:t>
      </w:r>
      <w:r>
        <w:t xml:space="preserve">“</w:t>
      </w:r>
      <w:r>
        <w:t xml:space="preserve">10.1 Geological Events</w:t>
      </w:r>
      <w:r>
        <w:t xml:space="preserve">”</w:t>
      </w:r>
      <w:r>
        <w:t xml:space="preserve"> </w:t>
      </w:r>
      <w:r>
        <w:t xml:space="preserve">received an extreme ranking, and</w:t>
      </w:r>
      <w:r>
        <w:t xml:space="preserve"> </w:t>
      </w:r>
      <w:r>
        <w:t xml:space="preserve">“</w:t>
      </w:r>
      <w:r>
        <w:t xml:space="preserve">7.2 Dams &amp; Water Management / Use</w:t>
      </w:r>
      <w:r>
        <w:t xml:space="preserve">”</w:t>
      </w:r>
      <w:r>
        <w:t xml:space="preserve"> </w:t>
      </w:r>
      <w:r>
        <w:t xml:space="preserve">received an extreme-high ranking.</w:t>
      </w:r>
    </w:p>
    <w:p>
      <w:pPr>
        <w:pStyle w:val="Compact"/>
        <w:numPr>
          <w:ilvl w:val="0"/>
          <w:numId w:val="1014"/>
        </w:numPr>
      </w:pPr>
      <w:r>
        <w:rPr>
          <w:b/>
          <w:bCs/>
        </w:rPr>
        <w:t xml:space="preserve">DG - Did you use the main threat tables in the body of the RPAs? Chinook DU14 also received a High-Extreme threat risk for 7.3 Other ecosystem modifications</w:t>
      </w:r>
    </w:p>
    <w:p>
      <w:pPr>
        <w:pStyle w:val="CaptionedFigure"/>
      </w:pPr>
      <w:r>
        <w:drawing>
          <wp:inline>
            <wp:extent cx="5943600" cy="4457699"/>
            <wp:effectExtent b="0" l="0" r="0" t="0"/>
            <wp:docPr descr="Figure 9: Conservation Unit count across IUCN threat categories and RPA threat rankings. Darker cells indicate more Conservation Units assessed at that threat level." title="" id="75" name="Picture"/>
            <a:graphic>
              <a:graphicData uri="http://schemas.openxmlformats.org/drawingml/2006/picture">
                <pic:pic>
                  <pic:nvPicPr>
                    <pic:cNvPr descr="LAPSE_primary_publication_files/figure-docx/cu-ranking-heatmap-1.png" id="76" name="Picture"/>
                    <pic:cNvPicPr>
                      <a:picLocks noChangeArrowheads="1" noChangeAspect="1"/>
                    </pic:cNvPicPr>
                  </pic:nvPicPr>
                  <pic:blipFill>
                    <a:blip r:embed="rId74"/>
                    <a:stretch>
                      <a:fillRect/>
                    </a:stretch>
                  </pic:blipFill>
                  <pic:spPr bwMode="auto">
                    <a:xfrm>
                      <a:off x="0" y="0"/>
                      <a:ext cx="5943600" cy="4457699"/>
                    </a:xfrm>
                    <a:prstGeom prst="rect">
                      <a:avLst/>
                    </a:prstGeom>
                    <a:noFill/>
                    <a:ln w="9525">
                      <a:noFill/>
                      <a:headEnd/>
                      <a:tailEnd/>
                    </a:ln>
                  </pic:spPr>
                </pic:pic>
              </a:graphicData>
            </a:graphic>
          </wp:inline>
        </w:drawing>
      </w:r>
    </w:p>
    <w:p>
      <w:pPr>
        <w:pStyle w:val="ImageCaption"/>
      </w:pPr>
      <w:bookmarkStart w:id="77" w:name="fig:cu-ranking-heatmap"/>
      <w:bookmarkEnd w:id="77"/>
      <w:r>
        <w:t xml:space="preserve">Figure 9: Conservation Unit count across IUCN threat categories and RPA threat rankings. Darker cells indicate more Conservation Units assessed at that threat level.</w:t>
      </w:r>
    </w:p>
    <w:p>
      <w:pPr>
        <w:numPr>
          <w:ilvl w:val="0"/>
          <w:numId w:val="1015"/>
        </w:numPr>
      </w:pPr>
      <w:r>
        <w:rPr>
          <w:b/>
          <w:bCs/>
        </w:rPr>
        <w:t xml:space="preserve">DG - It looks like the x-axis is organized alphabetically, causing some of the threats in categories 10 and 11 to be up at the top.</w:t>
      </w:r>
    </w:p>
    <w:p>
      <w:pPr>
        <w:numPr>
          <w:ilvl w:val="0"/>
          <w:numId w:val="1015"/>
        </w:numPr>
      </w:pPr>
      <w:r>
        <w:rPr>
          <w:b/>
          <w:bCs/>
        </w:rPr>
        <w:t xml:space="preserve">DG - Certain threat categories (e.g., pathogens) were only assessed in select RPAs (in this case, Interior Fraser Coho I think), which would bias the CU count. I think it would make the analysis more standardized if there was a common subset of threats assessed within each RPA that was chosen.</w:t>
      </w:r>
    </w:p>
    <w:bookmarkStart w:id="83" w:name="case-study-iucn-10.1-geological-events"/>
    <w:p>
      <w:pPr>
        <w:pStyle w:val="Heading2"/>
      </w:pPr>
      <w:r>
        <w:t xml:space="preserve">Case Study: IUCN 10.1 Geological events</w:t>
      </w:r>
    </w:p>
    <w:p>
      <w:pPr>
        <w:pStyle w:val="FirstParagraph"/>
      </w:pPr>
      <w:r>
        <w:t xml:space="preserve">One IUCN threat was assessed as</w:t>
      </w:r>
      <w:r>
        <w:t xml:space="preserve"> </w:t>
      </w:r>
      <w:r>
        <w:t xml:space="preserve">“</w:t>
      </w:r>
      <w:r>
        <w:t xml:space="preserve">Extreme</w:t>
      </w:r>
      <w:r>
        <w:t xml:space="preserve">”</w:t>
      </w:r>
      <w:r>
        <w:t xml:space="preserve"> </w:t>
      </w:r>
      <w:r>
        <w:t xml:space="preserve">through DFO Recovery Potential Assessment processes, which was</w:t>
      </w:r>
      <w:r>
        <w:t xml:space="preserve"> </w:t>
      </w:r>
      <w:r>
        <w:t xml:space="preserve">“</w:t>
      </w:r>
      <w:r>
        <w:t xml:space="preserve">10.1 Geological Events</w:t>
      </w:r>
      <w:r>
        <w:t xml:space="preserve">”</w:t>
      </w:r>
      <w:r>
        <w:t xml:space="preserve"> </w:t>
      </w:r>
      <w:r>
        <w:t xml:space="preserve">[doutaz2020;</w:t>
      </w:r>
      <w:r>
        <w:t xml:space="preserve"> </w:t>
      </w:r>
      <w:r>
        <w:t xml:space="preserve">DFO (2022a)</w:t>
      </w:r>
      <w:r>
        <w:t xml:space="preserve">]. This threat was assigned to one sockeye and three Chinook conservation units (Table</w:t>
      </w:r>
      <w:r>
        <w:t xml:space="preserve"> </w:t>
      </w:r>
      <w:r>
        <w:t xml:space="preserve">7</w:t>
      </w:r>
      <w:r>
        <w:t xml:space="preserve">), all in the Fraser Interior area related to the</w:t>
      </w:r>
      <w:r>
        <w:t xml:space="preserve"> </w:t>
      </w:r>
      <w:r>
        <w:t xml:space="preserve">“</w:t>
      </w:r>
      <w:r>
        <w:t xml:space="preserve">ongoing effects from Big Bar landslide</w:t>
      </w:r>
      <w:r>
        <w:t xml:space="preserve">”</w:t>
      </w:r>
      <w:r>
        <w:t xml:space="preserve"> </w:t>
      </w:r>
      <w:r>
        <w:t xml:space="preserve">in 2018 [doutaz2020;</w:t>
      </w:r>
      <w:r>
        <w:t xml:space="preserve"> </w:t>
      </w:r>
      <w:r>
        <w:t xml:space="preserve">DFO (2022a)</w:t>
      </w:r>
      <w:r>
        <w:t xml:space="preserve">]:</w:t>
      </w:r>
    </w:p>
    <w:p>
      <w:pPr>
        <w:numPr>
          <w:ilvl w:val="0"/>
          <w:numId w:val="1016"/>
        </w:numPr>
      </w:pPr>
      <w:r>
        <w:rPr>
          <w:b/>
          <w:bCs/>
        </w:rPr>
        <w:t xml:space="preserve">DG - Suggest using IUCN-CMP throughout if that’s what we’re starting with.</w:t>
      </w:r>
    </w:p>
    <w:p>
      <w:pPr>
        <w:numPr>
          <w:ilvl w:val="0"/>
          <w:numId w:val="1016"/>
        </w:numPr>
      </w:pPr>
      <w:r>
        <w:rPr>
          <w:b/>
          <w:bCs/>
        </w:rPr>
        <w:t xml:space="preserve">DG - I’m not super familiar with the most recent version of the IUCN-CMP threat classification framework that you’re using in this analysis, but in the RPAs, Geological events is</w:t>
      </w:r>
      <w:r>
        <w:rPr>
          <w:b/>
          <w:bCs/>
        </w:rPr>
        <w:t xml:space="preserve"> </w:t>
      </w:r>
      <w:r>
        <w:rPr>
          <w:b/>
          <w:bCs/>
        </w:rPr>
        <w:t xml:space="preserve">“</w:t>
      </w:r>
      <w:r>
        <w:rPr>
          <w:b/>
          <w:bCs/>
        </w:rPr>
        <w:t xml:space="preserve">10</w:t>
      </w:r>
      <w:r>
        <w:rPr>
          <w:b/>
          <w:bCs/>
        </w:rPr>
        <w:t xml:space="preserve">”</w:t>
      </w:r>
      <w:r>
        <w:rPr>
          <w:b/>
          <w:bCs/>
        </w:rPr>
        <w:t xml:space="preserve"> </w:t>
      </w:r>
      <w:r>
        <w:rPr>
          <w:b/>
          <w:bCs/>
        </w:rPr>
        <w:t xml:space="preserve">and is a first-level threat, and Avalanches/landslides is</w:t>
      </w:r>
      <w:r>
        <w:rPr>
          <w:b/>
          <w:bCs/>
        </w:rPr>
        <w:t xml:space="preserve"> </w:t>
      </w:r>
      <w:r>
        <w:rPr>
          <w:b/>
          <w:bCs/>
        </w:rPr>
        <w:t xml:space="preserve">“</w:t>
      </w:r>
      <w:r>
        <w:rPr>
          <w:b/>
          <w:bCs/>
        </w:rPr>
        <w:t xml:space="preserve">10.1</w:t>
      </w:r>
      <w:r>
        <w:rPr>
          <w:b/>
          <w:bCs/>
        </w:rPr>
        <w:t xml:space="preserve">”</w:t>
      </w:r>
      <w:r>
        <w:rPr>
          <w:b/>
          <w:bCs/>
        </w:rPr>
        <w:t xml:space="preserve"> </w:t>
      </w:r>
      <w:r>
        <w:rPr>
          <w:b/>
          <w:bCs/>
        </w:rPr>
        <w:t xml:space="preserve">and is a second-level threat.</w:t>
      </w:r>
    </w:p>
    <w:p>
      <w:pPr>
        <w:numPr>
          <w:ilvl w:val="0"/>
          <w:numId w:val="1016"/>
        </w:numPr>
      </w:pPr>
      <w:r>
        <w:rPr>
          <w:b/>
          <w:bCs/>
        </w:rPr>
        <w:t xml:space="preserve">DG - I suggest just citing the RES Docs instead of the SARs</w:t>
      </w:r>
    </w:p>
    <w:p>
      <w:pPr>
        <w:numPr>
          <w:ilvl w:val="0"/>
          <w:numId w:val="1016"/>
        </w:numPr>
      </w:pPr>
      <w:r>
        <w:rPr>
          <w:b/>
          <w:bCs/>
        </w:rPr>
        <w:t xml:space="preserve">DG - Are we referring to the DFO administrative area or is this a more generic term? If it’s more generic, perhaps something like middle/upper Fraser River area would be more precise for these DUs.</w:t>
      </w:r>
    </w:p>
    <w:p>
      <w:pPr>
        <w:pStyle w:val="TableCaption"/>
      </w:pPr>
      <w:bookmarkStart w:id="78" w:name="tab:cu-extreme-threat-table"/>
      <w:bookmarkEnd w:id="78"/>
      <w:r>
        <w:t xml:space="preserve">Table 7:</w:t>
      </w:r>
      <w:r>
        <w:t xml:space="preserve"> </w:t>
      </w:r>
      <w:r>
        <w:t xml:space="preserve">Conservation Units with Extreme RPA threat ranking.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Conservation Unit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 RIVER_SP_1.3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FRASER RIVER_SU_1.3</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FRASER RIVER_SP_1.3</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Sockeye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TAKLA/TREMBLEUR-EARLY STUART TIMING</w:t>
            </w:r>
          </w:p>
        </w:tc>
      </w:tr>
    </w:tbl>
    <w:p>
      <w:pPr>
        <w:pStyle w:val="BodyText"/>
      </w:pPr>
      <w:r>
        <w:t xml:space="preserve">“</w:t>
      </w:r>
      <w:r>
        <w:t xml:space="preserve">10.1 Geological events</w:t>
      </w:r>
      <w:r>
        <w:t xml:space="preserve">”</w:t>
      </w:r>
      <w:r>
        <w:t xml:space="preserve"> </w:t>
      </w:r>
      <w:r>
        <w:t xml:space="preserve">is not a large category to be assigned to appropriate legislation (Figure</w:t>
      </w:r>
      <w:r>
        <w:t xml:space="preserve"> </w:t>
      </w:r>
      <w:r>
        <w:t xml:space="preserve">6</w:t>
      </w:r>
      <w:r>
        <w:t xml:space="preserve">). Aside from landscape-scale changes due to actions like forestry or mining, much of the nature of this category might not be viewed as human-caused or managed. Subsequently, this threat has a small proportion of keywords that match the relevant legislation. The</w:t>
      </w:r>
      <w:r>
        <w:t xml:space="preserve"> </w:t>
      </w:r>
      <w:r>
        <w:t xml:space="preserve">“</w:t>
      </w:r>
      <w:r>
        <w:t xml:space="preserve">Designation</w:t>
      </w:r>
      <w:r>
        <w:t xml:space="preserve">”</w:t>
      </w:r>
      <w:r>
        <w:t xml:space="preserve"> </w:t>
      </w:r>
      <w:r>
        <w:t xml:space="preserve">clause type category matched the largest proportion of clauses that also match</w:t>
      </w:r>
      <w:r>
        <w:t xml:space="preserve"> </w:t>
      </w:r>
      <w:r>
        <w:t xml:space="preserve">“</w:t>
      </w:r>
      <w:r>
        <w:t xml:space="preserve">10.1 Geological Events.</w:t>
      </w:r>
      <w:r>
        <w:t xml:space="preserve">”</w:t>
      </w:r>
      <w:r>
        <w:t xml:space="preserve"> </w:t>
      </w:r>
      <w:r>
        <w:t xml:space="preserve">This is largely due to the designation of avalanche and landslide areas.</w:t>
      </w:r>
      <w:r>
        <w:t xml:space="preserve"> </w:t>
      </w:r>
      <w:r>
        <w:t xml:space="preserve">“</w:t>
      </w:r>
      <w:r>
        <w:t xml:space="preserve">Instruction</w:t>
      </w:r>
      <w:r>
        <w:t xml:space="preserve">”</w:t>
      </w:r>
      <w:r>
        <w:t xml:space="preserve"> </w:t>
      </w:r>
      <w:r>
        <w:t xml:space="preserve">also had a large proportion of clause type matches due to the nature of forestry legislation and the prevalence of forestry actions to result in landslides.</w:t>
      </w:r>
      <w:r>
        <w:t xml:space="preserve"> </w:t>
      </w:r>
      <w:r>
        <w:t xml:space="preserve">“</w:t>
      </w:r>
      <w:r>
        <w:t xml:space="preserve">Prohibition, Restriction, or Limitation</w:t>
      </w:r>
      <w:r>
        <w:t xml:space="preserve">”</w:t>
      </w:r>
      <w:r>
        <w:t xml:space="preserve"> </w:t>
      </w:r>
      <w:r>
        <w:t xml:space="preserve">clause types matched the fewest clauses.</w:t>
      </w:r>
    </w:p>
    <w:p>
      <w:pPr>
        <w:pStyle w:val="CaptionedFigure"/>
      </w:pPr>
      <w:r>
        <w:drawing>
          <wp:inline>
            <wp:extent cx="5943600" cy="4245428"/>
            <wp:effectExtent b="0" l="0" r="0" t="0"/>
            <wp:docPr descr="Figure 10: Section counts by clause type for IUCN threat category 10.1 Geological Events." title="" id="80" name="Picture"/>
            <a:graphic>
              <a:graphicData uri="http://schemas.openxmlformats.org/drawingml/2006/picture">
                <pic:pic>
                  <pic:nvPicPr>
                    <pic:cNvPr descr="LAPSE_primary_publication_files/figure-docx/fig-clause-type-geological-events-1.png" id="81" name="Picture"/>
                    <pic:cNvPicPr>
                      <a:picLocks noChangeArrowheads="1" noChangeAspect="1"/>
                    </pic:cNvPicPr>
                  </pic:nvPicPr>
                  <pic:blipFill>
                    <a:blip r:embed="rId79"/>
                    <a:stretch>
                      <a:fillRect/>
                    </a:stretch>
                  </pic:blipFill>
                  <pic:spPr bwMode="auto">
                    <a:xfrm>
                      <a:off x="0" y="0"/>
                      <a:ext cx="5943600" cy="4245428"/>
                    </a:xfrm>
                    <a:prstGeom prst="rect">
                      <a:avLst/>
                    </a:prstGeom>
                    <a:noFill/>
                    <a:ln w="9525">
                      <a:noFill/>
                      <a:headEnd/>
                      <a:tailEnd/>
                    </a:ln>
                  </pic:spPr>
                </pic:pic>
              </a:graphicData>
            </a:graphic>
          </wp:inline>
        </w:drawing>
      </w:r>
    </w:p>
    <w:p>
      <w:pPr>
        <w:pStyle w:val="ImageCaption"/>
      </w:pPr>
      <w:bookmarkStart w:id="82" w:name="fig:fig-clause-type-geological-events"/>
      <w:bookmarkEnd w:id="82"/>
      <w:r>
        <w:t xml:space="preserve">Figure 10: Section counts by clause type for IUCN threat category 10.1 Geological Events.</w:t>
      </w:r>
    </w:p>
    <w:p>
      <w:pPr>
        <w:numPr>
          <w:ilvl w:val="0"/>
          <w:numId w:val="1017"/>
        </w:numPr>
      </w:pPr>
      <w:r>
        <w:rPr>
          <w:b/>
          <w:bCs/>
        </w:rPr>
        <w:t xml:space="preserve">DG - Could be helpful to note the different values on the x-axis between this and the next figure</w:t>
      </w:r>
    </w:p>
    <w:p>
      <w:pPr>
        <w:numPr>
          <w:ilvl w:val="0"/>
          <w:numId w:val="1017"/>
        </w:numPr>
      </w:pPr>
      <w:r>
        <w:rPr>
          <w:b/>
          <w:bCs/>
        </w:rPr>
        <w:t xml:space="preserve">Add more description of Big Bar slide</w:t>
      </w:r>
    </w:p>
    <w:p>
      <w:pPr>
        <w:numPr>
          <w:ilvl w:val="0"/>
          <w:numId w:val="1017"/>
        </w:numPr>
      </w:pPr>
      <w:r>
        <w:rPr>
          <w:b/>
          <w:bCs/>
        </w:rPr>
        <w:t xml:space="preserve">Comment on the most relevant legislation and why</w:t>
      </w:r>
    </w:p>
    <w:bookmarkEnd w:id="83"/>
    <w:bookmarkStart w:id="90" w:name="X0845d6834917053ec444eadf52e64b0021c48a3"/>
    <w:p>
      <w:pPr>
        <w:pStyle w:val="Heading2"/>
      </w:pPr>
      <w:r>
        <w:t xml:space="preserve">Case Study: IUCN 7.2 Dams &amp; Water Management / Use</w:t>
      </w:r>
    </w:p>
    <w:p>
      <w:pPr>
        <w:pStyle w:val="FirstParagraph"/>
      </w:pPr>
      <w:r>
        <w:t xml:space="preserve">One IUCN threat was assessed as</w:t>
      </w:r>
      <w:r>
        <w:t xml:space="preserve"> </w:t>
      </w:r>
      <w:r>
        <w:t xml:space="preserve">“</w:t>
      </w:r>
      <w:r>
        <w:t xml:space="preserve">Extreme-High</w:t>
      </w:r>
      <w:r>
        <w:t xml:space="preserve">”</w:t>
      </w:r>
      <w:r>
        <w:t xml:space="preserve"> </w:t>
      </w:r>
      <w:r>
        <w:t xml:space="preserve">through DFO Recovery Potential Assessment processes, which was</w:t>
      </w:r>
      <w:r>
        <w:t xml:space="preserve"> </w:t>
      </w:r>
      <w:r>
        <w:t xml:space="preserve">“</w:t>
      </w:r>
      <w:r>
        <w:t xml:space="preserve">7.2 Dams &amp; Water Management / Use</w:t>
      </w:r>
      <w:r>
        <w:t xml:space="preserve">”</w:t>
      </w:r>
      <w:r>
        <w:t xml:space="preserve"> </w:t>
      </w:r>
      <w:r>
        <w:t xml:space="preserve">[doutaz2020]. Water extraction, including groundwater, for irrigation and domestic purposes is listed as the most significant concern [doutaz2020]. This threat was assigned to one Chinook conservation unit in the Fraser Interior area (Table</w:t>
      </w:r>
      <w:r>
        <w:t xml:space="preserve"> </w:t>
      </w:r>
      <w:r>
        <w:t xml:space="preserve">8</w:t>
      </w:r>
      <w:r>
        <w:t xml:space="preserve">).</w:t>
      </w:r>
    </w:p>
    <w:p>
      <w:pPr>
        <w:numPr>
          <w:ilvl w:val="0"/>
          <w:numId w:val="1018"/>
        </w:numPr>
      </w:pPr>
      <w:r>
        <w:rPr>
          <w:b/>
          <w:bCs/>
        </w:rPr>
        <w:t xml:space="preserve">DG - And 7.3 Other ecosystem modifications</w:t>
      </w:r>
    </w:p>
    <w:p>
      <w:pPr>
        <w:numPr>
          <w:ilvl w:val="0"/>
          <w:numId w:val="1018"/>
        </w:numPr>
      </w:pPr>
      <w:r>
        <w:rPr>
          <w:b/>
          <w:bCs/>
        </w:rPr>
        <w:t xml:space="preserve">DG - Likewise, this DU spawns in the South Thompson River watershed, so there’s an opportunity to make this description a bit more precise if wanted.</w:t>
      </w:r>
    </w:p>
    <w:p>
      <w:pPr>
        <w:pStyle w:val="TableCaption"/>
      </w:pPr>
      <w:bookmarkStart w:id="84" w:name="tab:cu-extreme-high-threat-table"/>
      <w:bookmarkEnd w:id="84"/>
      <w:r>
        <w:t xml:space="preserve">Table 8:</w:t>
      </w:r>
      <w:r>
        <w:t xml:space="preserve"> </w:t>
      </w:r>
      <w:r>
        <w:t xml:space="preserve">Conservation Units with Extreme-High RPA threat ranking.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Conservation Unit</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Chinook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 THOMPSON-BESSETTE CREEK_SU_1.2</w:t>
            </w:r>
          </w:p>
        </w:tc>
      </w:tr>
    </w:tbl>
    <w:p>
      <w:pPr>
        <w:pStyle w:val="BodyText"/>
      </w:pPr>
      <w:r>
        <w:br/>
      </w:r>
    </w:p>
    <w:p>
      <w:pPr>
        <w:pStyle w:val="BodyText"/>
      </w:pPr>
      <w:r>
        <w:t xml:space="preserve">“</w:t>
      </w:r>
      <w:r>
        <w:t xml:space="preserve">7.2 Dams and Water Management / Use</w:t>
      </w:r>
      <w:r>
        <w:t xml:space="preserve">”</w:t>
      </w:r>
      <w:r>
        <w:t xml:space="preserve"> </w:t>
      </w:r>
      <w:r>
        <w:t xml:space="preserve">is one of the largest categories matched with appropriate legislation (Figure</w:t>
      </w:r>
      <w:r>
        <w:t xml:space="preserve"> </w:t>
      </w:r>
      <w:r>
        <w:t xml:space="preserve">6</w:t>
      </w:r>
      <w:r>
        <w:t xml:space="preserve">). Aside from pollution and fisheries, watercourse alterations are recognized as one of the top human activities that require regulation. This threat also has a large proportion of keywords that match the relevant legislation.</w:t>
      </w:r>
    </w:p>
    <w:p>
      <w:pPr>
        <w:pStyle w:val="Compact"/>
        <w:numPr>
          <w:ilvl w:val="0"/>
          <w:numId w:val="1019"/>
        </w:numPr>
      </w:pPr>
      <w:r>
        <w:rPr>
          <w:b/>
          <w:bCs/>
        </w:rPr>
        <w:t xml:space="preserve">DG - This made me think that there was going to be a citation at the end of this sentence. Is this statement based on the present analysis? If so, then perhaps something to the effect of</w:t>
      </w:r>
      <w:r>
        <w:rPr>
          <w:b/>
          <w:bCs/>
        </w:rPr>
        <w:t xml:space="preserve"> </w:t>
      </w:r>
      <w:r>
        <w:rPr>
          <w:b/>
          <w:bCs/>
        </w:rPr>
        <w:t xml:space="preserve">“</w:t>
      </w:r>
      <w:r>
        <w:rPr>
          <w:b/>
          <w:bCs/>
        </w:rPr>
        <w:t xml:space="preserve">this analysis suggests that watercourse alternations are one of the top…</w:t>
      </w:r>
      <w:r>
        <w:rPr>
          <w:b/>
          <w:bCs/>
        </w:rPr>
        <w:t xml:space="preserve">”</w:t>
      </w:r>
    </w:p>
    <w:p>
      <w:pPr>
        <w:pStyle w:val="FirstParagraph"/>
      </w:pPr>
      <w:r>
        <w:t xml:space="preserve">The clause type matches for Dams and Water Management / Use were much more evenly distributed likely due to the large number of clause matches in total for that IUCN threat category.</w:t>
      </w:r>
      <w:r>
        <w:t xml:space="preserve"> </w:t>
      </w:r>
      <w:r>
        <w:t xml:space="preserve">“</w:t>
      </w:r>
      <w:r>
        <w:t xml:space="preserve">Interpretation &amp; Purpose</w:t>
      </w:r>
      <w:r>
        <w:t xml:space="preserve">”</w:t>
      </w:r>
      <w:r>
        <w:t xml:space="preserve"> </w:t>
      </w:r>
      <w:r>
        <w:t xml:space="preserve">matched the most clauses (includes Definition sections), while</w:t>
      </w:r>
      <w:r>
        <w:t xml:space="preserve"> </w:t>
      </w:r>
      <w:r>
        <w:t xml:space="preserve">“</w:t>
      </w:r>
      <w:r>
        <w:t xml:space="preserve">Administration, Application, &amp; Structure</w:t>
      </w:r>
      <w:r>
        <w:t xml:space="preserve">”</w:t>
      </w:r>
      <w:r>
        <w:t xml:space="preserve"> </w:t>
      </w:r>
      <w:r>
        <w:t xml:space="preserve">matched the fewest clauses followed by</w:t>
      </w:r>
      <w:r>
        <w:t xml:space="preserve"> </w:t>
      </w:r>
      <w:r>
        <w:t xml:space="preserve">“</w:t>
      </w:r>
      <w:r>
        <w:t xml:space="preserve">Prohibition, Restriction, or Limitation.</w:t>
      </w:r>
      <w:r>
        <w:t xml:space="preserve">”</w:t>
      </w:r>
    </w:p>
    <w:p>
      <w:pPr>
        <w:pStyle w:val="CaptionedFigure"/>
      </w:pPr>
      <w:r>
        <w:drawing>
          <wp:inline>
            <wp:extent cx="5943600" cy="4245428"/>
            <wp:effectExtent b="0" l="0" r="0" t="0"/>
            <wp:docPr descr="Figure 11: Section counts by clause type for IUCN threat category 7.2 Dams &amp; Water Management / Use." title="" id="86" name="Picture"/>
            <a:graphic>
              <a:graphicData uri="http://schemas.openxmlformats.org/drawingml/2006/picture">
                <pic:pic>
                  <pic:nvPicPr>
                    <pic:cNvPr descr="LAPSE_primary_publication_files/figure-docx/fig-clause-type-water-use-1.png" id="87" name="Picture"/>
                    <pic:cNvPicPr>
                      <a:picLocks noChangeArrowheads="1" noChangeAspect="1"/>
                    </pic:cNvPicPr>
                  </pic:nvPicPr>
                  <pic:blipFill>
                    <a:blip r:embed="rId85"/>
                    <a:stretch>
                      <a:fillRect/>
                    </a:stretch>
                  </pic:blipFill>
                  <pic:spPr bwMode="auto">
                    <a:xfrm>
                      <a:off x="0" y="0"/>
                      <a:ext cx="5943600" cy="4245428"/>
                    </a:xfrm>
                    <a:prstGeom prst="rect">
                      <a:avLst/>
                    </a:prstGeom>
                    <a:noFill/>
                    <a:ln w="9525">
                      <a:noFill/>
                      <a:headEnd/>
                      <a:tailEnd/>
                    </a:ln>
                  </pic:spPr>
                </pic:pic>
              </a:graphicData>
            </a:graphic>
          </wp:inline>
        </w:drawing>
      </w:r>
    </w:p>
    <w:p>
      <w:pPr>
        <w:pStyle w:val="ImageCaption"/>
      </w:pPr>
      <w:bookmarkStart w:id="88" w:name="fig:fig-clause-type-water-use"/>
      <w:bookmarkEnd w:id="88"/>
      <w:r>
        <w:t xml:space="preserve">Figure 11: Section counts by clause type for IUCN threat category 7.2 Dams &amp; Water Management / Use.</w:t>
      </w:r>
    </w:p>
    <w:p>
      <w:pPr>
        <w:numPr>
          <w:ilvl w:val="0"/>
          <w:numId w:val="1020"/>
        </w:numPr>
      </w:pPr>
      <w:r>
        <w:rPr>
          <w:b/>
          <w:bCs/>
        </w:rPr>
        <w:t xml:space="preserve">add more description of Bessette Creek</w:t>
      </w:r>
    </w:p>
    <w:p>
      <w:pPr>
        <w:numPr>
          <w:ilvl w:val="0"/>
          <w:numId w:val="1020"/>
        </w:numPr>
      </w:pPr>
      <w:r>
        <w:rPr>
          <w:b/>
          <w:bCs/>
        </w:rPr>
        <w:t xml:space="preserve">MW - This may be out of scope for your review but here is a report that outlines the burden of proof needed for the Gov of BC to deny an application for an irrigation well in the Bessette Watershed. Their refusal decision was appealed by the applicant. It may have some background info you are looking for.</w:t>
      </w:r>
      <w:r>
        <w:rPr>
          <w:b/>
          <w:bCs/>
        </w:rPr>
        <w:t xml:space="preserve"> </w:t>
      </w:r>
      <w:hyperlink r:id="rId89">
        <w:r>
          <w:rPr>
            <w:rStyle w:val="Hyperlink"/>
            <w:b/>
            <w:bCs/>
          </w:rPr>
          <w:t xml:space="preserve">Aquatic Report Catalogue</w:t>
        </w:r>
      </w:hyperlink>
    </w:p>
    <w:p>
      <w:pPr>
        <w:numPr>
          <w:ilvl w:val="0"/>
          <w:numId w:val="1020"/>
        </w:numPr>
      </w:pPr>
      <w:r>
        <w:rPr>
          <w:b/>
          <w:bCs/>
        </w:rPr>
        <w:t xml:space="preserve">Comment on the most relevant legislation and why</w:t>
      </w:r>
    </w:p>
    <w:p>
      <w:pPr>
        <w:numPr>
          <w:ilvl w:val="0"/>
          <w:numId w:val="1020"/>
        </w:numPr>
      </w:pPr>
      <w:r>
        <w:rPr>
          <w:b/>
          <w:bCs/>
        </w:rPr>
        <w:t xml:space="preserve">MW - In case this is helpful context:</w:t>
      </w:r>
    </w:p>
    <w:p>
      <w:pPr>
        <w:numPr>
          <w:ilvl w:val="0"/>
          <w:numId w:val="1000"/>
        </w:numPr>
      </w:pPr>
      <w:r>
        <w:rPr>
          <w:b/>
          <w:bCs/>
        </w:rPr>
        <w:t xml:space="preserve">Water Sustainability Act Sections for water use/licencing:</w:t>
      </w:r>
      <w:r>
        <w:br/>
      </w:r>
    </w:p>
    <w:p>
      <w:pPr>
        <w:numPr>
          <w:ilvl w:val="0"/>
          <w:numId w:val="1000"/>
        </w:numPr>
      </w:pPr>
      <w:r>
        <w:rPr>
          <w:b/>
          <w:bCs/>
        </w:rPr>
        <w:t xml:space="preserve">14 Powers respecting applications and decision maker initiatives</w:t>
      </w:r>
    </w:p>
    <w:p>
      <w:pPr>
        <w:numPr>
          <w:ilvl w:val="0"/>
          <w:numId w:val="1000"/>
        </w:numPr>
      </w:pPr>
      <w:r>
        <w:rPr>
          <w:b/>
          <w:bCs/>
        </w:rPr>
        <w:t xml:space="preserve">Decision point:</w:t>
      </w:r>
    </w:p>
    <w:p>
      <w:pPr>
        <w:numPr>
          <w:ilvl w:val="0"/>
          <w:numId w:val="1000"/>
        </w:numPr>
      </w:pPr>
      <w:r>
        <w:rPr>
          <w:b/>
          <w:bCs/>
        </w:rPr>
        <w:t xml:space="preserve">The decision maker may refuse an application, require additional information from the applicant, include special conditions, amend or grant the application.</w:t>
      </w:r>
    </w:p>
    <w:p>
      <w:pPr>
        <w:numPr>
          <w:ilvl w:val="0"/>
          <w:numId w:val="1000"/>
        </w:numPr>
      </w:pPr>
      <w:r>
        <w:rPr>
          <w:b/>
          <w:bCs/>
        </w:rPr>
        <w:t xml:space="preserve">15 EFN</w:t>
      </w:r>
    </w:p>
    <w:p>
      <w:pPr>
        <w:numPr>
          <w:ilvl w:val="0"/>
          <w:numId w:val="1000"/>
        </w:numPr>
      </w:pPr>
      <w:r>
        <w:rPr>
          <w:b/>
          <w:bCs/>
        </w:rPr>
        <w:t xml:space="preserve">Decision points:</w:t>
      </w:r>
    </w:p>
    <w:p>
      <w:pPr>
        <w:numPr>
          <w:ilvl w:val="1"/>
          <w:numId w:val="1021"/>
        </w:numPr>
      </w:pPr>
      <w:r>
        <w:rPr>
          <w:b/>
          <w:bCs/>
        </w:rPr>
        <w:t xml:space="preserve">The decision maker must consider the environmental flow needs of the stream (as outlined in the EFN Policy).</w:t>
      </w:r>
    </w:p>
    <w:p>
      <w:pPr>
        <w:numPr>
          <w:ilvl w:val="1"/>
          <w:numId w:val="1021"/>
        </w:numPr>
      </w:pPr>
      <w:r>
        <w:rPr>
          <w:b/>
          <w:bCs/>
        </w:rPr>
        <w:t xml:space="preserve">In some cases, the decision maker must determine the EFN and may require further assessment from the applicant or a QEP — typically when regulations apply (e.g., the stream is identified as a Sensitive Stream in regulation) or when the decision maker deems additional information necessary to properly assess the application.</w:t>
      </w:r>
    </w:p>
    <w:bookmarkEnd w:id="90"/>
    <w:bookmarkEnd w:id="91"/>
    <w:bookmarkStart w:id="92" w:name="co-occurrence-of-management-domains"/>
    <w:p>
      <w:pPr>
        <w:pStyle w:val="Heading1"/>
      </w:pPr>
      <w:r>
        <w:t xml:space="preserve">Co-occurrence of management domains</w:t>
      </w:r>
    </w:p>
    <w:p>
      <w:pPr>
        <w:pStyle w:val="FirstParagraph"/>
      </w:pPr>
      <w:r>
        <w:t xml:space="preserve">Management domains can overlap within sections and clauses. For example the provincial Land-based Finfish Waste Control Regulation (Environmental Management Act) states in Section 2 that:</w:t>
      </w:r>
      <w:r>
        <w:t xml:space="preserve"> </w:t>
      </w:r>
      <w:r>
        <w:t xml:space="preserve">“</w:t>
      </w:r>
      <w:r>
        <w:t xml:space="preserve">The owner of a land-based finfish facility is exempt from section 6 (2) and (3) of the Environmental Management Act with respect to the discharge of wastes from the land-based finfish facility if the owner…</w:t>
      </w:r>
      <w:r>
        <w:t xml:space="preserve">”</w:t>
      </w:r>
      <w:r>
        <w:t xml:space="preserve"> </w:t>
      </w:r>
      <w:r>
        <w:t xml:space="preserve">This clause matched appropriately with both the</w:t>
      </w:r>
      <w:r>
        <w:t xml:space="preserve"> </w:t>
      </w:r>
      <w:r>
        <w:t xml:space="preserve">“</w:t>
      </w:r>
      <w:r>
        <w:t xml:space="preserve">Aquaculture and Hatcheries</w:t>
      </w:r>
      <w:r>
        <w:t xml:space="preserve">”</w:t>
      </w:r>
      <w:r>
        <w:t xml:space="preserve"> </w:t>
      </w:r>
      <w:r>
        <w:t xml:space="preserve">and</w:t>
      </w:r>
      <w:r>
        <w:t xml:space="preserve"> </w:t>
      </w:r>
      <w:r>
        <w:t xml:space="preserve">“</w:t>
      </w:r>
      <w:r>
        <w:t xml:space="preserve">Pollution</w:t>
      </w:r>
      <w:r>
        <w:t xml:space="preserve">”</w:t>
      </w:r>
      <w:r>
        <w:t xml:space="preserve"> </w:t>
      </w:r>
      <w:r>
        <w:t xml:space="preserve">management domains. Because the matching process allows for multiple keywords to be matched per clause, this method allows for an assessment of co-occurrences and connections between management domains.</w:t>
      </w:r>
    </w:p>
    <w:p>
      <w:pPr>
        <w:pStyle w:val="BodyText"/>
      </w:pPr>
      <w:r>
        <w:t xml:space="preserve">The LAPSE keyword matching process allows that multiple management domains (and IUCN threats) can be matched to clauses and sections. This dynamic is not a flaw, but rather a way of showing the complexities of legal language as related to salmon management. For example, Section 7 of the federal Aquaculture Activities Regulations (Fisheries Act) states that:</w:t>
      </w:r>
      <w:r>
        <w:t xml:space="preserve"> </w:t>
      </w:r>
      <w:r>
        <w:t xml:space="preserve">“</w:t>
      </w:r>
      <w:r>
        <w:t xml:space="preserve">The owner or the operator of the aquaculture facility must, in depositing a deleterious substance referred to in paragraph 2(a) or (b), take reasonable measures to minimize detriment to fish and fish habitat outside the facility…</w:t>
      </w:r>
      <w:r>
        <w:t xml:space="preserve">”</w:t>
      </w:r>
      <w:r>
        <w:t xml:space="preserve"> </w:t>
      </w:r>
      <w:r>
        <w:t xml:space="preserve">Keywords in this clause correctly match to the Pollution, as well as, Aquaculture and Hatcheries management domains. Assigning only one management domain would over-simplify the classification in terms of salmon management as the clause clearly references both aquaculture and pollution. This section could be important for users searching either aquaculture or pollution regulations for a particular watercourse.</w:t>
      </w:r>
    </w:p>
    <w:p>
      <w:pPr>
        <w:pStyle w:val="BodyText"/>
      </w:pPr>
      <w:r>
        <w:t xml:space="preserve">Domain co-occurrence within sections allows for an interesting study of how management domains overlap (Figure 11). A frequent co-occurrence among management domains doesn’t necessarily represent a relationship in reality, simply the legal framing used to regulate these aspects. The Pollution management domain and Water Use and Watercourse Modifications are in the top four most matched to sections (Figure 4), and expectedly, these domains have the largest number of co-occurrences. Both domains relate generally to the impacts from anthropogenic industrialization and commercial development, which is reflected in the legal language.</w:t>
      </w:r>
    </w:p>
    <w:bookmarkEnd w:id="92"/>
    <w:bookmarkStart w:id="94" w:name="discussion"/>
    <w:p>
      <w:pPr>
        <w:pStyle w:val="Heading1"/>
      </w:pPr>
      <w:r>
        <w:t xml:space="preserve">Discussion</w:t>
      </w:r>
    </w:p>
    <w:p>
      <w:pPr>
        <w:pStyle w:val="FirstParagraph"/>
      </w:pPr>
      <w:r>
        <w:t xml:space="preserve">Socio-political boundaries at multiple spatial scales across a species’ range increase ambiguity regarding the ownership and regulation of space</w:t>
      </w:r>
      <w:r>
        <w:t xml:space="preserve"> </w:t>
      </w:r>
      <w:r>
        <w:t xml:space="preserve">(Dallimer and Strange 2015)</w:t>
      </w:r>
      <w:r>
        <w:t xml:space="preserve">.</w:t>
      </w:r>
    </w:p>
    <w:p>
      <w:pPr>
        <w:pStyle w:val="BodyText"/>
      </w:pPr>
      <w:r>
        <w:t xml:space="preserve">Federal parliament and provincial legislatures rely on broadly discretionary terms in statutes that appear protective</w:t>
      </w:r>
      <w:r>
        <w:t xml:space="preserve"> </w:t>
      </w:r>
      <w:r>
        <w:t xml:space="preserve">(Collins and Sossin 2019)</w:t>
      </w:r>
      <w:r>
        <w:t xml:space="preserve">, but may chronically fail to prevent environmental degradation</w:t>
      </w:r>
      <w:r>
        <w:t xml:space="preserve"> </w:t>
      </w:r>
      <w:r>
        <w:t xml:space="preserve">(Bankes et al. 2014)</w:t>
      </w:r>
      <w:r>
        <w:t xml:space="preserve">. One term can make the difference between a clause being mandatory or discretionary (</w:t>
      </w:r>
      <w:r>
        <w:t xml:space="preserve">“</w:t>
      </w:r>
      <w:r>
        <w:t xml:space="preserve">shall</w:t>
      </w:r>
      <w:r>
        <w:t xml:space="preserve">”</w:t>
      </w:r>
      <w:r>
        <w:t xml:space="preserve"> </w:t>
      </w:r>
      <w:r>
        <w:t xml:space="preserve">as opposed to</w:t>
      </w:r>
      <w:r>
        <w:t xml:space="preserve"> </w:t>
      </w:r>
      <w:r>
        <w:t xml:space="preserve">“</w:t>
      </w:r>
      <w:r>
        <w:t xml:space="preserve">may</w:t>
      </w:r>
      <w:r>
        <w:t xml:space="preserve">”</w:t>
      </w:r>
      <w:r>
        <w:t xml:space="preserve">), allowing an official to only exercise that authority or responsibility when economically feasible. The same laws that prohibit killing fish or damaging habitat also contain provisions to authorize those activities through licences, permits, and exemptions</w:t>
      </w:r>
      <w:r>
        <w:t xml:space="preserve"> </w:t>
      </w:r>
      <w:r>
        <w:t xml:space="preserve">(Swerdfager and Olive 2023)</w:t>
      </w:r>
      <w:r>
        <w:t xml:space="preserve">. This vagueness creates a large dependence on the executive to explain these implementation gaps</w:t>
      </w:r>
      <w:r>
        <w:t xml:space="preserve"> </w:t>
      </w:r>
      <w:r>
        <w:t xml:space="preserve">(Bankes et al. 2014)</w:t>
      </w:r>
      <w:r>
        <w:t xml:space="preserve">, allowing for arbitrary and somewhat dysfunctional stewardship styles lacking a broader overseer or responsible agency across the entire salmon life cycle.</w:t>
      </w:r>
    </w:p>
    <w:p>
      <w:pPr>
        <w:pStyle w:val="BodyText"/>
      </w:pPr>
      <w:r>
        <w:t xml:space="preserve">Federal departments differ in how they implement the same legislation. For example, during the</w:t>
      </w:r>
      <w:r>
        <w:t xml:space="preserve"> </w:t>
      </w:r>
      <w:r>
        <w:rPr>
          <w:i/>
          <w:iCs/>
        </w:rPr>
        <w:t xml:space="preserve">Species At Risk Act</w:t>
      </w:r>
      <w:r>
        <w:t xml:space="preserve"> </w:t>
      </w:r>
      <w:r>
        <w:t xml:space="preserve">listing process, Fisheries and Oceans Canada (DFO) conducts socio-economic analyses, whereas Environment and Climate Change Canada (ECCC) does not</w:t>
      </w:r>
      <w:r>
        <w:t xml:space="preserve"> </w:t>
      </w:r>
      <w:r>
        <w:t xml:space="preserve">(Turcotte et al. 2021)</w:t>
      </w:r>
      <w:r>
        <w:t xml:space="preserve">.</w:t>
      </w:r>
      <w:r>
        <w:t xml:space="preserve"> </w:t>
      </w:r>
      <w:r>
        <w:rPr>
          <w:i/>
          <w:iCs/>
        </w:rPr>
        <w:t xml:space="preserve">Canada’s Policy for Conservation of Wild Pacific Salmon</w:t>
      </w:r>
      <w:r>
        <w:t xml:space="preserve"> </w:t>
      </w:r>
      <w:r>
        <w:t xml:space="preserve">(WSP) outlines a process for Pacific salmon stewardship using the precautionary principle and the scope of salmon diversity protection to the Conservation Unit (CU): genetically and (or) geographically distinct populations. These misaligned processes create a situation where even when a salmon population is assessed as</w:t>
      </w:r>
      <w:r>
        <w:t xml:space="preserve"> </w:t>
      </w:r>
      <w:r>
        <w:t xml:space="preserve">“</w:t>
      </w:r>
      <w:r>
        <w:t xml:space="preserve">endangered</w:t>
      </w:r>
      <w:r>
        <w:t xml:space="preserve">”</w:t>
      </w:r>
      <w:r>
        <w:t xml:space="preserve"> </w:t>
      </w:r>
      <w:r>
        <w:t xml:space="preserve">through COSEWIC (Cultus Lake sockeye), the population could still be omitted from the</w:t>
      </w:r>
      <w:r>
        <w:t xml:space="preserve"> </w:t>
      </w:r>
      <w:r>
        <w:rPr>
          <w:i/>
          <w:iCs/>
        </w:rPr>
        <w:t xml:space="preserve">List of Endangered Species</w:t>
      </w:r>
      <w:r>
        <w:t xml:space="preserve"> </w:t>
      </w:r>
      <w:r>
        <w:t xml:space="preserve">(Order) for economic and political reasons (co-migrating with other stocks), denying the population larger legislative protections.</w:t>
      </w:r>
    </w:p>
    <w:bookmarkStart w:id="93" w:name="conclusions"/>
    <w:p>
      <w:pPr>
        <w:pStyle w:val="Heading2"/>
      </w:pPr>
      <w:r>
        <w:t xml:space="preserve">Conclusions</w:t>
      </w:r>
    </w:p>
    <w:p>
      <w:pPr>
        <w:pStyle w:val="FirstParagraph"/>
      </w:pPr>
      <w:r>
        <w:t xml:space="preserve">Pacific salmon stewardship projects (e.g. monitoring, restoration, enhancement, etc.) and decision processes often consider policies, methodologies, and literature, but the federal and provincial legislation that regulates human activities is not often reviewed. Legislative language can be vague and illusive, and the administrative structure of salmon jurisdiction in British Columbia is a decentralized and overlapping mosaic. The disconnect between legislative and natural resource language can lead to ineffective compliance with social values. The Legislation Applicable to Pacific Salmon and Ecosystems (LAPSE) process developed through this study attempts to bridge the language gap to equip practitioners with fuller knowledge of the legal landscape available.</w:t>
      </w:r>
    </w:p>
    <w:p>
      <w:pPr>
        <w:pStyle w:val="Compact"/>
        <w:numPr>
          <w:ilvl w:val="0"/>
          <w:numId w:val="1022"/>
        </w:numPr>
      </w:pPr>
      <w:r>
        <w:rPr>
          <w:b/>
          <w:bCs/>
        </w:rPr>
        <w:t xml:space="preserve">DG - I feel as though LAPSE provides practitioners with more than knowledge, but also accessibility and navigability of the legal landscape</w:t>
      </w:r>
    </w:p>
    <w:p>
      <w:pPr>
        <w:pStyle w:val="FirstParagraph"/>
      </w:pPr>
      <w:r>
        <w:t xml:space="preserve">The LAPSE tool provides a novel approach of linking legal language with salmon stewardship categorization by developing management domain categories based on internationally recognized biodiversity threat categories (IUCN threats). The methods developed to identify and match salmon management keywords and keyphrases to clauses allow for multiple outputs and opportunities including: an extensive list of legislation (acts, regulations, sections, and paragraphs) relevant to a human activity or salmon stewardship decisions; assessment of the nature or context of the statute (clause type) by management domain and threat; assessment of the overlap and connectedness in management domains (co-occurrence) to better understand the relationship between salmon threats in legislation. While this process and tool are relatively new and untested, further development could lead to a better integration of salmon stewardship decisions and administrative responsibility.</w:t>
      </w:r>
    </w:p>
    <w:bookmarkEnd w:id="93"/>
    <w:bookmarkEnd w:id="94"/>
    <w:bookmarkStart w:id="168" w:name="references"/>
    <w:p>
      <w:pPr>
        <w:pStyle w:val="Heading1"/>
      </w:pPr>
      <w:r>
        <w:t xml:space="preserve">References</w:t>
      </w:r>
    </w:p>
    <w:bookmarkStart w:id="167" w:name="refs"/>
    <w:bookmarkStart w:id="95" w:name="ref-arbeider2020"/>
    <w:p>
      <w:pPr>
        <w:pStyle w:val="Bibliography"/>
      </w:pPr>
      <w:r>
        <w:t xml:space="preserve">Arbeider, M., Ritchie, L., Braun, D., Jenewein, B., Rickards, K., Dionne, K., Holt, C., Labelle, M., Nicklin, P., Mozin, P., Grant, P., Parken, C., and Bailey, R. 2020. Interior</w:t>
      </w:r>
      <w:r>
        <w:t xml:space="preserve"> </w:t>
      </w:r>
      <w:r>
        <w:t xml:space="preserve">Fraser Coho Salmon Recovery Potential Assessment</w:t>
      </w:r>
      <w:r>
        <w:t xml:space="preserve">.</w:t>
      </w:r>
      <w:r>
        <w:t xml:space="preserve"> </w:t>
      </w:r>
      <w:r>
        <w:t xml:space="preserve">Fisheries and Oceans Canada</w:t>
      </w:r>
      <w:r>
        <w:t xml:space="preserve">.</w:t>
      </w:r>
    </w:p>
    <w:bookmarkEnd w:id="95"/>
    <w:bookmarkStart w:id="97" w:name="ref-atkinson2024"/>
    <w:p>
      <w:pPr>
        <w:pStyle w:val="Bibliography"/>
      </w:pPr>
      <w:r>
        <w:t xml:space="preserve">Atkinson, E.M., Carturan, B.S., Atkinson, C.P., Bateman, A.W., Connors, K., Hertz, E., and Peacock, S.J. 2024, December 5. Monitoring for fisheries or for fish?</w:t>
      </w:r>
      <w:r>
        <w:t xml:space="preserve"> </w:t>
      </w:r>
      <w:r>
        <w:t xml:space="preserve">Declines</w:t>
      </w:r>
      <w:r>
        <w:t xml:space="preserve"> </w:t>
      </w:r>
      <w:r>
        <w:t xml:space="preserve">in monitoring of salmon spawners continue despite a conservation crisis. doi:</w:t>
      </w:r>
      <w:hyperlink r:id="rId96">
        <w:r>
          <w:rPr>
            <w:rStyle w:val="Hyperlink"/>
          </w:rPr>
          <w:t xml:space="preserve">10.1101/2024.12.01.626233</w:t>
        </w:r>
      </w:hyperlink>
      <w:r>
        <w:t xml:space="preserve">.</w:t>
      </w:r>
    </w:p>
    <w:bookmarkEnd w:id="97"/>
    <w:bookmarkStart w:id="99" w:name="ref-bankes2014"/>
    <w:p>
      <w:pPr>
        <w:pStyle w:val="Bibliography"/>
      </w:pPr>
      <w:r>
        <w:t xml:space="preserve">Bankes, N., Mascher, S., and Olszynski, M. 2014. Can</w:t>
      </w:r>
      <w:r>
        <w:t xml:space="preserve"> </w:t>
      </w:r>
      <w:r>
        <w:t xml:space="preserve">Environmental Laws Fulfill Their Promise</w:t>
      </w:r>
      <w:r>
        <w:t xml:space="preserve">?</w:t>
      </w:r>
      <w:r>
        <w:t xml:space="preserve"> </w:t>
      </w:r>
      <w:r>
        <w:t xml:space="preserve">Stories</w:t>
      </w:r>
      <w:r>
        <w:t xml:space="preserve"> </w:t>
      </w:r>
      <w:r>
        <w:t xml:space="preserve">from</w:t>
      </w:r>
      <w:r>
        <w:t xml:space="preserve"> </w:t>
      </w:r>
      <w:r>
        <w:t xml:space="preserve">Canada</w:t>
      </w:r>
      <w:r>
        <w:t xml:space="preserve">. Sustainability</w:t>
      </w:r>
      <w:r>
        <w:t xml:space="preserve"> </w:t>
      </w:r>
      <w:r>
        <w:rPr>
          <w:b/>
          <w:bCs/>
        </w:rPr>
        <w:t xml:space="preserve">6</w:t>
      </w:r>
      <w:r>
        <w:t xml:space="preserve">(9): 6024–6048. doi:</w:t>
      </w:r>
      <w:hyperlink r:id="rId98">
        <w:r>
          <w:rPr>
            <w:rStyle w:val="Hyperlink"/>
          </w:rPr>
          <w:t xml:space="preserve">10.3390/su6096024</w:t>
        </w:r>
      </w:hyperlink>
      <w:r>
        <w:t xml:space="preserve">.</w:t>
      </w:r>
    </w:p>
    <w:bookmarkEnd w:id="99"/>
    <w:bookmarkStart w:id="100" w:name="ref-becklumb2013"/>
    <w:p>
      <w:pPr>
        <w:pStyle w:val="Bibliography"/>
      </w:pPr>
      <w:r>
        <w:t xml:space="preserve">Becklumb, P. 2013. Federal and</w:t>
      </w:r>
      <w:r>
        <w:t xml:space="preserve"> </w:t>
      </w:r>
      <w:r>
        <w:t xml:space="preserve">Provincial Jurisdiction</w:t>
      </w:r>
      <w:r>
        <w:t xml:space="preserve"> </w:t>
      </w:r>
      <w:r>
        <w:t xml:space="preserve">to</w:t>
      </w:r>
      <w:r>
        <w:t xml:space="preserve"> </w:t>
      </w:r>
      <w:r>
        <w:t xml:space="preserve">Regulate Environmental Issues</w:t>
      </w:r>
      <w:r>
        <w:t xml:space="preserve">.</w:t>
      </w:r>
    </w:p>
    <w:bookmarkEnd w:id="100"/>
    <w:bookmarkStart w:id="102" w:name="ref-bisson2009"/>
    <w:p>
      <w:pPr>
        <w:pStyle w:val="Bibliography"/>
      </w:pPr>
      <w:r>
        <w:t xml:space="preserve">Bisson, P.A., Dunham, J.B., and Reeves, G.H. 2009. Freshwater</w:t>
      </w:r>
      <w:r>
        <w:t xml:space="preserve"> </w:t>
      </w:r>
      <w:r>
        <w:t xml:space="preserve">Ecosystems</w:t>
      </w:r>
      <w:r>
        <w:t xml:space="preserve"> </w:t>
      </w:r>
      <w:r>
        <w:t xml:space="preserve">and</w:t>
      </w:r>
      <w:r>
        <w:t xml:space="preserve"> </w:t>
      </w:r>
      <w:r>
        <w:t xml:space="preserve">Resilience</w:t>
      </w:r>
      <w:r>
        <w:t xml:space="preserve"> </w:t>
      </w:r>
      <w:r>
        <w:t xml:space="preserve">of</w:t>
      </w:r>
      <w:r>
        <w:t xml:space="preserve"> </w:t>
      </w:r>
      <w:r>
        <w:t xml:space="preserve">Pacific Salmon</w:t>
      </w:r>
      <w:r>
        <w:t xml:space="preserve">:</w:t>
      </w:r>
      <w:r>
        <w:t xml:space="preserve"> </w:t>
      </w:r>
      <w:r>
        <w:t xml:space="preserve">Habitat Management Based</w:t>
      </w:r>
      <w:r>
        <w:t xml:space="preserve"> </w:t>
      </w:r>
      <w:r>
        <w:t xml:space="preserve">on</w:t>
      </w:r>
      <w:r>
        <w:t xml:space="preserve"> </w:t>
      </w:r>
      <w:r>
        <w:t xml:space="preserve">Natural Variability</w:t>
      </w:r>
      <w:r>
        <w:t xml:space="preserve">. E&amp;S</w:t>
      </w:r>
      <w:r>
        <w:t xml:space="preserve"> </w:t>
      </w:r>
      <w:r>
        <w:rPr>
          <w:b/>
          <w:bCs/>
        </w:rPr>
        <w:t xml:space="preserve">14</w:t>
      </w:r>
      <w:r>
        <w:t xml:space="preserve">(1): art45. doi:</w:t>
      </w:r>
      <w:hyperlink r:id="rId101">
        <w:r>
          <w:rPr>
            <w:rStyle w:val="Hyperlink"/>
          </w:rPr>
          <w:t xml:space="preserve">10.5751/ES-02784-140145</w:t>
        </w:r>
      </w:hyperlink>
      <w:r>
        <w:t xml:space="preserve">.</w:t>
      </w:r>
    </w:p>
    <w:bookmarkEnd w:id="102"/>
    <w:bookmarkStart w:id="104" w:name="ref-bogetti2025"/>
    <w:p>
      <w:pPr>
        <w:pStyle w:val="Bibliography"/>
      </w:pPr>
      <w:r>
        <w:t xml:space="preserve">Bogetti, J.M., and Mason, C.W. 2025. To protect or forget?</w:t>
      </w:r>
      <w:r>
        <w:t xml:space="preserve"> </w:t>
      </w:r>
      <w:r>
        <w:t xml:space="preserve">Comparing</w:t>
      </w:r>
      <w:r>
        <w:t xml:space="preserve"> </w:t>
      </w:r>
      <w:r>
        <w:t xml:space="preserve">species at risk legislation across</w:t>
      </w:r>
      <w:r>
        <w:t xml:space="preserve"> </w:t>
      </w:r>
      <w:r>
        <w:t xml:space="preserve">Canada</w:t>
      </w:r>
      <w:r>
        <w:t xml:space="preserve">’s common-law provinces. FACETS</w:t>
      </w:r>
      <w:r>
        <w:t xml:space="preserve"> </w:t>
      </w:r>
      <w:r>
        <w:rPr>
          <w:b/>
          <w:bCs/>
        </w:rPr>
        <w:t xml:space="preserve">10</w:t>
      </w:r>
      <w:r>
        <w:t xml:space="preserve">: 1–11. doi:</w:t>
      </w:r>
      <w:hyperlink r:id="rId103">
        <w:r>
          <w:rPr>
            <w:rStyle w:val="Hyperlink"/>
          </w:rPr>
          <w:t xml:space="preserve">10.1139/facets-2025-0031</w:t>
        </w:r>
      </w:hyperlink>
      <w:r>
        <w:t xml:space="preserve">.</w:t>
      </w:r>
    </w:p>
    <w:bookmarkEnd w:id="104"/>
    <w:bookmarkStart w:id="106" w:name="ref-campbell2002"/>
    <w:p>
      <w:pPr>
        <w:pStyle w:val="Bibliography"/>
      </w:pPr>
      <w:r>
        <w:t xml:space="preserve">Campbell, M.L., and Thomas, V.G. 2002. Constitutional</w:t>
      </w:r>
      <w:r>
        <w:t xml:space="preserve"> </w:t>
      </w:r>
      <w:r>
        <w:t xml:space="preserve">Impacts</w:t>
      </w:r>
      <w:r>
        <w:t xml:space="preserve"> </w:t>
      </w:r>
      <w:r>
        <w:t xml:space="preserve">on</w:t>
      </w:r>
      <w:r>
        <w:t xml:space="preserve"> </w:t>
      </w:r>
      <w:r>
        <w:t xml:space="preserve">Conservation</w:t>
      </w:r>
      <w:r>
        <w:t xml:space="preserve">:</w:t>
      </w:r>
      <w:r>
        <w:t xml:space="preserve"> </w:t>
      </w:r>
      <w:r>
        <w:t xml:space="preserve">Effects</w:t>
      </w:r>
      <w:r>
        <w:t xml:space="preserve"> </w:t>
      </w:r>
      <w:r>
        <w:t xml:space="preserve">of</w:t>
      </w:r>
      <w:r>
        <w:t xml:space="preserve"> </w:t>
      </w:r>
      <w:r>
        <w:t xml:space="preserve">Federalism</w:t>
      </w:r>
      <w:r>
        <w:t xml:space="preserve"> </w:t>
      </w:r>
      <w:r>
        <w:t xml:space="preserve">on</w:t>
      </w:r>
      <w:r>
        <w:t xml:space="preserve"> </w:t>
      </w:r>
      <w:r>
        <w:t xml:space="preserve">Biodiversity Protection</w:t>
      </w:r>
      <w:r>
        <w:t xml:space="preserve">. Environmental Policy and Law</w:t>
      </w:r>
      <w:r>
        <w:t xml:space="preserve"> </w:t>
      </w:r>
      <w:r>
        <w:rPr>
          <w:b/>
          <w:bCs/>
        </w:rPr>
        <w:t xml:space="preserve">32</w:t>
      </w:r>
      <w:r>
        <w:t xml:space="preserve">(5): 223–232. doi:</w:t>
      </w:r>
      <w:hyperlink r:id="rId105">
        <w:r>
          <w:rPr>
            <w:rStyle w:val="Hyperlink"/>
          </w:rPr>
          <w:t xml:space="preserve">10.3233/EPL-2002-32_5_13</w:t>
        </w:r>
      </w:hyperlink>
      <w:r>
        <w:t xml:space="preserve">.</w:t>
      </w:r>
    </w:p>
    <w:bookmarkEnd w:id="106"/>
    <w:bookmarkStart w:id="108" w:name="X0deca4265bf6bbafed91be61c4a47264114da06"/>
    <w:p>
      <w:pPr>
        <w:pStyle w:val="Bibliography"/>
      </w:pPr>
      <w:r>
        <w:t xml:space="preserve">Canadian Legal Information Institute. 2025, December 18.</w:t>
      </w:r>
      <w:r>
        <w:t xml:space="preserve"> </w:t>
      </w:r>
      <w:r>
        <w:t xml:space="preserve">CanLII</w:t>
      </w:r>
      <w:r>
        <w:t xml:space="preserve">. CanLII. Available from</w:t>
      </w:r>
      <w:r>
        <w:t xml:space="preserve"> </w:t>
      </w:r>
      <w:hyperlink r:id="rId107">
        <w:r>
          <w:rPr>
            <w:rStyle w:val="Hyperlink"/>
          </w:rPr>
          <w:t xml:space="preserve">https://www.canlii.org/</w:t>
        </w:r>
      </w:hyperlink>
      <w:r>
        <w:t xml:space="preserve"> </w:t>
      </w:r>
      <w:r>
        <w:t xml:space="preserve">[accessed 18 December 2025].</w:t>
      </w:r>
    </w:p>
    <w:bookmarkEnd w:id="108"/>
    <w:bookmarkStart w:id="110" w:name="ref-chalifour2022"/>
    <w:p>
      <w:pPr>
        <w:pStyle w:val="Bibliography"/>
      </w:pPr>
      <w:r>
        <w:t xml:space="preserve">Chalifour, L., Holt, C., Camaclang, A.E., Bradford, M.J., Dixon, R., Finn, R.J.R., Hemming, V., Hinch, S.G., Levings, C.D., MacDuffee, M., Nishimura, D.J.H., Pearson, M., Reynolds, J.D., Scott, D.C., Spremberg, U., Stark, S., Stevens, J., Baum, J.K., and Martin, T.G. 2022. Identifying a pathway towards recovery for depleted wild</w:t>
      </w:r>
      <w:r>
        <w:t xml:space="preserve"> </w:t>
      </w:r>
      <w:r>
        <w:t xml:space="preserve">Pacific</w:t>
      </w:r>
      <w:r>
        <w:t xml:space="preserve"> </w:t>
      </w:r>
      <w:r>
        <w:t xml:space="preserve">salmon populations in a large watershed under multiple stressors. Journal of Applied Ecology</w:t>
      </w:r>
      <w:r>
        <w:t xml:space="preserve"> </w:t>
      </w:r>
      <w:r>
        <w:rPr>
          <w:b/>
          <w:bCs/>
        </w:rPr>
        <w:t xml:space="preserve">59</w:t>
      </w:r>
      <w:r>
        <w:t xml:space="preserve">(9): 2212–2226. doi:</w:t>
      </w:r>
      <w:hyperlink r:id="rId109">
        <w:r>
          <w:rPr>
            <w:rStyle w:val="Hyperlink"/>
          </w:rPr>
          <w:t xml:space="preserve">10.1111/1365-2664.14239</w:t>
        </w:r>
      </w:hyperlink>
      <w:r>
        <w:t xml:space="preserve">.</w:t>
      </w:r>
    </w:p>
    <w:bookmarkEnd w:id="110"/>
    <w:bookmarkStart w:id="112" w:name="ref-cohen2012"/>
    <w:p>
      <w:pPr>
        <w:pStyle w:val="Bibliography"/>
      </w:pPr>
      <w:r>
        <w:t xml:space="preserve">Cohen, B.I. 2012. Commission of</w:t>
      </w:r>
      <w:r>
        <w:t xml:space="preserve"> </w:t>
      </w:r>
      <w:r>
        <w:t xml:space="preserve">Inquiry</w:t>
      </w:r>
      <w:r>
        <w:t xml:space="preserve"> </w:t>
      </w:r>
      <w:r>
        <w:t xml:space="preserve">into the</w:t>
      </w:r>
      <w:r>
        <w:t xml:space="preserve"> </w:t>
      </w:r>
      <w:r>
        <w:t xml:space="preserve">Decline</w:t>
      </w:r>
      <w:r>
        <w:t xml:space="preserve"> </w:t>
      </w:r>
      <w:r>
        <w:t xml:space="preserve">of</w:t>
      </w:r>
      <w:r>
        <w:t xml:space="preserve"> </w:t>
      </w:r>
      <w:r>
        <w:t xml:space="preserve">Sockeye Salmon</w:t>
      </w:r>
      <w:r>
        <w:t xml:space="preserve"> </w:t>
      </w:r>
      <w:r>
        <w:t xml:space="preserve">in the</w:t>
      </w:r>
      <w:r>
        <w:t xml:space="preserve"> </w:t>
      </w:r>
      <w:r>
        <w:t xml:space="preserve">Fraser River</w:t>
      </w:r>
      <w:r>
        <w:t xml:space="preserve"> </w:t>
      </w:r>
      <w:r>
        <w:t xml:space="preserve">(</w:t>
      </w:r>
      <w:r>
        <w:t xml:space="preserve">Canada</w:t>
      </w:r>
      <w:r>
        <w:t xml:space="preserve">):</w:t>
      </w:r>
      <w:r>
        <w:t xml:space="preserve"> </w:t>
      </w:r>
      <w:r>
        <w:t xml:space="preserve">The</w:t>
      </w:r>
      <w:r>
        <w:t xml:space="preserve"> </w:t>
      </w:r>
      <w:r>
        <w:t xml:space="preserve">uncertain future of</w:t>
      </w:r>
      <w:r>
        <w:t xml:space="preserve"> </w:t>
      </w:r>
      <w:r>
        <w:t xml:space="preserve">Fraser River</w:t>
      </w:r>
      <w:r>
        <w:t xml:space="preserve"> </w:t>
      </w:r>
      <w:r>
        <w:t xml:space="preserve">sockeye.</w:t>
      </w:r>
      <w:r>
        <w:t xml:space="preserve"> </w:t>
      </w:r>
      <w:r>
        <w:t xml:space="preserve">Volume</w:t>
      </w:r>
      <w:r>
        <w:t xml:space="preserve"> </w:t>
      </w:r>
      <w:r>
        <w:t xml:space="preserve">3,</w:t>
      </w:r>
      <w:r>
        <w:t xml:space="preserve"> </w:t>
      </w:r>
      <w:r>
        <w:t xml:space="preserve">Recommendations</w:t>
      </w:r>
      <w:r>
        <w:t xml:space="preserve">, summary, process : Final report.</w:t>
      </w:r>
      <w:r>
        <w:t xml:space="preserve"> </w:t>
      </w:r>
      <w:r>
        <w:t xml:space="preserve">Privy Council Office, Minister of Public Works and Government Services Canada</w:t>
      </w:r>
      <w:r>
        <w:t xml:space="preserve">, Ottawa, ON. Available from</w:t>
      </w:r>
      <w:r>
        <w:t xml:space="preserve"> </w:t>
      </w:r>
      <w:hyperlink r:id="rId111">
        <w:r>
          <w:rPr>
            <w:rStyle w:val="Hyperlink"/>
          </w:rPr>
          <w:t xml:space="preserve">https://publications.gc.ca/collections/collection_2012/bcp-pco/CP32-93-2012-3-eng.pdf</w:t>
        </w:r>
      </w:hyperlink>
      <w:r>
        <w:t xml:space="preserve">.</w:t>
      </w:r>
    </w:p>
    <w:bookmarkEnd w:id="112"/>
    <w:bookmarkStart w:id="113" w:name="ref-collins2019"/>
    <w:p>
      <w:pPr>
        <w:pStyle w:val="Bibliography"/>
      </w:pPr>
      <w:r>
        <w:t xml:space="preserve">Collins, L., and Sossin, L. 2019. Approach to</w:t>
      </w:r>
      <w:r>
        <w:t xml:space="preserve"> </w:t>
      </w:r>
      <w:r>
        <w:t xml:space="preserve">Constitutional Principles</w:t>
      </w:r>
      <w:r>
        <w:t xml:space="preserve"> </w:t>
      </w:r>
      <w:r>
        <w:t xml:space="preserve">and</w:t>
      </w:r>
      <w:r>
        <w:t xml:space="preserve"> </w:t>
      </w:r>
      <w:r>
        <w:t xml:space="preserve">Environmental Discretion</w:t>
      </w:r>
      <w:r>
        <w:t xml:space="preserve"> </w:t>
      </w:r>
      <w:r>
        <w:t xml:space="preserve">in</w:t>
      </w:r>
      <w:r>
        <w:t xml:space="preserve"> </w:t>
      </w:r>
      <w:r>
        <w:t xml:space="preserve">Canada</w:t>
      </w:r>
      <w:r>
        <w:t xml:space="preserve">.</w:t>
      </w:r>
      <w:r>
        <w:t xml:space="preserve"> </w:t>
      </w:r>
      <w:r>
        <w:rPr>
          <w:b/>
          <w:bCs/>
        </w:rPr>
        <w:t xml:space="preserve">52</w:t>
      </w:r>
      <w:r>
        <w:t xml:space="preserve">.</w:t>
      </w:r>
    </w:p>
    <w:bookmarkEnd w:id="113"/>
    <w:bookmarkStart w:id="115" w:name="ref-dallimer2015"/>
    <w:p>
      <w:pPr>
        <w:pStyle w:val="Bibliography"/>
      </w:pPr>
      <w:r>
        <w:t xml:space="preserve">Dallimer, M., and Strange, N. 2015. Why socio-political borders and boundaries matter in conservation. Trends in Ecology &amp; Evolution</w:t>
      </w:r>
      <w:r>
        <w:t xml:space="preserve"> </w:t>
      </w:r>
      <w:r>
        <w:rPr>
          <w:b/>
          <w:bCs/>
        </w:rPr>
        <w:t xml:space="preserve">30</w:t>
      </w:r>
      <w:r>
        <w:t xml:space="preserve">(3): 132–139. doi:</w:t>
      </w:r>
      <w:hyperlink r:id="rId114">
        <w:r>
          <w:rPr>
            <w:rStyle w:val="Hyperlink"/>
          </w:rPr>
          <w:t xml:space="preserve">10.1016/j.tree.2014.12.004</w:t>
        </w:r>
      </w:hyperlink>
      <w:r>
        <w:t xml:space="preserve">.</w:t>
      </w:r>
    </w:p>
    <w:bookmarkEnd w:id="115"/>
    <w:bookmarkStart w:id="117" w:name="ref-delvalle2024"/>
    <w:p>
      <w:pPr>
        <w:pStyle w:val="Bibliography"/>
      </w:pPr>
      <w:r>
        <w:t xml:space="preserve">Del Valle, E., Neal, B., Martínez-Candelas, I., Dann, P., Webb, D., and McClenachan, L. 2024. Fishing in turbulent waters: Resilience, risk, and trust in</w:t>
      </w:r>
      <w:r>
        <w:t xml:space="preserve"> </w:t>
      </w:r>
      <w:r>
        <w:t xml:space="preserve">British Columbia</w:t>
      </w:r>
      <w:r>
        <w:t xml:space="preserve">’s declining commercial salmon fishery. FACETS</w:t>
      </w:r>
      <w:r>
        <w:t xml:space="preserve"> </w:t>
      </w:r>
      <w:r>
        <w:rPr>
          <w:b/>
          <w:bCs/>
        </w:rPr>
        <w:t xml:space="preserve">9</w:t>
      </w:r>
      <w:r>
        <w:t xml:space="preserve">: 1–17. doi:</w:t>
      </w:r>
      <w:hyperlink r:id="rId116">
        <w:r>
          <w:rPr>
            <w:rStyle w:val="Hyperlink"/>
          </w:rPr>
          <w:t xml:space="preserve">10.1139/facets-2023-0204</w:t>
        </w:r>
      </w:hyperlink>
      <w:r>
        <w:t xml:space="preserve">.</w:t>
      </w:r>
    </w:p>
    <w:bookmarkEnd w:id="117"/>
    <w:bookmarkStart w:id="119" w:name="ref-departmentofjusticecanada2022"/>
    <w:p>
      <w:pPr>
        <w:pStyle w:val="Bibliography"/>
      </w:pPr>
      <w:r>
        <w:t xml:space="preserve">Department of Justice Canada. 2022, August 29. Legistics</w:t>
      </w:r>
      <w:r>
        <w:t xml:space="preserve"> </w:t>
      </w:r>
      <w:r>
        <w:t xml:space="preserve">Paragraphing</w:t>
      </w:r>
      <w:r>
        <w:t xml:space="preserve">. Legistics Paragraphing. Available from</w:t>
      </w:r>
      <w:r>
        <w:t xml:space="preserve"> </w:t>
      </w:r>
      <w:hyperlink r:id="rId118">
        <w:r>
          <w:rPr>
            <w:rStyle w:val="Hyperlink"/>
          </w:rPr>
          <w:t xml:space="preserve">https://www.justice.gc.ca/eng/rp-pr/csj-sjc/legis-redact/legistics/p3p1.html</w:t>
        </w:r>
      </w:hyperlink>
      <w:r>
        <w:t xml:space="preserve"> </w:t>
      </w:r>
      <w:r>
        <w:t xml:space="preserve">[accessed 18 December 2025].</w:t>
      </w:r>
    </w:p>
    <w:bookmarkEnd w:id="119"/>
    <w:bookmarkStart w:id="121" w:name="ref-departmentofjusticecanada2026"/>
    <w:p>
      <w:pPr>
        <w:pStyle w:val="Bibliography"/>
      </w:pPr>
      <w:r>
        <w:t xml:space="preserve">Department of Justice Canada. 2026, January 13. Table of</w:t>
      </w:r>
      <w:r>
        <w:t xml:space="preserve"> </w:t>
      </w:r>
      <w:r>
        <w:t xml:space="preserve">Public Statutes</w:t>
      </w:r>
      <w:r>
        <w:t xml:space="preserve"> </w:t>
      </w:r>
      <w:r>
        <w:t xml:space="preserve">and</w:t>
      </w:r>
      <w:r>
        <w:t xml:space="preserve"> </w:t>
      </w:r>
      <w:r>
        <w:t xml:space="preserve">Responsible Ministers</w:t>
      </w:r>
      <w:r>
        <w:t xml:space="preserve">. Table of Public Statutes; Responsible Ministers. Available from</w:t>
      </w:r>
      <w:r>
        <w:t xml:space="preserve"> </w:t>
      </w:r>
      <w:hyperlink r:id="rId120">
        <w:r>
          <w:rPr>
            <w:rStyle w:val="Hyperlink"/>
          </w:rPr>
          <w:t xml:space="preserve">https://laws-lois.justice.gc.ca/PDF/tops/eng/TOPS.pdf</w:t>
        </w:r>
      </w:hyperlink>
      <w:r>
        <w:t xml:space="preserve"> </w:t>
      </w:r>
      <w:r>
        <w:t xml:space="preserve">[accessed 13 January 2026].</w:t>
      </w:r>
    </w:p>
    <w:bookmarkEnd w:id="121"/>
    <w:bookmarkStart w:id="123" w:name="ref-dfo2005"/>
    <w:p>
      <w:pPr>
        <w:pStyle w:val="Bibliography"/>
      </w:pPr>
      <w:r>
        <w:t xml:space="preserve">DFO. 2005. Canada’s policy for conservation of wild pacific salmon.</w:t>
      </w:r>
      <w:r>
        <w:t xml:space="preserve"> </w:t>
      </w:r>
      <w:r>
        <w:t xml:space="preserve">Fisheries and Oceans Canada</w:t>
      </w:r>
      <w:r>
        <w:t xml:space="preserve">, Vancouver, BC. Available from</w:t>
      </w:r>
      <w:r>
        <w:t xml:space="preserve"> </w:t>
      </w:r>
      <w:hyperlink r:id="rId122">
        <w:r>
          <w:rPr>
            <w:rStyle w:val="Hyperlink"/>
          </w:rPr>
          <w:t xml:space="preserve">https://waves-vagues.dfo-mpo.gc.ca/library-bibliotheque/315577.pdf</w:t>
        </w:r>
      </w:hyperlink>
      <w:r>
        <w:t xml:space="preserve">.</w:t>
      </w:r>
    </w:p>
    <w:bookmarkEnd w:id="123"/>
    <w:bookmarkStart w:id="125" w:name="ref-dfo2021"/>
    <w:p>
      <w:pPr>
        <w:pStyle w:val="Bibliography"/>
      </w:pPr>
      <w:r>
        <w:t xml:space="preserve">DFO. 2021. Wild</w:t>
      </w:r>
      <w:r>
        <w:t xml:space="preserve"> </w:t>
      </w:r>
      <w:r>
        <w:t xml:space="preserve">Salmon Policy</w:t>
      </w:r>
      <w:r>
        <w:t xml:space="preserve">: 2018-2022</w:t>
      </w:r>
      <w:r>
        <w:t xml:space="preserve"> </w:t>
      </w:r>
      <w:r>
        <w:t xml:space="preserve">ImplementationPlan</w:t>
      </w:r>
      <w:r>
        <w:t xml:space="preserve">,</w:t>
      </w:r>
      <w:r>
        <w:t xml:space="preserve"> </w:t>
      </w:r>
      <w:r>
        <w:t xml:space="preserve">Annual Report</w:t>
      </w:r>
      <w:r>
        <w:t xml:space="preserve"> </w:t>
      </w:r>
      <w:r>
        <w:t xml:space="preserve">2020-21. Fisheries; Oceans Canada, Vancouver, BC. Available from</w:t>
      </w:r>
      <w:r>
        <w:t xml:space="preserve"> </w:t>
      </w:r>
      <w:hyperlink r:id="rId124">
        <w:r>
          <w:rPr>
            <w:rStyle w:val="Hyperlink"/>
          </w:rPr>
          <w:t xml:space="preserve">https://waves-vagues.dfo-mpo.gc.ca/library-bibliotheque/41031209.pdf</w:t>
        </w:r>
      </w:hyperlink>
      <w:r>
        <w:t xml:space="preserve">.</w:t>
      </w:r>
    </w:p>
    <w:bookmarkEnd w:id="125"/>
    <w:bookmarkStart w:id="127" w:name="ref-DFO2022"/>
    <w:p>
      <w:pPr>
        <w:pStyle w:val="Bibliography"/>
      </w:pPr>
      <w:r>
        <w:t xml:space="preserve">DFO. 2022b. Rebuilding plan:</w:t>
      </w:r>
      <w:r>
        <w:t xml:space="preserve"> </w:t>
      </w:r>
      <w:r>
        <w:t xml:space="preserve">Okanagan Chinook Salmon</w:t>
      </w:r>
      <w:r>
        <w:t xml:space="preserve"> </w:t>
      </w:r>
      <w:r>
        <w:t xml:space="preserve">[</w:t>
      </w:r>
      <w:r>
        <w:t xml:space="preserve">Oncorhynchus</w:t>
      </w:r>
      <w:r>
        <w:t xml:space="preserve"> </w:t>
      </w:r>
      <w:r>
        <w:t xml:space="preserve">tshawytscha] [ntytyix | sk’lwis]. Rebuilding plan: Okanagan Chinook Salmon [Oncorhynchus tshawytscha] [ntytyix | sk’lwis];</w:t>
      </w:r>
      <w:r>
        <w:t xml:space="preserve"> </w:t>
      </w:r>
      <w:r>
        <w:t xml:space="preserve">Fisheries and Oceans Canada</w:t>
      </w:r>
      <w:r>
        <w:t xml:space="preserve">, Ottawa, ON. Available from</w:t>
      </w:r>
      <w:r>
        <w:t xml:space="preserve"> </w:t>
      </w:r>
      <w:hyperlink r:id="rId126">
        <w:r>
          <w:rPr>
            <w:rStyle w:val="Hyperlink"/>
          </w:rPr>
          <w:t xml:space="preserve">https://www.dfo-mpo.gc.ca/fisheries-peches/ifmp-gmp/salmon-saumon/2024/okanagan-2024-eng.html</w:t>
        </w:r>
      </w:hyperlink>
      <w:r>
        <w:t xml:space="preserve">.</w:t>
      </w:r>
    </w:p>
    <w:bookmarkEnd w:id="127"/>
    <w:bookmarkStart w:id="129" w:name="ref-dfo2022"/>
    <w:p>
      <w:pPr>
        <w:pStyle w:val="Bibliography"/>
      </w:pPr>
      <w:r>
        <w:t xml:space="preserve">DFO. 2022a. Guidelines for writing rebuilding plans per the</w:t>
      </w:r>
      <w:r>
        <w:t xml:space="preserve"> </w:t>
      </w:r>
      <w:r>
        <w:t xml:space="preserve">Fish Stocks Provisions</w:t>
      </w:r>
      <w:r>
        <w:t xml:space="preserve"> </w:t>
      </w:r>
      <w:r>
        <w:t xml:space="preserve">and</w:t>
      </w:r>
      <w:r>
        <w:t xml:space="preserve"> </w:t>
      </w:r>
      <w:r>
        <w:t xml:space="preserve">A Fishery Decision-making Framework Incorporating</w:t>
      </w:r>
      <w:r>
        <w:t xml:space="preserve"> </w:t>
      </w:r>
      <w:r>
        <w:t xml:space="preserve">the</w:t>
      </w:r>
      <w:r>
        <w:t xml:space="preserve"> </w:t>
      </w:r>
      <w:r>
        <w:t xml:space="preserve">Precautionary Approach</w:t>
      </w:r>
      <w:r>
        <w:t xml:space="preserve">. Guidelines for writing rebuilding plans per the Fish Stocks Provisions; A Fishery Decision-making Framework Incorporating the Precautionary Approach;</w:t>
      </w:r>
      <w:r>
        <w:t xml:space="preserve"> </w:t>
      </w:r>
      <w:r>
        <w:t xml:space="preserve">Fisheries and Oceans Canada</w:t>
      </w:r>
      <w:r>
        <w:t xml:space="preserve">, Ottawa, ON. Available from</w:t>
      </w:r>
      <w:r>
        <w:t xml:space="preserve"> </w:t>
      </w:r>
      <w:hyperlink r:id="rId128">
        <w:r>
          <w:rPr>
            <w:rStyle w:val="Hyperlink"/>
          </w:rPr>
          <w:t xml:space="preserve">https://www.dfo-mpo.gc.ca/reports-rapports/regs/sff-cpd/precautionary-precaution-eng.htm</w:t>
        </w:r>
      </w:hyperlink>
      <w:r>
        <w:t xml:space="preserve">.</w:t>
      </w:r>
    </w:p>
    <w:bookmarkEnd w:id="129"/>
    <w:bookmarkStart w:id="131" w:name="ref-dfo2024"/>
    <w:p>
      <w:pPr>
        <w:pStyle w:val="Bibliography"/>
      </w:pPr>
      <w:r>
        <w:t xml:space="preserve">DFO. 2024. Trilateral declaration on the urgent need to address wild</w:t>
      </w:r>
      <w:r>
        <w:t xml:space="preserve"> </w:t>
      </w:r>
      <w:r>
        <w:t xml:space="preserve">Pacific</w:t>
      </w:r>
      <w:r>
        <w:t xml:space="preserve"> </w:t>
      </w:r>
      <w:r>
        <w:t xml:space="preserve">salmon populations in</w:t>
      </w:r>
      <w:r>
        <w:t xml:space="preserve"> </w:t>
      </w:r>
      <w:r>
        <w:t xml:space="preserve">British Columbia</w:t>
      </w:r>
      <w:r>
        <w:t xml:space="preserve">. Trilateral declaration on the urgent need to address wild Pacific salmon populations in British Columbia;</w:t>
      </w:r>
      <w:r>
        <w:t xml:space="preserve"> </w:t>
      </w:r>
      <w:r>
        <w:t xml:space="preserve">Fisheries and Oceans Canada</w:t>
      </w:r>
      <w:r>
        <w:t xml:space="preserve">. Available from</w:t>
      </w:r>
      <w:r>
        <w:t xml:space="preserve"> </w:t>
      </w:r>
      <w:hyperlink r:id="rId130">
        <w:r>
          <w:rPr>
            <w:rStyle w:val="Hyperlink"/>
          </w:rPr>
          <w:t xml:space="preserve">https://www.pac.dfo-mpo.gc.ca/fm-gp/salmon-saumon/docs/trilat-agreement-accord/declaration-eng.html</w:t>
        </w:r>
      </w:hyperlink>
      <w:r>
        <w:t xml:space="preserve">.</w:t>
      </w:r>
    </w:p>
    <w:bookmarkEnd w:id="131"/>
    <w:bookmarkStart w:id="132" w:name="ref-dfo2025"/>
    <w:p>
      <w:pPr>
        <w:pStyle w:val="Bibliography"/>
      </w:pPr>
      <w:r>
        <w:t xml:space="preserve">DFO. 2025. Rebuilding plan:</w:t>
      </w:r>
      <w:r>
        <w:t xml:space="preserve"> </w:t>
      </w:r>
      <w:r>
        <w:t xml:space="preserve">West Coast</w:t>
      </w:r>
      <w:r>
        <w:t xml:space="preserve"> </w:t>
      </w:r>
      <w:r>
        <w:t xml:space="preserve">of</w:t>
      </w:r>
      <w:r>
        <w:t xml:space="preserve"> </w:t>
      </w:r>
      <w:r>
        <w:t xml:space="preserve">Vancouver Island Chinook</w:t>
      </w:r>
      <w:r>
        <w:t xml:space="preserve">,</w:t>
      </w:r>
      <w:r>
        <w:t xml:space="preserve"> </w:t>
      </w:r>
      <w:r>
        <w:t xml:space="preserve">Oncorhynchus</w:t>
      </w:r>
      <w:r>
        <w:t xml:space="preserve"> </w:t>
      </w:r>
      <w:r>
        <w:t xml:space="preserve">tshawystcha,</w:t>
      </w:r>
      <w:r>
        <w:t xml:space="preserve"> </w:t>
      </w:r>
      <w:r>
        <w:t xml:space="preserve">Suuhaa</w:t>
      </w:r>
      <w:r>
        <w:t xml:space="preserve"> </w:t>
      </w:r>
      <w:r>
        <w:t xml:space="preserve">|</w:t>
      </w:r>
      <w:r>
        <w:t xml:space="preserve"> </w:t>
      </w:r>
      <w:r>
        <w:t xml:space="preserve">SȾOḰI</w:t>
      </w:r>
      <w:r>
        <w:t xml:space="preserve"> </w:t>
      </w:r>
      <w:r>
        <w:t xml:space="preserve">| sat’sam.</w:t>
      </w:r>
      <w:r>
        <w:t xml:space="preserve"> </w:t>
      </w:r>
      <w:r>
        <w:t xml:space="preserve">Fisheries and Oceans Canada</w:t>
      </w:r>
      <w:r>
        <w:t xml:space="preserve">, Vancouver, BC.</w:t>
      </w:r>
    </w:p>
    <w:bookmarkEnd w:id="132"/>
    <w:bookmarkStart w:id="133" w:name="ref-dionne2023"/>
    <w:p>
      <w:pPr>
        <w:pStyle w:val="Bibliography"/>
      </w:pPr>
      <w:r>
        <w:t xml:space="preserve">Dionne, K. 2023. Recovery potential assessment for southern</w:t>
      </w:r>
      <w:r>
        <w:t xml:space="preserve"> </w:t>
      </w:r>
      <w:r>
        <w:t xml:space="preserve">British Columbian</w:t>
      </w:r>
      <w:r>
        <w:t xml:space="preserve"> </w:t>
      </w:r>
      <w:r>
        <w:t xml:space="preserve">chinook populations,</w:t>
      </w:r>
      <w:r>
        <w:t xml:space="preserve"> </w:t>
      </w:r>
      <w:r>
        <w:t xml:space="preserve">Fraser</w:t>
      </w:r>
      <w:r>
        <w:t xml:space="preserve"> </w:t>
      </w:r>
      <w:r>
        <w:t xml:space="preserve">and southern mainland chinook designatable units (1, 6, 13 and 15). Canadian Science Advisory Secretariat (CSAS), Ottawa ON.</w:t>
      </w:r>
    </w:p>
    <w:bookmarkEnd w:id="133"/>
    <w:bookmarkStart w:id="134" w:name="ref-doutaz2023"/>
    <w:p>
      <w:pPr>
        <w:pStyle w:val="Bibliography"/>
      </w:pPr>
      <w:r>
        <w:t xml:space="preserve">Doutaz, D., Ann-Marie Huang, Scott Decker, and Tanya Vivian. 2023. Recovery potential assessment for</w:t>
      </w:r>
      <w:r>
        <w:t xml:space="preserve"> </w:t>
      </w:r>
      <w:r>
        <w:t xml:space="preserve">Fraser River</w:t>
      </w:r>
      <w:r>
        <w:t xml:space="preserve"> </w:t>
      </w:r>
      <w:r>
        <w:t xml:space="preserve">sockeye salmon (</w:t>
      </w:r>
      <w:r>
        <w:t xml:space="preserve">Oncorhynchus</w:t>
      </w:r>
      <w:r>
        <w:t xml:space="preserve"> </w:t>
      </w:r>
      <w:r>
        <w:t xml:space="preserve">nerka), nine designatable units part 2: Biology, habitat, threats, mitigations and allowable harm - elements 1-11, 14, 16-18, 22. Canadian Science Advisory Secretariat (CSAS), Ottawa ON.</w:t>
      </w:r>
    </w:p>
    <w:bookmarkEnd w:id="134"/>
    <w:bookmarkStart w:id="136" w:name="ref-frpa2002"/>
    <w:p>
      <w:pPr>
        <w:pStyle w:val="Bibliography"/>
      </w:pPr>
      <w:r>
        <w:t xml:space="preserve">Government of British Columbia. 2002. Forest and</w:t>
      </w:r>
      <w:r>
        <w:t xml:space="preserve"> </w:t>
      </w:r>
      <w:r>
        <w:t xml:space="preserve">Range Practices Act</w:t>
      </w:r>
      <w:r>
        <w:t xml:space="preserve">. Available from</w:t>
      </w:r>
      <w:r>
        <w:t xml:space="preserve"> </w:t>
      </w:r>
      <w:hyperlink r:id="rId135">
        <w:r>
          <w:rPr>
            <w:rStyle w:val="Hyperlink"/>
          </w:rPr>
          <w:t xml:space="preserve">https://www.bclaws.gov.bc.ca/civix/document/id/complete/statreg/02069_01</w:t>
        </w:r>
      </w:hyperlink>
      <w:r>
        <w:t xml:space="preserve">.</w:t>
      </w:r>
    </w:p>
    <w:bookmarkEnd w:id="136"/>
    <w:bookmarkStart w:id="138" w:name="ref-grant2019"/>
    <w:p>
      <w:pPr>
        <w:pStyle w:val="Bibliography"/>
      </w:pPr>
      <w:r>
        <w:t xml:space="preserve">Grant, S.C.H., Bronwyn L. MacDonald, and Mark L. Winston. 2019. State of the</w:t>
      </w:r>
      <w:r>
        <w:t xml:space="preserve"> </w:t>
      </w:r>
      <w:r>
        <w:t xml:space="preserve">Canadian Pacific</w:t>
      </w:r>
      <w:r>
        <w:t xml:space="preserve"> </w:t>
      </w:r>
      <w:r>
        <w:t xml:space="preserve">salmon: Response to changing climate and habitats.</w:t>
      </w:r>
      <w:r>
        <w:t xml:space="preserve"> </w:t>
      </w:r>
      <w:r>
        <w:t xml:space="preserve">Department of Fisheries and Oceans</w:t>
      </w:r>
      <w:r>
        <w:t xml:space="preserve">, Nanaimo, British Columbia. Available from</w:t>
      </w:r>
      <w:r>
        <w:t xml:space="preserve"> </w:t>
      </w:r>
      <w:hyperlink r:id="rId137">
        <w:r>
          <w:rPr>
            <w:rStyle w:val="Hyperlink"/>
          </w:rPr>
          <w:t xml:space="preserve">https://waves-vagues.dfo-mpo.gc.ca/library-bibliotheque/40807071.pdf</w:t>
        </w:r>
      </w:hyperlink>
      <w:r>
        <w:t xml:space="preserve">.</w:t>
      </w:r>
    </w:p>
    <w:bookmarkEnd w:id="138"/>
    <w:bookmarkStart w:id="140" w:name="ref-kraus2021"/>
    <w:p>
      <w:pPr>
        <w:pStyle w:val="Bibliography"/>
      </w:pPr>
      <w:r>
        <w:t xml:space="preserve">Kraus, D., Murphy, S., and Armitage, D. 2021. Ten bridges on the road to recovering</w:t>
      </w:r>
      <w:r>
        <w:t xml:space="preserve"> </w:t>
      </w:r>
      <w:r>
        <w:t xml:space="preserve">Canada</w:t>
      </w:r>
      <w:r>
        <w:t xml:space="preserve">’s endangered species. FACETS</w:t>
      </w:r>
      <w:r>
        <w:t xml:space="preserve"> </w:t>
      </w:r>
      <w:r>
        <w:rPr>
          <w:b/>
          <w:bCs/>
        </w:rPr>
        <w:t xml:space="preserve">6</w:t>
      </w:r>
      <w:r>
        <w:t xml:space="preserve">: 1088–1127. doi:</w:t>
      </w:r>
      <w:hyperlink r:id="rId139">
        <w:r>
          <w:rPr>
            <w:rStyle w:val="Hyperlink"/>
          </w:rPr>
          <w:t xml:space="preserve">10.1139/facets-2020-0084</w:t>
        </w:r>
      </w:hyperlink>
      <w:r>
        <w:t xml:space="preserve">.</w:t>
      </w:r>
    </w:p>
    <w:bookmarkEnd w:id="140"/>
    <w:bookmarkStart w:id="141" w:name="ref-marentette2020"/>
    <w:p>
      <w:pPr>
        <w:pStyle w:val="Bibliography"/>
      </w:pPr>
      <w:r>
        <w:t xml:space="preserve">Marentette, J.R., and Kronlund, A.R. 2020. A cross-jurisdictional review of international fisheries policies, standards and guidelines:</w:t>
      </w:r>
      <w:r>
        <w:t xml:space="preserve"> </w:t>
      </w:r>
      <w:r>
        <w:t xml:space="preserve">Considerations</w:t>
      </w:r>
      <w:r>
        <w:t xml:space="preserve"> </w:t>
      </w:r>
      <w:r>
        <w:t xml:space="preserve">for a</w:t>
      </w:r>
      <w:r>
        <w:t xml:space="preserve"> </w:t>
      </w:r>
      <w:r>
        <w:t xml:space="preserve">Canadian Science Sector</w:t>
      </w:r>
      <w:r>
        <w:t xml:space="preserve"> </w:t>
      </w:r>
      <w:r>
        <w:t xml:space="preserve">approach.</w:t>
      </w:r>
      <w:r>
        <w:t xml:space="preserve"> </w:t>
      </w:r>
      <w:r>
        <w:t xml:space="preserve">Fisheries and Oceans Canada = Pêches et Océans Canada</w:t>
      </w:r>
      <w:r>
        <w:t xml:space="preserve">, Ottawa, ON.</w:t>
      </w:r>
    </w:p>
    <w:bookmarkEnd w:id="141"/>
    <w:bookmarkStart w:id="143" w:name="ref-mccune2013"/>
    <w:p>
      <w:pPr>
        <w:pStyle w:val="Bibliography"/>
      </w:pPr>
      <w:r>
        <w:t xml:space="preserve">McCune, J.L., Harrower, W.L., Avery-Gomm, S., Brogan, J.M., Csergő, A.-M., Davidson, L.N.K., Garani, A., Halpin, L.R., Lipsen, L.P.J., Lee, C., Nelson, J.C., Prugh, L.R., Stinson, C.M., Whitney, C.K., and Whitton, J. 2013. Threats to</w:t>
      </w:r>
      <w:r>
        <w:t xml:space="preserve"> </w:t>
      </w:r>
      <w:r>
        <w:t xml:space="preserve">Canadian</w:t>
      </w:r>
      <w:r>
        <w:t xml:space="preserve"> </w:t>
      </w:r>
      <w:r>
        <w:t xml:space="preserve">species at risk:</w:t>
      </w:r>
      <w:r>
        <w:t xml:space="preserve"> </w:t>
      </w:r>
      <w:r>
        <w:t xml:space="preserve">An</w:t>
      </w:r>
      <w:r>
        <w:t xml:space="preserve"> </w:t>
      </w:r>
      <w:r>
        <w:t xml:space="preserve">analysis of finalized recovery strategies. Biological Conservation</w:t>
      </w:r>
      <w:r>
        <w:t xml:space="preserve"> </w:t>
      </w:r>
      <w:r>
        <w:rPr>
          <w:b/>
          <w:bCs/>
        </w:rPr>
        <w:t xml:space="preserve">166</w:t>
      </w:r>
      <w:r>
        <w:t xml:space="preserve">: 254–265. doi:</w:t>
      </w:r>
      <w:hyperlink r:id="rId142">
        <w:r>
          <w:rPr>
            <w:rStyle w:val="Hyperlink"/>
          </w:rPr>
          <w:t xml:space="preserve">10.1016/j.biocon.2013.07.006</w:t>
        </w:r>
      </w:hyperlink>
      <w:r>
        <w:t xml:space="preserve">.</w:t>
      </w:r>
    </w:p>
    <w:bookmarkEnd w:id="143"/>
    <w:bookmarkStart w:id="145" w:name="ref-mcdonald2021"/>
    <w:p>
      <w:pPr>
        <w:pStyle w:val="Bibliography"/>
      </w:pPr>
      <w:r>
        <w:t xml:space="preserve">McDonald, K. 2021. Pacific</w:t>
      </w:r>
      <w:r>
        <w:t xml:space="preserve"> </w:t>
      </w:r>
      <w:r>
        <w:t xml:space="preserve">Salmon</w:t>
      </w:r>
      <w:r>
        <w:t xml:space="preserve">:</w:t>
      </w:r>
      <w:r>
        <w:t xml:space="preserve"> </w:t>
      </w:r>
      <w:r>
        <w:t xml:space="preserve">Ensuring</w:t>
      </w:r>
      <w:r>
        <w:t xml:space="preserve"> </w:t>
      </w:r>
      <w:r>
        <w:t xml:space="preserve">the</w:t>
      </w:r>
      <w:r>
        <w:t xml:space="preserve"> </w:t>
      </w:r>
      <w:r>
        <w:t xml:space="preserve">Long-term Health</w:t>
      </w:r>
      <w:r>
        <w:t xml:space="preserve"> </w:t>
      </w:r>
      <w:r>
        <w:t xml:space="preserve">of</w:t>
      </w:r>
      <w:r>
        <w:t xml:space="preserve"> </w:t>
      </w:r>
      <w:r>
        <w:t xml:space="preserve">Wild Populations</w:t>
      </w:r>
      <w:r>
        <w:t xml:space="preserve"> </w:t>
      </w:r>
      <w:r>
        <w:t xml:space="preserve">and</w:t>
      </w:r>
      <w:r>
        <w:t xml:space="preserve"> </w:t>
      </w:r>
      <w:r>
        <w:t xml:space="preserve">Associated Fisheries</w:t>
      </w:r>
      <w:r>
        <w:t xml:space="preserve">. House of Commons Canada, Ottawa, ON. Available from</w:t>
      </w:r>
      <w:r>
        <w:t xml:space="preserve"> </w:t>
      </w:r>
      <w:hyperlink r:id="rId144">
        <w:r>
          <w:rPr>
            <w:rStyle w:val="Hyperlink"/>
          </w:rPr>
          <w:t xml:space="preserve">https://publications.gc.ca/collections/collection_2021/parl/xc51-1/XC51-1-1-432-5-eng.pdf</w:t>
        </w:r>
      </w:hyperlink>
      <w:r>
        <w:t xml:space="preserve">.</w:t>
      </w:r>
    </w:p>
    <w:bookmarkEnd w:id="145"/>
    <w:bookmarkStart w:id="147" w:name="ref-fisheriesact1985"/>
    <w:p>
      <w:pPr>
        <w:pStyle w:val="Bibliography"/>
      </w:pPr>
      <w:r>
        <w:t xml:space="preserve">Minister of Justice Canada. 1985. Fisheries</w:t>
      </w:r>
      <w:r>
        <w:t xml:space="preserve"> </w:t>
      </w:r>
      <w:r>
        <w:t xml:space="preserve">Act</w:t>
      </w:r>
      <w:r>
        <w:t xml:space="preserve">. Available from</w:t>
      </w:r>
      <w:r>
        <w:t xml:space="preserve"> </w:t>
      </w:r>
      <w:hyperlink r:id="rId146">
        <w:r>
          <w:rPr>
            <w:rStyle w:val="Hyperlink"/>
          </w:rPr>
          <w:t xml:space="preserve">https://laws-lois.justice.gc.ca/PDF/F-14.pdf</w:t>
        </w:r>
      </w:hyperlink>
      <w:r>
        <w:t xml:space="preserve">.</w:t>
      </w:r>
    </w:p>
    <w:bookmarkEnd w:id="147"/>
    <w:bookmarkStart w:id="149" w:name="ref-moore2025"/>
    <w:p>
      <w:pPr>
        <w:pStyle w:val="Bibliography"/>
      </w:pPr>
      <w:r>
        <w:t xml:space="preserve">Moore, J.W., Ulaski, M.E., Wilson, K.L., Martin, T.G., Kuiper, S.D., Peacock, S.J., Braun, D.C., Naman, S.M., Pitman, K.J., Reid, A.J., Rosenfeld, J.S., Sainsbury, N.C., Wilson, S.M., and Zdasiuk, B.J. 2025. A</w:t>
      </w:r>
      <w:r>
        <w:t xml:space="preserve"> </w:t>
      </w:r>
      <w:r>
        <w:t xml:space="preserve">Safe Operating Space</w:t>
      </w:r>
      <w:r>
        <w:t xml:space="preserve"> </w:t>
      </w:r>
      <w:r>
        <w:t xml:space="preserve">for</w:t>
      </w:r>
      <w:r>
        <w:t xml:space="preserve"> </w:t>
      </w:r>
      <w:r>
        <w:t xml:space="preserve">Salmon Watersheds Under Rapid Climate Change</w:t>
      </w:r>
      <w:r>
        <w:t xml:space="preserve">. Fish and Fisheries</w:t>
      </w:r>
      <w:r>
        <w:t xml:space="preserve"> </w:t>
      </w:r>
      <w:r>
        <w:rPr>
          <w:b/>
          <w:bCs/>
        </w:rPr>
        <w:t xml:space="preserve">26</w:t>
      </w:r>
      <w:r>
        <w:t xml:space="preserve">(6): 1213–1228. doi:</w:t>
      </w:r>
      <w:hyperlink r:id="rId148">
        <w:r>
          <w:rPr>
            <w:rStyle w:val="Hyperlink"/>
          </w:rPr>
          <w:t xml:space="preserve">10.1111/faf.70027</w:t>
        </w:r>
      </w:hyperlink>
      <w:r>
        <w:t xml:space="preserve">.</w:t>
      </w:r>
    </w:p>
    <w:bookmarkEnd w:id="149"/>
    <w:bookmarkStart w:id="151" w:name="ref-price2017"/>
    <w:p>
      <w:pPr>
        <w:pStyle w:val="Bibliography"/>
      </w:pPr>
      <w:r>
        <w:t xml:space="preserve">Price, M.H.H., English, K.K., Rosenberger, A.G., MacDuffee, M., and Reynolds, J.D. 2017. Canada’s</w:t>
      </w:r>
      <w:r>
        <w:t xml:space="preserve"> </w:t>
      </w:r>
      <w:r>
        <w:t xml:space="preserve">Wild Salmon Policy</w:t>
      </w:r>
      <w:r>
        <w:t xml:space="preserve">:</w:t>
      </w:r>
      <w:r>
        <w:t xml:space="preserve"> </w:t>
      </w:r>
      <w:r>
        <w:t xml:space="preserve">An</w:t>
      </w:r>
      <w:r>
        <w:t xml:space="preserve"> </w:t>
      </w:r>
      <w:r>
        <w:t xml:space="preserve">assessment of conservation progress in</w:t>
      </w:r>
      <w:r>
        <w:t xml:space="preserve"> </w:t>
      </w:r>
      <w:r>
        <w:t xml:space="preserve">British Columbia</w:t>
      </w:r>
      <w:r>
        <w:t xml:space="preserve">. Can. J. Fish. Aquat. Sci.</w:t>
      </w:r>
      <w:r>
        <w:t xml:space="preserve"> </w:t>
      </w:r>
      <w:r>
        <w:rPr>
          <w:b/>
          <w:bCs/>
        </w:rPr>
        <w:t xml:space="preserve">74</w:t>
      </w:r>
      <w:r>
        <w:t xml:space="preserve">(10): 1507–1518. doi:</w:t>
      </w:r>
      <w:hyperlink r:id="rId150">
        <w:r>
          <w:rPr>
            <w:rStyle w:val="Hyperlink"/>
          </w:rPr>
          <w:t xml:space="preserve">10.1139/cjfas-2017-0127</w:t>
        </w:r>
      </w:hyperlink>
      <w:r>
        <w:t xml:space="preserve">.</w:t>
      </w:r>
    </w:p>
    <w:bookmarkEnd w:id="151"/>
    <w:bookmarkStart w:id="153" w:name="ref-provinceofbritishcolumbia2025"/>
    <w:p>
      <w:pPr>
        <w:pStyle w:val="Bibliography"/>
      </w:pPr>
      <w:r>
        <w:t xml:space="preserve">Province of British Columbia. 2025. Acts -</w:t>
      </w:r>
      <w:r>
        <w:t xml:space="preserve"> </w:t>
      </w:r>
      <w:r>
        <w:t xml:space="preserve">Ministers</w:t>
      </w:r>
      <w:r>
        <w:t xml:space="preserve">’</w:t>
      </w:r>
      <w:r>
        <w:t xml:space="preserve"> </w:t>
      </w:r>
      <w:r>
        <w:t xml:space="preserve">Responsibilities</w:t>
      </w:r>
      <w:r>
        <w:t xml:space="preserve">. Government of British Columbia. Available from</w:t>
      </w:r>
      <w:r>
        <w:t xml:space="preserve"> </w:t>
      </w:r>
      <w:hyperlink r:id="rId152">
        <w:r>
          <w:rPr>
            <w:rStyle w:val="Hyperlink"/>
          </w:rPr>
          <w:t xml:space="preserve">https://www.bclaws.gov.bc.ca/civix/content/amr/amr/2067365574/?xsl=/templates/browse.xsl</w:t>
        </w:r>
      </w:hyperlink>
      <w:r>
        <w:t xml:space="preserve">.</w:t>
      </w:r>
    </w:p>
    <w:bookmarkEnd w:id="153"/>
    <w:bookmarkStart w:id="155" w:name="ref-ray2021"/>
    <w:p>
      <w:pPr>
        <w:pStyle w:val="Bibliography"/>
      </w:pPr>
      <w:r>
        <w:t xml:space="preserve">Ray, J.C., Grimm, J., and Olive, A. 2021. The biodiversity crisis in</w:t>
      </w:r>
      <w:r>
        <w:t xml:space="preserve"> </w:t>
      </w:r>
      <w:r>
        <w:t xml:space="preserve">Canada</w:t>
      </w:r>
      <w:r>
        <w:t xml:space="preserve">:</w:t>
      </w:r>
      <w:r>
        <w:t xml:space="preserve"> </w:t>
      </w:r>
      <w:r>
        <w:t xml:space="preserve">Failures</w:t>
      </w:r>
      <w:r>
        <w:t xml:space="preserve"> </w:t>
      </w:r>
      <w:r>
        <w:t xml:space="preserve">and challenges of federal and sub-national strategic and legal frameworks. FACETS</w:t>
      </w:r>
      <w:r>
        <w:t xml:space="preserve"> </w:t>
      </w:r>
      <w:r>
        <w:rPr>
          <w:b/>
          <w:bCs/>
        </w:rPr>
        <w:t xml:space="preserve">6</w:t>
      </w:r>
      <w:r>
        <w:t xml:space="preserve">: 1044–1068. doi:</w:t>
      </w:r>
      <w:hyperlink r:id="rId154">
        <w:r>
          <w:rPr>
            <w:rStyle w:val="Hyperlink"/>
          </w:rPr>
          <w:t xml:space="preserve">10.1139/facets-2020-0075</w:t>
        </w:r>
      </w:hyperlink>
      <w:r>
        <w:t xml:space="preserve">.</w:t>
      </w:r>
    </w:p>
    <w:bookmarkEnd w:id="155"/>
    <w:bookmarkStart w:id="157" w:name="ref-salafsky2024"/>
    <w:p>
      <w:pPr>
        <w:pStyle w:val="Bibliography"/>
      </w:pPr>
      <w:r>
        <w:t xml:space="preserve">Salafsky, N., Relton, C., Young, B.E., Lamarre, P., Böhm, M., Chénier, M., Cochrane, E., Dionne, M., He, K.K., Hilton‐Taylor, C., Latrémouille, C., Morrison, J., Raymond, C.V., Seddon, M., and Suresh, V. 2024. Classification of direct threats to the conservation of ecosystems and species 4.0. Conservation Biology</w:t>
      </w:r>
      <w:r>
        <w:t xml:space="preserve"> </w:t>
      </w:r>
      <w:r>
        <w:rPr>
          <w:b/>
          <w:bCs/>
        </w:rPr>
        <w:t xml:space="preserve">39</w:t>
      </w:r>
      <w:r>
        <w:t xml:space="preserve">(3): e14434. doi:</w:t>
      </w:r>
      <w:hyperlink r:id="rId156">
        <w:r>
          <w:rPr>
            <w:rStyle w:val="Hyperlink"/>
          </w:rPr>
          <w:t xml:space="preserve">10.1111/cobi.14434</w:t>
        </w:r>
      </w:hyperlink>
      <w:r>
        <w:t xml:space="preserve">.</w:t>
      </w:r>
    </w:p>
    <w:bookmarkEnd w:id="157"/>
    <w:bookmarkStart w:id="159" w:name="ref-salafsky2008"/>
    <w:p>
      <w:pPr>
        <w:pStyle w:val="Bibliography"/>
      </w:pPr>
      <w:r>
        <w:t xml:space="preserve">Salafsky, N., Salzer, D., Stattersfield, A.J., Hilton‐Taylor, C., Neugarten, R., Butchart, S.H.M., Collen, B., Cox, N., Master, L.L., O’Connor, S., and Wilkie, D. 2008. A</w:t>
      </w:r>
      <w:r>
        <w:t xml:space="preserve"> </w:t>
      </w:r>
      <w:r>
        <w:t xml:space="preserve">Standard Lexicon</w:t>
      </w:r>
      <w:r>
        <w:t xml:space="preserve"> </w:t>
      </w:r>
      <w:r>
        <w:t xml:space="preserve">for</w:t>
      </w:r>
      <w:r>
        <w:t xml:space="preserve"> </w:t>
      </w:r>
      <w:r>
        <w:t xml:space="preserve">Biodiversity Conservation</w:t>
      </w:r>
      <w:r>
        <w:t xml:space="preserve">:</w:t>
      </w:r>
      <w:r>
        <w:t xml:space="preserve"> </w:t>
      </w:r>
      <w:r>
        <w:t xml:space="preserve">Unified Classifications</w:t>
      </w:r>
      <w:r>
        <w:t xml:space="preserve"> </w:t>
      </w:r>
      <w:r>
        <w:t xml:space="preserve">of</w:t>
      </w:r>
      <w:r>
        <w:t xml:space="preserve"> </w:t>
      </w:r>
      <w:r>
        <w:t xml:space="preserve">Threats</w:t>
      </w:r>
      <w:r>
        <w:t xml:space="preserve"> </w:t>
      </w:r>
      <w:r>
        <w:t xml:space="preserve">and</w:t>
      </w:r>
      <w:r>
        <w:t xml:space="preserve"> </w:t>
      </w:r>
      <w:r>
        <w:t xml:space="preserve">Actions</w:t>
      </w:r>
      <w:r>
        <w:t xml:space="preserve">. Conservation Biology</w:t>
      </w:r>
      <w:r>
        <w:t xml:space="preserve"> </w:t>
      </w:r>
      <w:r>
        <w:rPr>
          <w:b/>
          <w:bCs/>
        </w:rPr>
        <w:t xml:space="preserve">22</w:t>
      </w:r>
      <w:r>
        <w:t xml:space="preserve">(4): 897–911. doi:</w:t>
      </w:r>
      <w:hyperlink r:id="rId158">
        <w:r>
          <w:rPr>
            <w:rStyle w:val="Hyperlink"/>
          </w:rPr>
          <w:t xml:space="preserve">10.1111/j.1523-1739.2008.00937.x</w:t>
        </w:r>
      </w:hyperlink>
      <w:r>
        <w:t xml:space="preserve">.</w:t>
      </w:r>
    </w:p>
    <w:bookmarkEnd w:id="159"/>
    <w:bookmarkStart w:id="161" w:name="ref-swerdfager2023"/>
    <w:p>
      <w:pPr>
        <w:pStyle w:val="Bibliography"/>
      </w:pPr>
      <w:r>
        <w:t xml:space="preserve">Swerdfager, T., and Olive, A. 2023. Laws matter: A foundational approach to biodiversity conservation in</w:t>
      </w:r>
      <w:r>
        <w:t xml:space="preserve"> </w:t>
      </w:r>
      <w:r>
        <w:t xml:space="preserve">Canada</w:t>
      </w:r>
      <w:r>
        <w:t xml:space="preserve">. FACETS</w:t>
      </w:r>
      <w:r>
        <w:t xml:space="preserve"> </w:t>
      </w:r>
      <w:r>
        <w:rPr>
          <w:b/>
          <w:bCs/>
        </w:rPr>
        <w:t xml:space="preserve">8</w:t>
      </w:r>
      <w:r>
        <w:t xml:space="preserve">: 1–13. doi:</w:t>
      </w:r>
      <w:hyperlink r:id="rId160">
        <w:r>
          <w:rPr>
            <w:rStyle w:val="Hyperlink"/>
          </w:rPr>
          <w:t xml:space="preserve">10.1139/facets-2022-0095</w:t>
        </w:r>
      </w:hyperlink>
      <w:r>
        <w:t xml:space="preserve">.</w:t>
      </w:r>
    </w:p>
    <w:bookmarkEnd w:id="161"/>
    <w:bookmarkStart w:id="162" w:name="ref-thompson1974"/>
    <w:p>
      <w:pPr>
        <w:pStyle w:val="Bibliography"/>
      </w:pPr>
      <w:r>
        <w:t xml:space="preserve">Thompson, P.C. 1974. Institutional</w:t>
      </w:r>
      <w:r>
        <w:t xml:space="preserve"> </w:t>
      </w:r>
      <w:r>
        <w:t xml:space="preserve">Constraints</w:t>
      </w:r>
      <w:r>
        <w:t xml:space="preserve"> </w:t>
      </w:r>
      <w:r>
        <w:t xml:space="preserve">in</w:t>
      </w:r>
      <w:r>
        <w:t xml:space="preserve"> </w:t>
      </w:r>
      <w:r>
        <w:t xml:space="preserve">Fisheries Management</w:t>
      </w:r>
      <w:r>
        <w:t xml:space="preserve">. J. Fish. Res.Board Can (31): 1965–1981.</w:t>
      </w:r>
    </w:p>
    <w:bookmarkEnd w:id="162"/>
    <w:bookmarkStart w:id="164" w:name="ref-turcotte2021"/>
    <w:p>
      <w:pPr>
        <w:pStyle w:val="Bibliography"/>
      </w:pPr>
      <w:r>
        <w:t xml:space="preserve">Turcotte, A., Kermany, N., Foster, S., Proctor, C.A., Gilmour, S.M., Doria, M., Sebes, J., Whitton, J., Cooke, S.J., and Bennett, J.R. 2021. Fixing the</w:t>
      </w:r>
      <w:r>
        <w:t xml:space="preserve"> </w:t>
      </w:r>
      <w:r>
        <w:t xml:space="preserve">Canadian</w:t>
      </w:r>
      <w:r>
        <w:t xml:space="preserve"> </w:t>
      </w:r>
      <w:r>
        <w:rPr>
          <w:i/>
          <w:iCs/>
        </w:rPr>
        <w:t xml:space="preserve">Species</w:t>
      </w:r>
      <w:r>
        <w:rPr>
          <w:i/>
          <w:iCs/>
        </w:rPr>
        <w:t xml:space="preserve"> </w:t>
      </w:r>
      <w:r>
        <w:rPr>
          <w:i/>
          <w:iCs/>
        </w:rPr>
        <w:t xml:space="preserve">at</w:t>
      </w:r>
      <w:r>
        <w:rPr>
          <w:i/>
          <w:iCs/>
        </w:rPr>
        <w:t xml:space="preserve"> </w:t>
      </w:r>
      <w:r>
        <w:rPr>
          <w:i/>
          <w:iCs/>
        </w:rPr>
        <w:t xml:space="preserve">Risk Act</w:t>
      </w:r>
      <w:r>
        <w:t xml:space="preserve"> </w:t>
      </w:r>
      <w:r>
        <w:t xml:space="preserve">:</w:t>
      </w:r>
      <w:r>
        <w:t xml:space="preserve"> </w:t>
      </w:r>
      <w:r>
        <w:t xml:space="preserve">Identifying</w:t>
      </w:r>
      <w:r>
        <w:t xml:space="preserve"> </w:t>
      </w:r>
      <w:r>
        <w:t xml:space="preserve">major issues and recommendations for increasing accountability and efficiency. FACETS</w:t>
      </w:r>
      <w:r>
        <w:t xml:space="preserve"> </w:t>
      </w:r>
      <w:r>
        <w:rPr>
          <w:b/>
          <w:bCs/>
        </w:rPr>
        <w:t xml:space="preserve">6</w:t>
      </w:r>
      <w:r>
        <w:t xml:space="preserve">: 1474–1494. doi:</w:t>
      </w:r>
      <w:hyperlink r:id="rId163">
        <w:r>
          <w:rPr>
            <w:rStyle w:val="Hyperlink"/>
          </w:rPr>
          <w:t xml:space="preserve">10.1139/facets-2020-0064</w:t>
        </w:r>
      </w:hyperlink>
      <w:r>
        <w:t xml:space="preserve">.</w:t>
      </w:r>
    </w:p>
    <w:bookmarkEnd w:id="164"/>
    <w:bookmarkStart w:id="166" w:name="ref-ulaski2025"/>
    <w:p>
      <w:pPr>
        <w:pStyle w:val="Bibliography"/>
      </w:pPr>
      <w:r>
        <w:t xml:space="preserve">Ulaski, M.E., Moore, J.W., Carlson, D., Taddei, K.F., Kriese, K., Griggs, J., Murray, C.C., Adams, M., Wilson, K.L., Reid, A., Sainsbury, N., Cannon, S., Griggs, E., and Martin, T.G. 2025. Barriers and opportunities for the effective management of cumulative effects in salmon ecosystems in</w:t>
      </w:r>
      <w:r>
        <w:t xml:space="preserve"> </w:t>
      </w:r>
      <w:r>
        <w:t xml:space="preserve">British Columbia</w:t>
      </w:r>
      <w:r>
        <w:t xml:space="preserve">,</w:t>
      </w:r>
      <w:r>
        <w:t xml:space="preserve"> </w:t>
      </w:r>
      <w:r>
        <w:t xml:space="preserve">Canada</w:t>
      </w:r>
      <w:r>
        <w:t xml:space="preserve">. FACETS</w:t>
      </w:r>
      <w:r>
        <w:t xml:space="preserve"> </w:t>
      </w:r>
      <w:r>
        <w:rPr>
          <w:b/>
          <w:bCs/>
        </w:rPr>
        <w:t xml:space="preserve">10</w:t>
      </w:r>
      <w:r>
        <w:t xml:space="preserve">: 1–25. doi:</w:t>
      </w:r>
      <w:hyperlink r:id="rId165">
        <w:r>
          <w:rPr>
            <w:rStyle w:val="Hyperlink"/>
          </w:rPr>
          <w:t xml:space="preserve">10.1139/facets-2024-0348</w:t>
        </w:r>
      </w:hyperlink>
      <w:r>
        <w:t xml:space="preserve">.</w:t>
      </w:r>
    </w:p>
    <w:bookmarkEnd w:id="166"/>
    <w:bookmarkEnd w:id="167"/>
    <w:bookmarkEnd w:id="168"/>
    <w:bookmarkStart w:id="169" w:name="supplementary-material"/>
    <w:p>
      <w:pPr>
        <w:pStyle w:val="Heading1"/>
      </w:pPr>
      <w:r>
        <w:t xml:space="preserve">Supplementary material</w:t>
      </w:r>
    </w:p>
    <w:p>
      <w:pPr>
        <w:pStyle w:val="Compact"/>
        <w:numPr>
          <w:ilvl w:val="0"/>
          <w:numId w:val="1023"/>
        </w:numPr>
      </w:pPr>
      <w:r>
        <w:rPr>
          <w:b/>
          <w:bCs/>
        </w:rPr>
        <w:t xml:space="preserve">Links or downloads for the LAPSE tool materials (app etc.)</w:t>
      </w:r>
    </w:p>
    <w:bookmarkEnd w:id="169"/>
    <w:sectPr w:rsidR="008D44C7">
      <w:headerReference r:id="rId10" w:type="even"/>
      <w:headerReference r:id="rId9" w:type="default"/>
      <w:footerReference r:id="rId12" w:type="default"/>
      <w:headerReference r:id="rId11" w:type="firs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216814"/>
      <w:docPartObj>
        <w:docPartGallery w:val="Page Numbers (Bottom of Page)"/>
        <w:docPartUnique/>
      </w:docPartObj>
    </w:sdtPr>
    <w:sdtEndPr>
      <w:rPr>
        <w:noProof/>
        <w:sz w:val="20"/>
        <w:szCs w:val="20"/>
      </w:rPr>
    </w:sdtEndPr>
    <w:sdtContent>
      <w:p w14:paraId="25F9FDF9" w14:textId="1192C850" w:rsidR="004C64ED" w:rsidRPr="003446D7" w:rsidRDefault="004C64ED">
        <w:pPr>
          <w:pStyle w:val="Footer"/>
          <w:jc w:val="center"/>
          <w:rPr>
            <w:sz w:val="20"/>
            <w:szCs w:val="20"/>
          </w:rPr>
        </w:pPr>
        <w:r w:rsidRPr="003446D7">
          <w:rPr>
            <w:sz w:val="20"/>
            <w:szCs w:val="20"/>
          </w:rPr>
          <w:fldChar w:fldCharType="begin"/>
        </w:r>
        <w:r w:rsidRPr="003446D7">
          <w:rPr>
            <w:sz w:val="20"/>
            <w:szCs w:val="20"/>
          </w:rPr>
          <w:instrText xml:space="preserve"> PAGE   \* MERGEFORMAT </w:instrText>
        </w:r>
        <w:r w:rsidRPr="003446D7">
          <w:rPr>
            <w:sz w:val="20"/>
            <w:szCs w:val="20"/>
          </w:rPr>
          <w:fldChar w:fldCharType="separate"/>
        </w:r>
        <w:r w:rsidRPr="003446D7">
          <w:rPr>
            <w:noProof/>
            <w:sz w:val="20"/>
            <w:szCs w:val="20"/>
          </w:rPr>
          <w:t>2</w:t>
        </w:r>
        <w:r w:rsidRPr="003446D7">
          <w:rPr>
            <w:noProof/>
            <w:sz w:val="20"/>
            <w:szCs w:val="20"/>
          </w:rPr>
          <w:fldChar w:fldCharType="end"/>
        </w:r>
      </w:p>
    </w:sdtContent>
  </w:sdt>
  <w:p w14:paraId="56ADC0C4" w14:textId="77777777" w:rsidR="004C64ED" w:rsidRDefault="004C64E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029C" w14:textId="3C1FA847" w:rsidR="00777336" w:rsidRDefault="00777336">
    <w:pPr>
      <w:pStyle w:val="Header"/>
    </w:pPr>
    <w:r>
      <w:rPr>
        <w:noProof/>
      </w:rPr>
      <mc:AlternateContent>
        <mc:Choice Requires="wps">
          <w:drawing>
            <wp:anchor distT="0" distB="0" distL="0" distR="0" simplePos="0" relativeHeight="251659264" behindDoc="0" locked="0" layoutInCell="1" allowOverlap="1" wp14:anchorId="25877599" wp14:editId="155C933F">
              <wp:simplePos x="635" y="635"/>
              <wp:positionH relativeFrom="page">
                <wp:align>right</wp:align>
              </wp:positionH>
              <wp:positionV relativeFrom="page">
                <wp:align>top</wp:align>
              </wp:positionV>
              <wp:extent cx="1916430" cy="405765"/>
              <wp:effectExtent l="0" t="0" r="0" b="13335"/>
              <wp:wrapNone/>
              <wp:docPr id="1861323456"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CF45C5F" w14:textId="75888CFD"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5877599"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6CF45C5F" w14:textId="75888CFD"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45FD" w14:textId="07D69366" w:rsidR="00777336" w:rsidRDefault="00777336">
    <w:pPr>
      <w:pStyle w:val="Header"/>
    </w:pPr>
    <w:r>
      <w:rPr>
        <w:noProof/>
      </w:rPr>
      <mc:AlternateContent>
        <mc:Choice Requires="wps">
          <w:drawing>
            <wp:anchor distT="0" distB="0" distL="0" distR="0" simplePos="0" relativeHeight="251660288" behindDoc="0" locked="0" layoutInCell="1" allowOverlap="1" wp14:anchorId="4DE168DA" wp14:editId="6F8CE50D">
              <wp:simplePos x="914400" y="457200"/>
              <wp:positionH relativeFrom="page">
                <wp:align>right</wp:align>
              </wp:positionH>
              <wp:positionV relativeFrom="page">
                <wp:align>top</wp:align>
              </wp:positionV>
              <wp:extent cx="1916430" cy="405765"/>
              <wp:effectExtent l="0" t="0" r="0" b="13335"/>
              <wp:wrapNone/>
              <wp:docPr id="1244474728"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4498ABA7" w14:textId="2FFE03EE"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E168DA"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4498ABA7" w14:textId="2FFE03EE"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256A" w14:textId="355D2A3C" w:rsidR="00777336" w:rsidRDefault="00777336">
    <w:pPr>
      <w:pStyle w:val="Header"/>
    </w:pPr>
    <w:r>
      <w:rPr>
        <w:noProof/>
      </w:rPr>
      <mc:AlternateContent>
        <mc:Choice Requires="wps">
          <w:drawing>
            <wp:anchor distT="0" distB="0" distL="0" distR="0" simplePos="0" relativeHeight="251658240" behindDoc="0" locked="0" layoutInCell="1" allowOverlap="1" wp14:anchorId="522A19A3" wp14:editId="51474D6F">
              <wp:simplePos x="635" y="635"/>
              <wp:positionH relativeFrom="page">
                <wp:align>right</wp:align>
              </wp:positionH>
              <wp:positionV relativeFrom="page">
                <wp:align>top</wp:align>
              </wp:positionV>
              <wp:extent cx="1916430" cy="405765"/>
              <wp:effectExtent l="0" t="0" r="0" b="13335"/>
              <wp:wrapNone/>
              <wp:docPr id="301240705"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1A6013C9" w14:textId="72E3D1C5"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2A19A3"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1A6013C9" w14:textId="72E3D1C5" w:rsidR="00777336" w:rsidRPr="00777336" w:rsidRDefault="00777336" w:rsidP="00777336">
                    <w:pPr>
                      <w:spacing w:after="0"/>
                      <w:rPr>
                        <w:rFonts w:ascii="Calibri" w:eastAsia="Calibri" w:hAnsi="Calibri" w:cs="Calibri"/>
                        <w:noProof/>
                        <w:color w:val="000000"/>
                      </w:rPr>
                    </w:pPr>
                    <w:r w:rsidRPr="00777336">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6"/>
    <w:rsid w:val="00020BE1"/>
    <w:rsid w:val="00053AC9"/>
    <w:rsid w:val="00230370"/>
    <w:rsid w:val="00247F8D"/>
    <w:rsid w:val="002774C0"/>
    <w:rsid w:val="00305C7B"/>
    <w:rsid w:val="003446D7"/>
    <w:rsid w:val="0048758A"/>
    <w:rsid w:val="004C64ED"/>
    <w:rsid w:val="00514D89"/>
    <w:rsid w:val="005406A2"/>
    <w:rsid w:val="00564D74"/>
    <w:rsid w:val="005A39EF"/>
    <w:rsid w:val="0072119B"/>
    <w:rsid w:val="00777336"/>
    <w:rsid w:val="00790FE5"/>
    <w:rsid w:val="007B63FD"/>
    <w:rsid w:val="007E4A71"/>
    <w:rsid w:val="008028D8"/>
    <w:rsid w:val="00816055"/>
    <w:rsid w:val="008D44C7"/>
    <w:rsid w:val="009812E8"/>
    <w:rsid w:val="009A55D7"/>
    <w:rsid w:val="009B05B7"/>
    <w:rsid w:val="00A96D17"/>
    <w:rsid w:val="00AE35B0"/>
    <w:rsid w:val="00B8296B"/>
    <w:rsid w:val="00B87D0F"/>
    <w:rsid w:val="00B95B90"/>
    <w:rsid w:val="00BD3862"/>
    <w:rsid w:val="00BD6F10"/>
    <w:rsid w:val="00D40977"/>
    <w:rsid w:val="00D812E9"/>
    <w:rsid w:val="00DA0A6F"/>
    <w:rsid w:val="00E8194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96D17"/>
    <w:rPr>
      <w:rFonts w:ascii="Times New Roman" w:hAnsi="Times New Roman"/>
    </w:rPr>
  </w:style>
  <w:style w:styleId="Heading1" w:type="paragraph">
    <w:name w:val="heading 1"/>
    <w:basedOn w:val="Normal"/>
    <w:next w:val="Normal"/>
    <w:link w:val="Heading1Char"/>
    <w:uiPriority w:val="9"/>
    <w:qFormat/>
    <w:rsid w:val="00A96D17"/>
    <w:pPr>
      <w:keepNext/>
      <w:keepLines/>
      <w:spacing w:after="80" w:before="360"/>
      <w:outlineLvl w:val="0"/>
    </w:pPr>
    <w:rPr>
      <w:rFonts w:ascii="Montserrat" w:cstheme="majorBidi" w:eastAsiaTheme="majorEastAsia" w:hAnsi="Montserrat"/>
      <w:b/>
      <w:sz w:val="32"/>
      <w:szCs w:val="40"/>
    </w:rPr>
  </w:style>
  <w:style w:styleId="Heading2" w:type="paragraph">
    <w:name w:val="heading 2"/>
    <w:basedOn w:val="Normal"/>
    <w:next w:val="Normal"/>
    <w:link w:val="Heading2Char"/>
    <w:uiPriority w:val="9"/>
    <w:unhideWhenUsed/>
    <w:qFormat/>
    <w:rsid w:val="00A96D17"/>
    <w:pPr>
      <w:keepNext/>
      <w:keepLines/>
      <w:spacing w:after="80" w:before="160"/>
      <w:outlineLvl w:val="1"/>
    </w:pPr>
    <w:rPr>
      <w:rFonts w:ascii="Montserrat" w:cstheme="majorBidi" w:eastAsiaTheme="majorEastAsia" w:hAnsi="Montserrat"/>
      <w:b/>
      <w:sz w:val="28"/>
      <w:szCs w:val="32"/>
    </w:rPr>
  </w:style>
  <w:style w:styleId="Heading3" w:type="paragraph">
    <w:name w:val="heading 3"/>
    <w:basedOn w:val="Normal"/>
    <w:next w:val="Normal"/>
    <w:link w:val="Heading3Char"/>
    <w:uiPriority w:val="9"/>
    <w:semiHidden/>
    <w:unhideWhenUsed/>
    <w:qFormat/>
    <w:rsid w:val="00777336"/>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77733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77733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77733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77733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77733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77733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D17"/>
    <w:rPr>
      <w:rFonts w:ascii="Montserrat" w:cstheme="majorBidi" w:eastAsiaTheme="majorEastAsia" w:hAnsi="Montserrat"/>
      <w:b/>
      <w:sz w:val="32"/>
      <w:szCs w:val="40"/>
    </w:rPr>
  </w:style>
  <w:style w:customStyle="1" w:styleId="Heading2Char" w:type="character">
    <w:name w:val="Heading 2 Char"/>
    <w:basedOn w:val="DefaultParagraphFont"/>
    <w:link w:val="Heading2"/>
    <w:uiPriority w:val="9"/>
    <w:rsid w:val="00A96D17"/>
    <w:rPr>
      <w:rFonts w:ascii="Montserrat" w:cstheme="majorBidi" w:eastAsiaTheme="majorEastAsia" w:hAnsi="Montserrat"/>
      <w:b/>
      <w:sz w:val="28"/>
      <w:szCs w:val="32"/>
    </w:rPr>
  </w:style>
  <w:style w:customStyle="1" w:styleId="Heading3Char" w:type="character">
    <w:name w:val="Heading 3 Char"/>
    <w:basedOn w:val="DefaultParagraphFont"/>
    <w:link w:val="Heading3"/>
    <w:uiPriority w:val="9"/>
    <w:semiHidden/>
    <w:rsid w:val="0077733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77733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77733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77733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77733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77733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777336"/>
    <w:rPr>
      <w:rFonts w:cstheme="majorBidi" w:eastAsiaTheme="majorEastAsia"/>
      <w:color w:themeColor="text1" w:themeTint="D8" w:val="272727"/>
    </w:rPr>
  </w:style>
  <w:style w:styleId="Title" w:type="paragraph">
    <w:name w:val="Title"/>
    <w:basedOn w:val="Normal"/>
    <w:next w:val="Normal"/>
    <w:link w:val="TitleChar"/>
    <w:uiPriority w:val="10"/>
    <w:qFormat/>
    <w:rsid w:val="00305C7B"/>
    <w:pPr>
      <w:spacing w:after="80" w:line="240" w:lineRule="auto"/>
      <w:contextualSpacing/>
    </w:pPr>
    <w:rPr>
      <w:rFonts w:ascii="Montserrat" w:cstheme="majorBidi" w:eastAsiaTheme="majorEastAsia" w:hAnsi="Montserrat"/>
      <w:b/>
      <w:spacing w:val="-10"/>
      <w:kern w:val="28"/>
      <w:sz w:val="48"/>
      <w:szCs w:val="56"/>
    </w:rPr>
  </w:style>
  <w:style w:customStyle="1" w:styleId="TitleChar" w:type="character">
    <w:name w:val="Title Char"/>
    <w:basedOn w:val="DefaultParagraphFont"/>
    <w:link w:val="Title"/>
    <w:uiPriority w:val="10"/>
    <w:rsid w:val="00305C7B"/>
    <w:rPr>
      <w:rFonts w:ascii="Montserrat" w:cstheme="majorBidi" w:eastAsiaTheme="majorEastAsia" w:hAnsi="Montserrat"/>
      <w:b/>
      <w:spacing w:val="-10"/>
      <w:kern w:val="28"/>
      <w:sz w:val="48"/>
      <w:szCs w:val="56"/>
    </w:rPr>
  </w:style>
  <w:style w:styleId="Subtitle" w:type="paragraph">
    <w:name w:val="Subtitle"/>
    <w:basedOn w:val="Normal"/>
    <w:next w:val="Normal"/>
    <w:link w:val="SubtitleChar"/>
    <w:uiPriority w:val="11"/>
    <w:qFormat/>
    <w:rsid w:val="0077733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77733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777336"/>
    <w:pPr>
      <w:spacing w:before="160"/>
      <w:jc w:val="center"/>
    </w:pPr>
    <w:rPr>
      <w:i/>
      <w:iCs/>
      <w:color w:themeColor="text1" w:themeTint="BF" w:val="404040"/>
    </w:rPr>
  </w:style>
  <w:style w:customStyle="1" w:styleId="QuoteChar" w:type="character">
    <w:name w:val="Quote Char"/>
    <w:basedOn w:val="DefaultParagraphFont"/>
    <w:link w:val="Quote"/>
    <w:uiPriority w:val="29"/>
    <w:rsid w:val="00777336"/>
    <w:rPr>
      <w:i/>
      <w:iCs/>
      <w:color w:themeColor="text1" w:themeTint="BF" w:val="404040"/>
    </w:rPr>
  </w:style>
  <w:style w:styleId="ListParagraph" w:type="paragraph">
    <w:name w:val="List Paragraph"/>
    <w:basedOn w:val="Normal"/>
    <w:uiPriority w:val="34"/>
    <w:qFormat/>
    <w:rsid w:val="00777336"/>
    <w:pPr>
      <w:ind w:left="720"/>
      <w:contextualSpacing/>
    </w:pPr>
  </w:style>
  <w:style w:styleId="IntenseEmphasis" w:type="character">
    <w:name w:val="Intense Emphasis"/>
    <w:basedOn w:val="DefaultParagraphFont"/>
    <w:uiPriority w:val="21"/>
    <w:qFormat/>
    <w:rsid w:val="00777336"/>
    <w:rPr>
      <w:i/>
      <w:iCs/>
      <w:color w:themeColor="accent1" w:themeShade="BF" w:val="0F4761"/>
    </w:rPr>
  </w:style>
  <w:style w:styleId="IntenseQuote" w:type="paragraph">
    <w:name w:val="Intense Quote"/>
    <w:basedOn w:val="Normal"/>
    <w:next w:val="Normal"/>
    <w:link w:val="IntenseQuoteChar"/>
    <w:uiPriority w:val="30"/>
    <w:qFormat/>
    <w:rsid w:val="0077733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777336"/>
    <w:rPr>
      <w:i/>
      <w:iCs/>
      <w:color w:themeColor="accent1" w:themeShade="BF" w:val="0F4761"/>
    </w:rPr>
  </w:style>
  <w:style w:styleId="IntenseReference" w:type="character">
    <w:name w:val="Intense Reference"/>
    <w:basedOn w:val="DefaultParagraphFont"/>
    <w:uiPriority w:val="32"/>
    <w:qFormat/>
    <w:rsid w:val="00777336"/>
    <w:rPr>
      <w:b/>
      <w:bCs/>
      <w:smallCaps/>
      <w:color w:themeColor="accent1" w:themeShade="BF" w:val="0F4761"/>
      <w:spacing w:val="5"/>
    </w:rPr>
  </w:style>
  <w:style w:styleId="Header" w:type="paragraph">
    <w:name w:val="header"/>
    <w:basedOn w:val="Normal"/>
    <w:link w:val="HeaderChar"/>
    <w:uiPriority w:val="99"/>
    <w:unhideWhenUsed/>
    <w:rsid w:val="00777336"/>
    <w:pPr>
      <w:tabs>
        <w:tab w:pos="4680" w:val="center"/>
        <w:tab w:pos="9360" w:val="right"/>
      </w:tabs>
      <w:spacing w:after="0" w:line="240" w:lineRule="auto"/>
    </w:pPr>
  </w:style>
  <w:style w:customStyle="1" w:styleId="HeaderChar" w:type="character">
    <w:name w:val="Header Char"/>
    <w:basedOn w:val="DefaultParagraphFont"/>
    <w:link w:val="Header"/>
    <w:uiPriority w:val="99"/>
    <w:rsid w:val="00777336"/>
  </w:style>
  <w:style w:styleId="Footer" w:type="paragraph">
    <w:name w:val="footer"/>
    <w:basedOn w:val="Normal"/>
    <w:link w:val="FooterChar"/>
    <w:uiPriority w:val="99"/>
    <w:unhideWhenUsed/>
    <w:rsid w:val="004C64ED"/>
    <w:pPr>
      <w:tabs>
        <w:tab w:pos="4680" w:val="center"/>
        <w:tab w:pos="9360" w:val="right"/>
      </w:tabs>
      <w:spacing w:after="0" w:line="240" w:lineRule="auto"/>
    </w:pPr>
  </w:style>
  <w:style w:customStyle="1" w:styleId="FooterChar" w:type="character">
    <w:name w:val="Footer Char"/>
    <w:basedOn w:val="DefaultParagraphFont"/>
    <w:link w:val="Footer"/>
    <w:uiPriority w:val="99"/>
    <w:rsid w:val="004C64ED"/>
    <w:rPr>
      <w:rFonts w:ascii="Times New Roman" w:hAnsi="Times New Roman"/>
    </w:rPr>
  </w:style>
  <w:style w:styleId="Bibliography" w:type="paragraph">
    <w:name w:val="Bibliography"/>
    <w:basedOn w:val="Normal"/>
    <w:next w:val="Normal"/>
    <w:uiPriority w:val="37"/>
    <w:semiHidden/>
    <w:unhideWhenUsed/>
    <w:rsid w:val="00D40977"/>
    <w:pPr>
      <w:ind w:hanging="720" w:left="720"/>
    </w:pPr>
  </w:style>
  <w:style w:styleId="Caption" w:type="paragraph">
    <w:name w:val="caption"/>
    <w:basedOn w:val="Normal"/>
    <w:next w:val="Normal"/>
    <w:uiPriority w:val="35"/>
    <w:unhideWhenUsed/>
    <w:qFormat/>
    <w:rsid w:val="002774C0"/>
    <w:pPr>
      <w:spacing w:after="200" w:line="240" w:lineRule="auto"/>
      <w:jc w:val="center"/>
    </w:pPr>
    <w:rPr>
      <w:i/>
      <w:iCs/>
      <w:sz w:val="20"/>
      <w:szCs w:val="18"/>
    </w:rPr>
  </w:style>
  <w:style w:customStyle="1" w:styleId="FigureCaptionCustom" w:type="paragraph">
    <w:name w:val="FigureCaptionCustom"/>
    <w:basedOn w:val="Caption"/>
    <w:qFormat/>
    <w:rsid w:val="0048758A"/>
  </w:style>
  <w:style w:styleId="TOCHeading" w:type="paragraph">
    <w:name w:val="TOC Heading"/>
    <w:basedOn w:val="Heading1"/>
    <w:next w:val="Normal"/>
    <w:uiPriority w:val="39"/>
    <w:semiHidden/>
    <w:unhideWhenUsed/>
    <w:qFormat/>
    <w:rsid w:val="005406A2"/>
    <w:pPr>
      <w:spacing w:after="0" w:before="240"/>
      <w:outlineLvl w:val="9"/>
    </w:pPr>
    <w:rPr>
      <w:szCs w:val="32"/>
    </w:rPr>
  </w:style>
  <w:style w:type="paragraph" w:customStyle="1" w:styleId="TableCaption">
    <w:name w:val="Table Caption"/>
    <w:basedOn w:val="BodyText"/>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hyperlink" Id="rId89" Target="https://a100.gov.bc.ca/pub/acat/public/viewReport.do?reportId=59109" TargetMode="External" /><Relationship Type="http://schemas.openxmlformats.org/officeDocument/2006/relationships/hyperlink" Id="rId25" Target="https://conbio.onlinelibrary.wiley.com/doi/full/10.1111/j.1523-1739.2008.00937.x" TargetMode="External" /><Relationship Type="http://schemas.openxmlformats.org/officeDocument/2006/relationships/hyperlink" Id="rId72" Target="https://cosewic.ca/index.php/en/reports/preparing-status-reports/guidelines-recognizing-designatable-units.html" TargetMode="External" /><Relationship Type="http://schemas.openxmlformats.org/officeDocument/2006/relationships/hyperlink" Id="rId142" Target="https://doi.org/10.1016/j.biocon.2013.07.006" TargetMode="External" /><Relationship Type="http://schemas.openxmlformats.org/officeDocument/2006/relationships/hyperlink" Id="rId114" Target="https://doi.org/10.1016/j.tree.2014.12.004" TargetMode="External" /><Relationship Type="http://schemas.openxmlformats.org/officeDocument/2006/relationships/hyperlink" Id="rId96" Target="https://doi.org/10.1101/2024.12.01.626233" TargetMode="External" /><Relationship Type="http://schemas.openxmlformats.org/officeDocument/2006/relationships/hyperlink" Id="rId109" Target="https://doi.org/10.1111/1365-2664.14239" TargetMode="External" /><Relationship Type="http://schemas.openxmlformats.org/officeDocument/2006/relationships/hyperlink" Id="rId156" Target="https://doi.org/10.1111/cobi.14434" TargetMode="External" /><Relationship Type="http://schemas.openxmlformats.org/officeDocument/2006/relationships/hyperlink" Id="rId148" Target="https://doi.org/10.1111/faf.70027" TargetMode="External" /><Relationship Type="http://schemas.openxmlformats.org/officeDocument/2006/relationships/hyperlink" Id="rId158" Target="https://doi.org/10.1111/j.1523-1739.2008.00937.x" TargetMode="External" /><Relationship Type="http://schemas.openxmlformats.org/officeDocument/2006/relationships/hyperlink" Id="rId150" Target="https://doi.org/10.1139/cjfas-2017-0127" TargetMode="External" /><Relationship Type="http://schemas.openxmlformats.org/officeDocument/2006/relationships/hyperlink" Id="rId163" Target="https://doi.org/10.1139/facets-2020-0064" TargetMode="External" /><Relationship Type="http://schemas.openxmlformats.org/officeDocument/2006/relationships/hyperlink" Id="rId154" Target="https://doi.org/10.1139/facets-2020-0075" TargetMode="External" /><Relationship Type="http://schemas.openxmlformats.org/officeDocument/2006/relationships/hyperlink" Id="rId139" Target="https://doi.org/10.1139/facets-2020-0084" TargetMode="External" /><Relationship Type="http://schemas.openxmlformats.org/officeDocument/2006/relationships/hyperlink" Id="rId160" Target="https://doi.org/10.1139/facets-2022-0095" TargetMode="External" /><Relationship Type="http://schemas.openxmlformats.org/officeDocument/2006/relationships/hyperlink" Id="rId116" Target="https://doi.org/10.1139/facets-2023-0204" TargetMode="External" /><Relationship Type="http://schemas.openxmlformats.org/officeDocument/2006/relationships/hyperlink" Id="rId165" Target="https://doi.org/10.1139/facets-2024-0348" TargetMode="External" /><Relationship Type="http://schemas.openxmlformats.org/officeDocument/2006/relationships/hyperlink" Id="rId103" Target="https://doi.org/10.1139/facets-2025-0031" TargetMode="External" /><Relationship Type="http://schemas.openxmlformats.org/officeDocument/2006/relationships/hyperlink" Id="rId105" Target="https://doi.org/10.3233/EPL-2002-32_5_13" TargetMode="External" /><Relationship Type="http://schemas.openxmlformats.org/officeDocument/2006/relationships/hyperlink" Id="rId98" Target="https://doi.org/10.3390/su6096024" TargetMode="External" /><Relationship Type="http://schemas.openxmlformats.org/officeDocument/2006/relationships/hyperlink" Id="rId101" Target="https://doi.org/10.5751/ES-02784-140145" TargetMode="External" /><Relationship Type="http://schemas.openxmlformats.org/officeDocument/2006/relationships/hyperlink" Id="rId146" Target="https://laws-lois.justice.gc.ca/PDF/F-14.pdf" TargetMode="External" /><Relationship Type="http://schemas.openxmlformats.org/officeDocument/2006/relationships/hyperlink" Id="rId120" Target="https://laws-lois.justice.gc.ca/PDF/tops/eng/TOPS.pdf" TargetMode="External" /><Relationship Type="http://schemas.openxmlformats.org/officeDocument/2006/relationships/hyperlink" Id="rId111" Target="https://publications.gc.ca/collections/collection_2012/bcp-pco/CP32-93-2012-3-eng.pdf" TargetMode="External" /><Relationship Type="http://schemas.openxmlformats.org/officeDocument/2006/relationships/hyperlink" Id="rId144" Target="https://publications.gc.ca/collections/collection_2021/parl/xc51-1/XC51-1-1-432-5-eng.pdf" TargetMode="External" /><Relationship Type="http://schemas.openxmlformats.org/officeDocument/2006/relationships/hyperlink" Id="rId122" Target="https://waves-vagues.dfo-mpo.gc.ca/library-bibliotheque/315577.pdf" TargetMode="External" /><Relationship Type="http://schemas.openxmlformats.org/officeDocument/2006/relationships/hyperlink" Id="rId137" Target="https://waves-vagues.dfo-mpo.gc.ca/library-bibliotheque/40807071.pdf" TargetMode="External" /><Relationship Type="http://schemas.openxmlformats.org/officeDocument/2006/relationships/hyperlink" Id="rId124" Target="https://waves-vagues.dfo-mpo.gc.ca/library-bibliotheque/41031209.pdf" TargetMode="External" /><Relationship Type="http://schemas.openxmlformats.org/officeDocument/2006/relationships/hyperlink" Id="rId152" Target="https://www.bclaws.gov.bc.ca/civix/content/amr/amr/2067365574/?xsl=/templates/browse.xsl" TargetMode="External" /><Relationship Type="http://schemas.openxmlformats.org/officeDocument/2006/relationships/hyperlink" Id="rId135" Target="https://www.bclaws.gov.bc.ca/civix/document/id/complete/statreg/02069_01" TargetMode="External" /><Relationship Type="http://schemas.openxmlformats.org/officeDocument/2006/relationships/hyperlink" Id="rId107" Target="https://www.canlii.org/" TargetMode="External" /><Relationship Type="http://schemas.openxmlformats.org/officeDocument/2006/relationships/hyperlink" Id="rId126" Target="https://www.dfo-mpo.gc.ca/fisheries-peches/ifmp-gmp/salmon-saumon/2024/okanagan-2024-eng.html" TargetMode="External" /><Relationship Type="http://schemas.openxmlformats.org/officeDocument/2006/relationships/hyperlink" Id="rId128" Target="https://www.dfo-mpo.gc.ca/reports-rapports/regs/sff-cpd/precautionary-precaution-eng.htm" TargetMode="External" /><Relationship Type="http://schemas.openxmlformats.org/officeDocument/2006/relationships/hyperlink" Id="rId118" Target="https://www.justice.gc.ca/eng/rp-pr/csj-sjc/legis-redact/legistics/p3p1.html" TargetMode="External" /><Relationship Type="http://schemas.openxmlformats.org/officeDocument/2006/relationships/hyperlink" Id="rId130" Target="https://www.pac.dfo-mpo.gc.ca/fm-gp/salmon-saumon/docs/trilat-agreement-accord/declaration-eng.html" TargetMode="External" /></Relationships>
</file>

<file path=word/_rels/footnotes.xml.rels><?xml version="1.0" encoding="UTF-8"?><Relationships xmlns="http://schemas.openxmlformats.org/package/2006/relationships"><Relationship Type="http://schemas.openxmlformats.org/officeDocument/2006/relationships/hyperlink" Id="rId89" Target="https://a100.gov.bc.ca/pub/acat/public/viewReport.do?reportId=59109" TargetMode="External" /><Relationship Type="http://schemas.openxmlformats.org/officeDocument/2006/relationships/hyperlink" Id="rId25" Target="https://conbio.onlinelibrary.wiley.com/doi/full/10.1111/j.1523-1739.2008.00937.x" TargetMode="External" /><Relationship Type="http://schemas.openxmlformats.org/officeDocument/2006/relationships/hyperlink" Id="rId72" Target="https://cosewic.ca/index.php/en/reports/preparing-status-reports/guidelines-recognizing-designatable-units.html" TargetMode="External" /><Relationship Type="http://schemas.openxmlformats.org/officeDocument/2006/relationships/hyperlink" Id="rId142" Target="https://doi.org/10.1016/j.biocon.2013.07.006" TargetMode="External" /><Relationship Type="http://schemas.openxmlformats.org/officeDocument/2006/relationships/hyperlink" Id="rId114" Target="https://doi.org/10.1016/j.tree.2014.12.004" TargetMode="External" /><Relationship Type="http://schemas.openxmlformats.org/officeDocument/2006/relationships/hyperlink" Id="rId96" Target="https://doi.org/10.1101/2024.12.01.626233" TargetMode="External" /><Relationship Type="http://schemas.openxmlformats.org/officeDocument/2006/relationships/hyperlink" Id="rId109" Target="https://doi.org/10.1111/1365-2664.14239" TargetMode="External" /><Relationship Type="http://schemas.openxmlformats.org/officeDocument/2006/relationships/hyperlink" Id="rId156" Target="https://doi.org/10.1111/cobi.14434" TargetMode="External" /><Relationship Type="http://schemas.openxmlformats.org/officeDocument/2006/relationships/hyperlink" Id="rId148" Target="https://doi.org/10.1111/faf.70027" TargetMode="External" /><Relationship Type="http://schemas.openxmlformats.org/officeDocument/2006/relationships/hyperlink" Id="rId158" Target="https://doi.org/10.1111/j.1523-1739.2008.00937.x" TargetMode="External" /><Relationship Type="http://schemas.openxmlformats.org/officeDocument/2006/relationships/hyperlink" Id="rId150" Target="https://doi.org/10.1139/cjfas-2017-0127" TargetMode="External" /><Relationship Type="http://schemas.openxmlformats.org/officeDocument/2006/relationships/hyperlink" Id="rId163" Target="https://doi.org/10.1139/facets-2020-0064" TargetMode="External" /><Relationship Type="http://schemas.openxmlformats.org/officeDocument/2006/relationships/hyperlink" Id="rId154" Target="https://doi.org/10.1139/facets-2020-0075" TargetMode="External" /><Relationship Type="http://schemas.openxmlformats.org/officeDocument/2006/relationships/hyperlink" Id="rId139" Target="https://doi.org/10.1139/facets-2020-0084" TargetMode="External" /><Relationship Type="http://schemas.openxmlformats.org/officeDocument/2006/relationships/hyperlink" Id="rId160" Target="https://doi.org/10.1139/facets-2022-0095" TargetMode="External" /><Relationship Type="http://schemas.openxmlformats.org/officeDocument/2006/relationships/hyperlink" Id="rId116" Target="https://doi.org/10.1139/facets-2023-0204" TargetMode="External" /><Relationship Type="http://schemas.openxmlformats.org/officeDocument/2006/relationships/hyperlink" Id="rId165" Target="https://doi.org/10.1139/facets-2024-0348" TargetMode="External" /><Relationship Type="http://schemas.openxmlformats.org/officeDocument/2006/relationships/hyperlink" Id="rId103" Target="https://doi.org/10.1139/facets-2025-0031" TargetMode="External" /><Relationship Type="http://schemas.openxmlformats.org/officeDocument/2006/relationships/hyperlink" Id="rId105" Target="https://doi.org/10.3233/EPL-2002-32_5_13" TargetMode="External" /><Relationship Type="http://schemas.openxmlformats.org/officeDocument/2006/relationships/hyperlink" Id="rId98" Target="https://doi.org/10.3390/su6096024" TargetMode="External" /><Relationship Type="http://schemas.openxmlformats.org/officeDocument/2006/relationships/hyperlink" Id="rId101" Target="https://doi.org/10.5751/ES-02784-140145" TargetMode="External" /><Relationship Type="http://schemas.openxmlformats.org/officeDocument/2006/relationships/hyperlink" Id="rId146" Target="https://laws-lois.justice.gc.ca/PDF/F-14.pdf" TargetMode="External" /><Relationship Type="http://schemas.openxmlformats.org/officeDocument/2006/relationships/hyperlink" Id="rId120" Target="https://laws-lois.justice.gc.ca/PDF/tops/eng/TOPS.pdf" TargetMode="External" /><Relationship Type="http://schemas.openxmlformats.org/officeDocument/2006/relationships/hyperlink" Id="rId111" Target="https://publications.gc.ca/collections/collection_2012/bcp-pco/CP32-93-2012-3-eng.pdf" TargetMode="External" /><Relationship Type="http://schemas.openxmlformats.org/officeDocument/2006/relationships/hyperlink" Id="rId144" Target="https://publications.gc.ca/collections/collection_2021/parl/xc51-1/XC51-1-1-432-5-eng.pdf" TargetMode="External" /><Relationship Type="http://schemas.openxmlformats.org/officeDocument/2006/relationships/hyperlink" Id="rId122" Target="https://waves-vagues.dfo-mpo.gc.ca/library-bibliotheque/315577.pdf" TargetMode="External" /><Relationship Type="http://schemas.openxmlformats.org/officeDocument/2006/relationships/hyperlink" Id="rId137" Target="https://waves-vagues.dfo-mpo.gc.ca/library-bibliotheque/40807071.pdf" TargetMode="External" /><Relationship Type="http://schemas.openxmlformats.org/officeDocument/2006/relationships/hyperlink" Id="rId124" Target="https://waves-vagues.dfo-mpo.gc.ca/library-bibliotheque/41031209.pdf" TargetMode="External" /><Relationship Type="http://schemas.openxmlformats.org/officeDocument/2006/relationships/hyperlink" Id="rId152" Target="https://www.bclaws.gov.bc.ca/civix/content/amr/amr/2067365574/?xsl=/templates/browse.xsl" TargetMode="External" /><Relationship Type="http://schemas.openxmlformats.org/officeDocument/2006/relationships/hyperlink" Id="rId135" Target="https://www.bclaws.gov.bc.ca/civix/document/id/complete/statreg/02069_01" TargetMode="External" /><Relationship Type="http://schemas.openxmlformats.org/officeDocument/2006/relationships/hyperlink" Id="rId107" Target="https://www.canlii.org/" TargetMode="External" /><Relationship Type="http://schemas.openxmlformats.org/officeDocument/2006/relationships/hyperlink" Id="rId126" Target="https://www.dfo-mpo.gc.ca/fisheries-peches/ifmp-gmp/salmon-saumon/2024/okanagan-2024-eng.html" TargetMode="External" /><Relationship Type="http://schemas.openxmlformats.org/officeDocument/2006/relationships/hyperlink" Id="rId128" Target="https://www.dfo-mpo.gc.ca/reports-rapports/regs/sff-cpd/precautionary-precaution-eng.htm" TargetMode="External" /><Relationship Type="http://schemas.openxmlformats.org/officeDocument/2006/relationships/hyperlink" Id="rId118" Target="https://www.justice.gc.ca/eng/rp-pr/csj-sjc/legis-redact/legistics/p3p1.html" TargetMode="External" /><Relationship Type="http://schemas.openxmlformats.org/officeDocument/2006/relationships/hyperlink" Id="rId130" Target="https://www.pac.dfo-mpo.gc.ca/fm-gp/salmon-saumon/docs/trilat-agreement-accord/declaration-e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interface between statutes and salmon: the Legislation Applicable to Pacific Salmon and Ecosystems (LAPSE) framework</dc:title>
  <dc:creator>Joe Enns, Cory Lagasse, Daniel Gillis, Marina Wright</dc:creator>
  <cp:keywords/>
  <dcterms:created xsi:type="dcterms:W3CDTF">2026-01-22T21:50:42Z</dcterms:created>
  <dcterms:modified xsi:type="dcterms:W3CDTF">2026-01-22T21:50:42Z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LAPSE_primary_publication_references.bib</vt:lpwstr>
  </property>
  <property fmtid="{D5CDD505-2E9C-101B-9397-08002B2CF9AE}" pid="3" name="csl">
    <vt:lpwstr>canadian-journal-of-fisheries-and-aquatic-sciences.csl</vt:lpwstr>
  </property>
  <property fmtid="{D5CDD505-2E9C-101B-9397-08002B2CF9AE}" pid="4" name="date">
    <vt:lpwstr>2026-01-22</vt:lpwstr>
  </property>
  <property fmtid="{D5CDD505-2E9C-101B-9397-08002B2CF9AE}" pid="5" name="language">
    <vt:lpwstr/>
  </property>
  <property fmtid="{D5CDD505-2E9C-101B-9397-08002B2CF9AE}" pid="6" name="output">
    <vt:lpwstr/>
  </property>
</Properties>
</file>