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39.png" ContentType="image/png"/>
  <Override PartName="/word/media/rId32.png" ContentType="image/png"/>
  <Override PartName="/word/media/rId72.png" ContentType="image/png"/>
  <Override PartName="/word/media/rId68.png" ContentType="image/png"/>
  <Override PartName="/word/media/rId20.png" ContentType="image/png"/>
  <Override PartName="/word/media/rId24.png" ContentType="image/png"/>
  <Override PartName="/word/media/rId61.png" ContentType="image/png"/>
  <Override PartName="/word/media/rId53.png" ContentType="image/png"/>
  <Override PartName="/word/media/rId4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2025-12-18</w:t>
      </w:r>
    </w:p>
    <w:bookmarkStart w:id="28"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w:t>
      </w:r>
      <w:r>
        <w:t xml:space="preserve"> </w:t>
      </w:r>
      <w:r>
        <w:t xml:space="preserve">(Campbell and Thomas 2002; Ray et al. 2021)</w:t>
      </w:r>
      <w:r>
        <w:t xml:space="preserve">.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The dual roles, from the adaption of British Common Law to the Canadian situation,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 </w:t>
      </w:r>
      <w:r>
        <w:t xml:space="preserve">or one department (Figures</w:t>
      </w:r>
      <w:r>
        <w:t xml:space="preserve"> </w:t>
      </w:r>
      <w:r>
        <w:t xml:space="preserve">1</w:t>
      </w:r>
      <w:r>
        <w:t xml:space="preserve"> </w:t>
      </w:r>
      <w:r>
        <w:t xml:space="preserve">and</w:t>
      </w:r>
      <w:r>
        <w:t xml:space="preserve"> </w:t>
      </w:r>
      <w:r>
        <w:t xml:space="preserve">2</w:t>
      </w:r>
      <w:r>
        <w:t xml:space="preserve">).</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BodyText"/>
      </w:pPr>
      <w:r>
        <w:t xml:space="preserve">The fragmented federal jurisdiction over natural resources has always been ambiguous and limited with 89% of resources located within provincial legislative authority</w:t>
      </w:r>
      <w:r>
        <w:t xml:space="preserve"> </w:t>
      </w:r>
      <w:r>
        <w:t xml:space="preserve">(Ray et al. 2021)</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While salmon and salmon fisheries are regulated federally, water use and watercourse management and the corresponding aquatic habitat is managed by the provinces. However, watercourse management is not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salmon-populations-at-risk"/>
    <w:p>
      <w:pPr>
        <w:pStyle w:val="Heading1"/>
      </w:pPr>
      <w:r>
        <w:t xml:space="preserve">Salmon populations at risk</w:t>
      </w:r>
    </w:p>
    <w:p>
      <w:pPr>
        <w:pStyle w:val="FirstParagraph"/>
      </w:pPr>
      <w:r>
        <w:t xml:space="preserve">Despite considerable financial investment in salmon conservation and habitat restoration programs, as well as, the revision of management frameworks (e.g. </w:t>
      </w:r>
      <w:r>
        <w:rPr>
          <w:i/>
          <w:iCs/>
        </w:rPr>
        <w:t xml:space="preserve">Canada’s Policy for Conservation of Wild Pacific Salmon</w:t>
      </w:r>
      <w:r>
        <w:t xml:space="preserve">), Pacific salmon populations continue to decline in British Columbia, and the number of populations monitored continues to drop</w:t>
      </w:r>
      <w:r>
        <w:t xml:space="preserve"> </w:t>
      </w:r>
      <w:r>
        <w:t xml:space="preserve">(Bisson et al. 2009; Price et al. 2017)</w:t>
      </w:r>
      <w:r>
        <w:t xml:space="preserve">.</w:t>
      </w:r>
      <w:r>
        <w:t xml:space="preserve"> </w:t>
      </w:r>
      <w:r>
        <w:t xml:space="preserve">Price et al. (2017)</w:t>
      </w:r>
      <w:r>
        <w:t xml:space="preserve"> </w:t>
      </w:r>
      <w:r>
        <w:t xml:space="preserve">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w:t>
      </w:r>
      <w:r>
        <w:t xml:space="preserve"> </w:t>
      </w:r>
      <w:r>
        <w:t xml:space="preserve">(Price et al. 2017)</w:t>
      </w:r>
      <w:r>
        <w:t xml:space="preserve">. While difficult to pinpoint a single cause, the decline of salmon populations and habitat capacity is recognized as a consequence of human activity, especially the loss or degradation of freshwater habitat</w:t>
      </w:r>
      <w:r>
        <w:t xml:space="preserve"> </w:t>
      </w:r>
      <w:r>
        <w:t xml:space="preserve">(Bisson et al. 2009)</w:t>
      </w:r>
      <w:r>
        <w:t xml:space="preserve">; however, industrial development and urbanization continues to spread and compound within watersheds.</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End w:id="29"/>
    <w:bookmarkStart w:id="30"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salmon populations relies on their ability to access a variety of watercourses with connectivity between habitats</w:t>
      </w:r>
      <w:r>
        <w:t xml:space="preserve"> </w:t>
      </w:r>
      <w:r>
        <w:t xml:space="preserve">(Carlson and Baylis 2022)</w:t>
      </w:r>
      <w:r>
        <w:t xml:space="preserve"> </w:t>
      </w:r>
      <w:r>
        <w:t xml:space="preserve">including ephemeral habitats, which are important for fry and juvenile rearing</w:t>
      </w:r>
      <w:r>
        <w:t xml:space="preserve"> </w:t>
      </w:r>
      <w:r>
        <w:t xml:space="preserve">(Dionne 2023)</w:t>
      </w:r>
      <w:r>
        <w:t xml:space="preserve">.</w:t>
      </w:r>
    </w:p>
    <w:p>
      <w:pPr>
        <w:pStyle w:val="BodyText"/>
      </w:pPr>
      <w:r>
        <w:t xml:space="preserve">Nearly all salmon populations utilize watersheds with multiple ownerships, which creates inconsistent regulation and a patchwork of disconnected critical habitat</w:t>
      </w:r>
      <w:r>
        <w:t xml:space="preserve"> </w:t>
      </w:r>
      <w:r>
        <w:t xml:space="preserve">(Bisson et al. 2009)</w:t>
      </w:r>
      <w:r>
        <w:t xml:space="preserve">.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w:t>
      </w:r>
      <w:r>
        <w:t xml:space="preserve"> </w:t>
      </w:r>
      <w:r>
        <w:t xml:space="preserve">(Dionne 2023)</w:t>
      </w:r>
      <w:r>
        <w:t xml:space="preserve">.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bookmarkEnd w:id="30"/>
    <w:bookmarkStart w:id="31"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The overall goal of this effort was to outline a framework and process to better understand the legislative context that governs Pacific salmon in British Columbia related to human activities across jurisdictions. To achieve this, the more specific objectives were to: 1)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31"/>
    <w:bookmarkStart w:id="36"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Management domains developed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3" name="Picture"/>
            <a:graphic>
              <a:graphicData uri="http://schemas.openxmlformats.org/drawingml/2006/picture">
                <pic:pic>
                  <pic:nvPicPr>
                    <pic:cNvPr descr="../assets/Management%20Domain%20Flowchart.png" id="34" name="Picture"/>
                    <pic:cNvPicPr>
                      <a:picLocks noChangeArrowheads="1" noChangeAspect="1"/>
                    </pic:cNvPicPr>
                  </pic:nvPicPr>
                  <pic:blipFill>
                    <a:blip r:embed="rId3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5" w:name="fig:fig-flowchart-image"/>
      <w:bookmarkEnd w:id="35"/>
      <w:r>
        <w:t xml:space="preserve">Figure 3: Flowchart showing alignment of IUCN Level 2 threat categories with Management Domain in relation to legislation and jurisdiction.</w:t>
      </w:r>
    </w:p>
    <w:bookmarkEnd w:id="36"/>
    <w:bookmarkStart w:id="46" w:name="a-process-for-clause-categorization"/>
    <w:p>
      <w:pPr>
        <w:pStyle w:val="Heading1"/>
      </w:pPr>
      <w:r>
        <w:t xml:space="preserve">A process for clause categorization</w:t>
      </w:r>
    </w:p>
    <w:bookmarkStart w:id="38"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BodyText"/>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CanLii was used as a systematic process to collect relevant legislation using the following steps:</w:t>
      </w:r>
    </w:p>
    <w:p>
      <w:pPr>
        <w:numPr>
          <w:ilvl w:val="0"/>
          <w:numId w:val="1001"/>
        </w:numPr>
      </w:pPr>
      <w:r>
        <w:t xml:space="preserve">Query Pacific salmon specific terms (salmon, Chinook, sockeye, etc.)</w:t>
      </w:r>
    </w:p>
    <w:p>
      <w:pPr>
        <w:numPr>
          <w:ilvl w:val="0"/>
          <w:numId w:val="1001"/>
        </w:numPr>
      </w:pPr>
      <w:r>
        <w:t xml:space="preserve">Extract other keywords from the salmon-specific legislation (word frequency analysis using udpipe R package)</w:t>
      </w:r>
    </w:p>
    <w:p>
      <w:pPr>
        <w:numPr>
          <w:ilvl w:val="0"/>
          <w:numId w:val="1001"/>
        </w:numPr>
      </w:pPr>
      <w:r>
        <w:t xml:space="preserve">Query found keywords and IUCN Threat description wording in CanLII to find adjacent legislation</w:t>
      </w:r>
    </w:p>
    <w:p>
      <w:pPr>
        <w:numPr>
          <w:ilvl w:val="0"/>
          <w:numId w:val="1001"/>
        </w:numPr>
      </w:pPr>
      <w:r>
        <w:t xml:space="preserve">Filter legislation regionally (excluding provinces other than BC)</w:t>
      </w:r>
    </w:p>
    <w:p>
      <w:pPr>
        <w:numPr>
          <w:ilvl w:val="0"/>
          <w:numId w:val="1001"/>
        </w:numPr>
      </w:pPr>
      <w:r>
        <w:t xml:space="preserve">Download HTML files for relevant legislation directly from government websites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7" w:name="tab:legislation-summary-table"/>
      <w:bookmarkEnd w:id="37"/>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8"/>
    <w:bookmarkStart w:id="43"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0" name="Picture"/>
            <a:graphic>
              <a:graphicData uri="http://schemas.openxmlformats.org/drawingml/2006/picture">
                <pic:pic>
                  <pic:nvPicPr>
                    <pic:cNvPr descr="../assets/Legistics%20Paragraphing.png" id="41" name="Picture"/>
                    <pic:cNvPicPr>
                      <a:picLocks noChangeArrowheads="1" noChangeAspect="1"/>
                    </pic:cNvPicPr>
                  </pic:nvPicPr>
                  <pic:blipFill>
                    <a:blip r:embed="rId39"/>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2" w:name="fig:fig-legistics-paragraphing"/>
      <w:bookmarkEnd w:id="42"/>
      <w:r>
        <w:t xml:space="preserve">Figure 4: 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bookmarkEnd w:id="43"/>
    <w:bookmarkStart w:id="44"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4"/>
    <w:bookmarkStart w:id="45" w:name="keyword-and-keyphrase-development"/>
    <w:p>
      <w:pPr>
        <w:pStyle w:val="Heading2"/>
      </w:pPr>
      <w:r>
        <w:t xml:space="preserve">Keyword and keyphrase development</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Other researchers may repeat this process as future legislation and language changes. The process steps are:</w:t>
      </w:r>
    </w:p>
    <w:p>
      <w:pPr>
        <w:numPr>
          <w:ilvl w:val="0"/>
          <w:numId w:val="1002"/>
        </w:numPr>
      </w:pPr>
      <w:r>
        <w:t xml:space="preserve">Legislation accumulation and review (CanLii)</w:t>
      </w:r>
    </w:p>
    <w:p>
      <w:pPr>
        <w:numPr>
          <w:ilvl w:val="0"/>
          <w:numId w:val="1002"/>
        </w:numPr>
      </w:pPr>
      <w:r>
        <w:t xml:space="preserve">Parse legislation by clause, section, and heading (R)</w:t>
      </w:r>
    </w:p>
    <w:p>
      <w:pPr>
        <w:numPr>
          <w:ilvl w:val="0"/>
          <w:numId w:val="1002"/>
        </w:numPr>
      </w:pPr>
      <w:r>
        <w:t xml:space="preserve">Match management domain and IUCN threat keywords to clauses (R)</w:t>
      </w:r>
    </w:p>
    <w:p>
      <w:pPr>
        <w:numPr>
          <w:ilvl w:val="0"/>
          <w:numId w:val="1002"/>
        </w:numPr>
      </w:pPr>
      <w:r>
        <w:t xml:space="preserve">Assign Scope (R)</w:t>
      </w:r>
    </w:p>
    <w:p>
      <w:pPr>
        <w:numPr>
          <w:ilvl w:val="0"/>
          <w:numId w:val="1002"/>
        </w:numPr>
      </w:pPr>
      <w:r>
        <w:t xml:space="preserve">Match clause type keywords to clauses (R)</w:t>
      </w:r>
    </w:p>
    <w:p>
      <w:pPr>
        <w:pStyle w:val="FirstParagraph"/>
      </w:pPr>
      <w:r>
        <w:t xml:space="preserve">The management domain and IUCN threat matching process pivoted around an established list of keywords and phrases relevant to Pacific salmon management. Keywords act as a link between categorization and the legislative clauses. Keywords must be specific enough to match an IUCN threat, yet general enough to appear in the acts and regulations that span many decades of legislative language. The keywords originated from three sources:</w:t>
      </w:r>
    </w:p>
    <w:p>
      <w:pPr>
        <w:pStyle w:val="BodyText"/>
      </w:pPr>
      <w:r>
        <w:t xml:space="preserve">• IUCN - CMP Direct Threats Classification 4.0 examples and definitions</w:t>
      </w:r>
    </w:p>
    <w:p>
      <w:pPr>
        <w:pStyle w:val="BodyText"/>
      </w:pPr>
      <w:r>
        <w:t xml:space="preserve">• Word frequency analysis (unigrams, bigrams, and trigrams) of collected legislation</w:t>
      </w:r>
    </w:p>
    <w:p>
      <w:pPr>
        <w:pStyle w:val="BodyText"/>
      </w:pPr>
      <w:r>
        <w:t xml:space="preserve">•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w:t>
      </w:r>
    </w:p>
    <w:p>
      <w:pPr>
        <w:pStyle w:val="BodyText"/>
      </w:pPr>
      <w:r>
        <w:t xml:space="preserve">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 Researcher subjectivity can influence the process on two fronts:</w:t>
      </w:r>
    </w:p>
    <w:p>
      <w:pPr>
        <w:pStyle w:val="BodyText"/>
      </w:pPr>
      <w:r>
        <w:t xml:space="preserve">• Legislation collection</w:t>
      </w:r>
    </w:p>
    <w:p>
      <w:pPr>
        <w:pStyle w:val="BodyText"/>
      </w:pPr>
      <w:r>
        <w:t xml:space="preserve">• Keyword and keyphrase list development</w:t>
      </w:r>
    </w:p>
    <w:p>
      <w:pPr>
        <w:pStyle w:val="BodyText"/>
      </w:pPr>
      <w:r>
        <w:t xml:space="preserve">However, using keyword lists allows for the subjectivity to be acknowledged, and the keyword lists to be reported such that the process may be repeatable. The keyword list is shown in Appendix II.</w:t>
      </w:r>
    </w:p>
    <w:p>
      <w:pPr>
        <w:pStyle w:val="BodyText"/>
      </w:pPr>
      <w:r>
        <w:t xml:space="preserve">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w:t>
      </w:r>
    </w:p>
    <w:p>
      <w:pPr>
        <w:pStyle w:val="BodyText"/>
      </w:pPr>
      <w:r>
        <w:t xml:space="preserve">• find more relevant bigram or trigram alternatives (,</w:t>
      </w:r>
    </w:p>
    <w:p>
      <w:pPr>
        <w:pStyle w:val="BodyText"/>
      </w:pPr>
      <w:r>
        <w:t xml:space="preserve">• remove keywords where sections are already matched with other, more applicable keywords, and</w:t>
      </w:r>
    </w:p>
    <w:p>
      <w:pPr>
        <w:pStyle w:val="BodyText"/>
      </w:pPr>
      <w:r>
        <w:t xml:space="preserve">• search for more specific word variations (plural, past tense, etc.)</w:t>
      </w:r>
    </w:p>
    <w:p>
      <w:pPr>
        <w:pStyle w:val="BodyText"/>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r>
        <w:rPr>
          <w:b/>
          <w:bCs/>
        </w:rPr>
        <w:t xml:space="preserve">.</w:t>
      </w:r>
    </w:p>
    <w:p>
      <w:pPr>
        <w:pStyle w:val="BodyText"/>
      </w:pPr>
      <w:r>
        <w:t xml:space="preserve">• The interpretation of legislation, finding a more objective way</w:t>
      </w:r>
    </w:p>
    <w:p>
      <w:pPr>
        <w:pStyle w:val="BodyText"/>
      </w:pPr>
      <w:r>
        <w:t xml:space="preserve">• Where do keywords come from? Unigrams, bigrams and trigrams</w:t>
      </w:r>
    </w:p>
    <w:p>
      <w:pPr>
        <w:pStyle w:val="BodyText"/>
      </w:pPr>
      <w:r>
        <w:t xml:space="preserve">• When to exclude keywords, an iterative process</w:t>
      </w:r>
    </w:p>
    <w:p>
      <w:pPr>
        <w:pStyle w:val="BodyText"/>
      </w:pPr>
      <w:r>
        <w:t xml:space="preserve">• Language and context, why some categories have more keywords</w:t>
      </w:r>
    </w:p>
    <w:p>
      <w:pPr>
        <w:pStyle w:val="BodyText"/>
      </w:pPr>
      <w:r>
        <w:t xml:space="preserve">• Why categories with more keywords match more clauses</w:t>
      </w:r>
    </w:p>
    <w:bookmarkEnd w:id="45"/>
    <w:bookmarkEnd w:id="46"/>
    <w:bookmarkStart w:id="65"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actual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7" w:name="tab:management-domain-tally"/>
      <w:bookmarkEnd w:id="47"/>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p>
      <w:pPr>
        <w:pStyle w:val="BodyText"/>
      </w:pPr>
      <w:r>
        <w:t xml:space="preserve">Regulatory language that can be matched to management domain and IUCN threat categories is not inherently specific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The scope was determined by the specificity of the language used in the section.</w:t>
      </w:r>
    </w:p>
    <w:p>
      <w:pPr>
        <w:pStyle w:val="BodyText"/>
      </w:pPr>
      <w:r>
        <w:t xml:space="preserve">The scope categories were defined as follows:</w:t>
      </w:r>
    </w:p>
    <w:p>
      <w:pPr>
        <w:pStyle w:val="BodyText"/>
      </w:pPr>
      <w:r>
        <w:t xml:space="preserve">• 1 – Salmon: refers to Pacific salmon specifically</w:t>
      </w:r>
    </w:p>
    <w:p>
      <w:pPr>
        <w:pStyle w:val="BodyText"/>
      </w:pPr>
      <w:r>
        <w:t xml:space="preserve">• 2 – Fish: refers to fish that include salmon</w:t>
      </w:r>
    </w:p>
    <w:p>
      <w:pPr>
        <w:pStyle w:val="BodyText"/>
      </w:pPr>
      <w:r>
        <w:t xml:space="preserve">• 3 – Habitat: refers to any habitat that includes salmon habitat</w:t>
      </w:r>
    </w:p>
    <w:p>
      <w:pPr>
        <w:pStyle w:val="BodyText"/>
      </w:pPr>
      <w:r>
        <w:t xml:space="preserve">• 4 – Governance: 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Table</w:t>
      </w:r>
      <w:r>
        <w:t xml:space="preserve"> </w:t>
      </w:r>
      <w:r>
        <w:t xml:space="preserve">3</w:t>
      </w:r>
    </w:p>
    <w:p>
      <w:pPr>
        <w:pStyle w:val="TableCaption"/>
      </w:pPr>
      <w:bookmarkStart w:id="52" w:name="tab:scope-tally"/>
      <w:bookmarkEnd w:id="52"/>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t xml:space="preserve">Management domains were identified within all the collected statutes. Pollution was the management domain with the highest section count (Figure 4),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BodyText"/>
      </w:pPr>
      <w:r>
        <w:t xml:space="preserve">Scope categories were assigned to clauses and sections parallel to management domains and IUCN threat categories. Language specific to Pacific salmon management was found in far fewer sections than indirect, less specific language (Figure 6). Only 74 sections in 22 statutes mention Pacific salmon, while 2,607 sections in 165 statutes mention habitat aspects that impact salmon.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(1 - Salmon) at all, only the regulations made under the Fisheries Act use salmon-specific language.</w:t>
      </w:r>
    </w:p>
    <w:p>
      <w:pPr>
        <w:pStyle w:val="CaptionedFigure"/>
      </w:pPr>
      <w:r>
        <w:drawing>
          <wp:inline>
            <wp:extent cx="5943600" cy="5200649"/>
            <wp:effectExtent b="0" l="0" r="0" t="0"/>
            <wp:docPr descr="Figure 6: Proportion of sections by management domain, displayed as concentric rings representing scope categories (inner to outer: 1 - Salmon, 2 - Fish, 3 - Habitat, 4 - Governance)." title="" id="54" name="Picture"/>
            <a:graphic>
              <a:graphicData uri="http://schemas.openxmlformats.org/drawingml/2006/picture">
                <pic:pic>
                  <pic:nvPicPr>
                    <pic:cNvPr descr="LAPSE_primary_publication_files/figure-docx/multiscope-donut-1.png" id="55" name="Picture"/>
                    <pic:cNvPicPr>
                      <a:picLocks noChangeArrowheads="1" noChangeAspect="1"/>
                    </pic:cNvPicPr>
                  </pic:nvPicPr>
                  <pic:blipFill>
                    <a:blip r:embed="rId53"/>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56" w:name="fig:multiscope-donut"/>
      <w:bookmarkEnd w:id="56"/>
      <w:r>
        <w:t xml:space="preserve">Figure 6: Proportion of sections by management domain, displayed as concentric rings representing scope categories (inner to outer: 1 - Salmon, 2 - Fish, 3 - Habitat, 4 - Governance).</w:t>
      </w:r>
    </w:p>
    <w:p>
      <w:pPr>
        <w:pStyle w:val="BodyText"/>
      </w:pPr>
      <w:r>
        <w:t xml:space="preserve">More federal legislation sections matched with salmon harvest categories than provincial, as shown in Figures 4 and 5 above. Pacific salmon-specific language (1 - Salmon scope) also matched more federal statutes, specifically, the British Columbia Sport Fishing Regulations, 1996; National Parks of Canada Fishing Regulations; and Pacific Fishery Regulations 1993 (Figure 7).</w:t>
      </w:r>
    </w:p>
    <w:p>
      <w:pPr>
        <w:pStyle w:val="CaptionedFigure"/>
      </w:pPr>
      <w:r>
        <w:drawing>
          <wp:inline>
            <wp:extent cx="5943600" cy="4457699"/>
            <wp:effectExtent b="0" l="0" r="0" t="0"/>
            <wp:docPr descr="Figure 7: Count of sections by legislation for scope category ‘1 - Salmon’, coloured by jurisdiction." title="" id="58" name="Picture"/>
            <a:graphic>
              <a:graphicData uri="http://schemas.openxmlformats.org/drawingml/2006/picture">
                <pic:pic>
                  <pic:nvPicPr>
                    <pic:cNvPr descr="LAPSE_primary_publication_files/figure-docx/section-count-salmon-scope-1.png" id="59" name="Picture"/>
                    <pic:cNvPicPr>
                      <a:picLocks noChangeArrowheads="1" noChangeAspect="1"/>
                    </pic:cNvPicPr>
                  </pic:nvPicPr>
                  <pic:blipFill>
                    <a:blip r:embed="rId57"/>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0" w:name="fig:section-count-salmon-scope"/>
      <w:bookmarkEnd w:id="60"/>
      <w:r>
        <w:t xml:space="preserve">Figure 7: Count of sections by legislation for scope category</w:t>
      </w:r>
      <w:r>
        <w:t xml:space="preserve"> </w:t>
      </w:r>
      <w:r>
        <w:t xml:space="preserve">‘</w:t>
      </w:r>
      <w:r>
        <w:t xml:space="preserve">1 - Salmon</w:t>
      </w:r>
      <w:r>
        <w:t xml:space="preserve">’</w:t>
      </w:r>
      <w:r>
        <w:t xml:space="preserve">, coloured by jurisdiction.</w:t>
      </w:r>
    </w:p>
    <w:p>
      <w:pPr>
        <w:pStyle w:val="BodyText"/>
      </w:pPr>
      <w:r>
        <w:t xml:space="preserve">IUCN Level 2 categories are more specific, and the categorization process matched to 25 categories (</w:t>
      </w:r>
      <w:r>
        <w:t xml:space="preserve">8</w:t>
      </w:r>
      <w:r>
        <w:t xml:space="preserve">) that parallel the management domain categories. Multiple IUCN threats comprise a management domain; however Water-Borne &amp; Other Effluent Pollution (9.1) matched with the highest number of sections (as in the management domains) followed by Fishing, Harvesting &amp; Controlling Aquatic Species (5.4). Eight IUCN threat categories make up the Water Use and Watercourse Modifications management domain, but Dams &amp; Water Management / Use (7.2) has the majority of matches.</w:t>
      </w:r>
    </w:p>
    <w:p>
      <w:pPr>
        <w:pStyle w:val="CaptionedFigure"/>
      </w:pPr>
      <w:r>
        <w:drawing>
          <wp:inline>
            <wp:extent cx="5943600" cy="4754880"/>
            <wp:effectExtent b="0" l="0" r="0" t="0"/>
            <wp:docPr descr="Figure 8: Section counts by IUCN threat category, separated by jurisdiction." title="" id="62" name="Picture"/>
            <a:graphic>
              <a:graphicData uri="http://schemas.openxmlformats.org/drawingml/2006/picture">
                <pic:pic>
                  <pic:nvPicPr>
                    <pic:cNvPr descr="LAPSE_primary_publication_files/figure-docx/fig-section-count-by-iucn-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64" w:name="fig:fig-section-count-by-iucn"/>
      <w:bookmarkEnd w:id="64"/>
      <w:r>
        <w:t xml:space="preserve">Figure 8: Section counts by IUCN threat category, separated by jurisdiction.</w:t>
      </w:r>
    </w:p>
    <w:p>
      <w:pPr>
        <w:pStyle w:val="BodyText"/>
      </w:pPr>
      <w:r>
        <w:t xml:space="preserve">• Not all salmon management categories are threats. Need categories for other factors.</w:t>
      </w:r>
    </w:p>
    <w:p>
      <w:pPr>
        <w:pStyle w:val="BodyText"/>
      </w:pPr>
      <w:r>
        <w:t xml:space="preserve">• Management domains as an interface</w:t>
      </w:r>
    </w:p>
    <w:p>
      <w:pPr>
        <w:pStyle w:val="BodyText"/>
      </w:pPr>
      <w:r>
        <w:t xml:space="preserve">• The LAPSE process and tool.</w:t>
      </w:r>
    </w:p>
    <w:bookmarkEnd w:id="65"/>
    <w:bookmarkStart w:id="67" w:name="legislative-factors-clause-types"/>
    <w:p>
      <w:pPr>
        <w:pStyle w:val="Heading1"/>
      </w:pPr>
      <w:r>
        <w:t xml:space="preserve">Legislative factors: clause types</w:t>
      </w:r>
    </w:p>
    <w:p>
      <w:pPr>
        <w:pStyle w:val="FirstParagraph"/>
      </w:pPr>
      <w:r>
        <w:t xml:space="preserve">• The keyword matching process allows for assessment of other categories as well</w:t>
      </w:r>
    </w:p>
    <w:p>
      <w:pPr>
        <w:pStyle w:val="BodyText"/>
      </w:pPr>
      <w:r>
        <w:t xml:space="preserve">• Can interrogate a measure of context to the clauses (ie. Prohibitions vs exemptions).</w:t>
      </w:r>
    </w:p>
    <w:p>
      <w:pPr>
        <w:pStyle w:val="BodyText"/>
      </w:pPr>
      <w:r>
        <w:t xml:space="preserve">• Useful for looking up licencing sections</w:t>
      </w:r>
    </w:p>
    <w:p>
      <w:pPr>
        <w:pStyle w:val="BodyText"/>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Clauses, in general, fit into groupings by their context and the nature of their intent. For this exercise, the categories and keywords were developed solely by the researchers through a subjective process; however, the keywords are listed in Appendix III allowing for the work to be transparent and repeatable.</w:t>
      </w:r>
    </w:p>
    <w:p>
      <w:pPr>
        <w:pStyle w:val="BodyText"/>
      </w:pPr>
      <w:r>
        <w:t xml:space="preserve">Clause Type Categories:</w:t>
      </w:r>
    </w:p>
    <w:p>
      <w:pPr>
        <w:pStyle w:val="BodyText"/>
      </w:pPr>
      <w:r>
        <w:t xml:space="preserve">• Administration, Application, &amp; Structure</w:t>
      </w:r>
    </w:p>
    <w:p>
      <w:pPr>
        <w:pStyle w:val="BodyText"/>
      </w:pPr>
      <w:r>
        <w:t xml:space="preserve">• Authorization &amp; Mandate • Designation • Instruction</w:t>
      </w:r>
    </w:p>
    <w:p>
      <w:pPr>
        <w:pStyle w:val="BodyText"/>
      </w:pPr>
      <w:r>
        <w:t xml:space="preserve">• Interpretation &amp; Purpose</w:t>
      </w:r>
    </w:p>
    <w:p>
      <w:pPr>
        <w:pStyle w:val="BodyText"/>
      </w:pPr>
      <w:r>
        <w:t xml:space="preserve">• Licence, Permitting, &amp; Exemptions</w:t>
      </w:r>
    </w:p>
    <w:p>
      <w:pPr>
        <w:pStyle w:val="BodyText"/>
      </w:pPr>
      <w:r>
        <w:t xml:space="preserve">• Prohibition, Restriction, or Limitation</w:t>
      </w:r>
    </w:p>
    <w:p>
      <w:pPr>
        <w:pStyle w:val="BodyText"/>
      </w:pPr>
      <w:r>
        <w:t xml:space="preserve">Independent of management domain and IUCN threat category matching, the clause types (contextual nature of clauses) were assessed by matching</w:t>
      </w:r>
      <w:r>
        <w:t xml:space="preserve"> </w:t>
      </w:r>
      <w:r>
        <w:t xml:space="preserve">“</w:t>
      </w:r>
      <w:r>
        <w:t xml:space="preserve">clause type keywords</w:t>
      </w:r>
      <w:r>
        <w:t xml:space="preserve">”</w:t>
      </w:r>
      <w:r>
        <w:t xml:space="preserve"> </w:t>
      </w:r>
      <w:r>
        <w:t xml:space="preserve">(Appendix III) to clauses. The tally below shows the clause, section, and statute count for the clause type categories for clauses that were also matched to management domain categories.</w:t>
      </w:r>
    </w:p>
    <w:p>
      <w:pPr>
        <w:pStyle w:val="TableCaption"/>
      </w:pPr>
      <w:bookmarkStart w:id="66" w:name="tab:clause-type-with-domain-tally"/>
      <w:bookmarkEnd w:id="66"/>
      <w:r>
        <w:t xml:space="preserve">Table 4:</w:t>
      </w:r>
      <w:r>
        <w:t xml:space="preserve"> </w:t>
      </w:r>
      <w:r>
        <w:t xml:space="preserve">Count of statutes, sections, and clauses by clause type (for paragraphs with management domain labels).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26"/>
        <w:gridCol w:w="1279"/>
        <w:gridCol w:w="1328"/>
        <w:gridCol w:w="125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Administration, Application, &amp; Structure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1,876</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Authorization &amp; Mandate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5,279</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6,801</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6,126</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Interpretation &amp;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5,709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Licence, Permitting, &amp; Exemptions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5,125</w:t>
            </w:r>
          </w:p>
        </w:tc>
      </w:tr>
      <w:tr>
        <w:trPr>
          <w:trHeight w:val="60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Prohibition, Restriction, or Limitation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2,241</w:t>
            </w:r>
          </w:p>
        </w:tc>
      </w:tr>
      <w:tr>
        <w:trPr>
          <w:trHeight w:val="604" w:hRule="auto"/>
        </w:trPr>
        body8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13,957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33,157</w:t>
            </w:r>
          </w:p>
        </w:tc>
      </w:tr>
    </w:tbl>
    <w:bookmarkEnd w:id="67"/>
    <w:bookmarkStart w:id="76" w:name="X3d1f28ebf57a42a02e6321b912ef3127a66a1d5"/>
    <w:p>
      <w:pPr>
        <w:pStyle w:val="Heading1"/>
      </w:pPr>
      <w:r>
        <w:t xml:space="preserve">Recovery potential assessments (RPA) and threat ranking case studies</w:t>
      </w:r>
    </w:p>
    <w:p>
      <w:pPr>
        <w:pStyle w:val="FirstParagraph"/>
      </w:pPr>
      <w:r>
        <w:t xml:space="preserve">The Committee on the Status of Endangered Wildlife in Canada (COSEWIC) assesses the current status of aquatic species, including Pacific salmon stocks, as part of the Species at Risk Act (SARA) process (Arbeider et al 2020). Salmon populations are grouped into genetically and ecologically distinct Diagnostic Units (DU) for the purpose of assessment. When a DU is classified as Threatened, Endangered or Extirpated, a Recovery Potential Assessment (RPA) process is initiated, which calculates risk incorporating the same IUCN-CMP threat classification used in this legislative assessment.</w:t>
      </w:r>
    </w:p>
    <w:p>
      <w:pPr>
        <w:pStyle w:val="CaptionedFigure"/>
      </w:pPr>
      <w:r>
        <w:drawing>
          <wp:inline>
            <wp:extent cx="5943600" cy="4245428"/>
            <wp:effectExtent b="0" l="0" r="0" t="0"/>
            <wp:docPr descr="Figure 9: Count of Conservation Units assessed through the COSEWIC Recovery Potential Assessment process, by species." title="" id="69" name="Picture"/>
            <a:graphic>
              <a:graphicData uri="http://schemas.openxmlformats.org/drawingml/2006/picture">
                <pic:pic>
                  <pic:nvPicPr>
                    <pic:cNvPr descr="LAPSE_primary_publication_files/figure-docx/cu-species-count-1.png" id="70" name="Picture"/>
                    <pic:cNvPicPr>
                      <a:picLocks noChangeArrowheads="1" noChangeAspect="1"/>
                    </pic:cNvPicPr>
                  </pic:nvPicPr>
                  <pic:blipFill>
                    <a:blip r:embed="rId68"/>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71" w:name="fig:cu-species-count"/>
      <w:bookmarkEnd w:id="71"/>
      <w:r>
        <w:t xml:space="preserve">Figure 9: Count of Conservation Units assessed through the COSEWIC Recovery Potential Assessment process, by species.</w:t>
      </w:r>
    </w:p>
    <w:p>
      <w:pPr>
        <w:pStyle w:val="BodyText"/>
      </w:pPr>
      <w:r>
        <w:t xml:space="preserve">Fisheries and Oceans Canada published</w:t>
      </w:r>
      <w:r>
        <w:t xml:space="preserve"> </w:t>
      </w:r>
      <w:r>
        <w:t xml:space="preserve">“</w:t>
      </w:r>
      <w:r>
        <w:t xml:space="preserve">Canada’s Policy for Conservation of Wild Pacific Salmon,</w:t>
      </w:r>
      <w:r>
        <w:t xml:space="preserve">”</w:t>
      </w:r>
      <w:r>
        <w:t xml:space="preserve"> </w:t>
      </w:r>
      <w:r>
        <w:t xml:space="preserve">or the Wild Salmon Policy (WSP), in 2005, which outlines managing salmon in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w:t>
      </w:r>
    </w:p>
    <w:p>
      <w:pPr>
        <w:pStyle w:val="BodyText"/>
      </w:pPr>
      <w:r>
        <w:t xml:space="preserve">The following Conservation Units were included in this assessment:</w:t>
      </w:r>
    </w:p>
    <w:p>
      <w:pPr>
        <w:pStyle w:val="BodyText"/>
      </w:pPr>
      <w:r>
        <w:t xml:space="preserve">Twenty-seven Conservation Units (CU) were included in this exercise, having been assessed through the COSEWIC Recovery Potential Assessment (RPA) process. RPAs used the same IUCN threat categories for assessment ranked from low to extreme by CU. Figure 9 shows the aggregate of the rankings regardless of threat, but stacked by species. More CUs had IUCN threats ranked from negligible to low while a few CUs had extreme to high rankings, specifically for Chinook and lake type sockeye.</w:t>
      </w:r>
    </w:p>
    <w:p>
      <w:pPr>
        <w:pStyle w:val="BodyText"/>
      </w:pPr>
      <w:r>
        <w:t xml:space="preserve">The RPA process identified two IUCN threat categories as being extreme or extreme-high ranking. Geological Events (10.1) received an extreme ranking, and Dams &amp; Water Management / Use (7.2) received an extreme-high ranking (Figure 10). Appendices IV and V of this report use these categories as case studies to demonstrate how the use of the LAPSE tool framework can identify relevant legislation.</w:t>
      </w:r>
    </w:p>
    <w:p>
      <w:pPr>
        <w:pStyle w:val="CaptionedFigure"/>
      </w:pPr>
      <w:r>
        <w:drawing>
          <wp:inline>
            <wp:extent cx="5943600" cy="4457699"/>
            <wp:effectExtent b="0" l="0" r="0" t="0"/>
            <wp:docPr descr="Figure 10: Conservation Unit count across IUCN threat categories and RPA threat rankings. Darker cells indicate more Conservation Units assessed at that threat level." title="" id="73" name="Picture"/>
            <a:graphic>
              <a:graphicData uri="http://schemas.openxmlformats.org/drawingml/2006/picture">
                <pic:pic>
                  <pic:nvPicPr>
                    <pic:cNvPr descr="LAPSE_primary_publication_files/figure-docx/cu-ranking-heatmap-1.png" id="74" name="Picture"/>
                    <pic:cNvPicPr>
                      <a:picLocks noChangeArrowheads="1" noChangeAspect="1"/>
                    </pic:cNvPicPr>
                  </pic:nvPicPr>
                  <pic:blipFill>
                    <a:blip r:embed="rId72"/>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5" w:name="fig:cu-ranking-heatmap"/>
      <w:bookmarkEnd w:id="75"/>
      <w:r>
        <w:t xml:space="preserve">Figure 10: Conservation Unit count across IUCN threat categories and RPA threat rankings. Darker cells indicate more Conservation Units assessed at that threat level.</w:t>
      </w:r>
    </w:p>
    <w:p>
      <w:pPr>
        <w:pStyle w:val="BodyText"/>
      </w:pPr>
      <w:r>
        <w:t xml:space="preserve">IUCN 10.1 Geological events • Big bar slide • The most relevant legislation and why • A summary of clause types</w:t>
      </w:r>
    </w:p>
    <w:p>
      <w:pPr>
        <w:pStyle w:val="BodyText"/>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all in the Fraser Interior area related to the</w:t>
      </w:r>
      <w:r>
        <w:t xml:space="preserve"> </w:t>
      </w:r>
      <w:r>
        <w:t xml:space="preserve">“</w:t>
      </w:r>
      <w:r>
        <w:t xml:space="preserve">ongoing effects from Big Bar landslide</w:t>
      </w:r>
      <w:r>
        <w:t xml:space="preserve">”</w:t>
      </w:r>
      <w:r>
        <w:t xml:space="preserve"> </w:t>
      </w:r>
      <w:r>
        <w:t xml:space="preserve">in 2018 (DFO 2020; DFO 2022):</w:t>
      </w:r>
    </w:p>
    <w:p>
      <w:pPr>
        <w:pStyle w:val="BodyText"/>
      </w:pPr>
      <w:r>
        <w:t xml:space="preserve">• Chinook: CK-10, MIDDLE FRASER RIVER_SP_1.3</w:t>
      </w:r>
    </w:p>
    <w:p>
      <w:pPr>
        <w:pStyle w:val="BodyText"/>
      </w:pPr>
      <w:r>
        <w:t xml:space="preserve">• Chinook: CK-11, MIDDLE FRASER RIVER_SU_1.3</w:t>
      </w:r>
    </w:p>
    <w:p>
      <w:pPr>
        <w:pStyle w:val="BodyText"/>
      </w:pPr>
      <w:r>
        <w:t xml:space="preserve">• Chinook: CK-12, UPPER FRASER RIVER_SP_1.3</w:t>
      </w:r>
    </w:p>
    <w:p>
      <w:pPr>
        <w:pStyle w:val="BodyText"/>
      </w:pPr>
      <w:r>
        <w:t xml:space="preserve">• Sockeye: SEL-06-14, TAKLA/TREMBLEUR-EARLY STUART TIMING</w:t>
      </w:r>
    </w:p>
    <w:p>
      <w:pPr>
        <w:pStyle w:val="BodyText"/>
      </w:pPr>
      <w:r>
        <w:t xml:space="preserve">“</w:t>
      </w:r>
      <w:r>
        <w:t xml:space="preserve">Geological events</w:t>
      </w:r>
      <w:r>
        <w:t xml:space="preserve">”</w:t>
      </w:r>
      <w:r>
        <w:t xml:space="preserve"> </w:t>
      </w:r>
      <w:r>
        <w:t xml:space="preserve">is not a large category to be assigned to appropriate legislation (Figure 5). Aside from landscape-scale changes due to actions like forestry or mining, much of the nature of this category might not be viewed as human-caused or managed. Subsequently, this threat has a small proportion of keywords that match the relevant legislation: The Designation clause type category matched the largest proportion of clauses that also match Geological Events (Figure 14). This is largely due to the designation of avalanche and landslide areas. Instruction also had a large proportion of clause type matches due to the nature of forestry legislation and the prevalence of forestry actions to result in landslides. Prohibition, Restriction, or Limitation clause types matched the fewest clauses.</w:t>
      </w:r>
    </w:p>
    <w:p>
      <w:pPr>
        <w:pStyle w:val="BodyText"/>
      </w:pPr>
      <w:r>
        <w:t xml:space="preserve">IUCN 7.2 Dams &amp; Water Management / Use</w:t>
      </w:r>
    </w:p>
    <w:p>
      <w:pPr>
        <w:pStyle w:val="BodyText"/>
      </w:pPr>
      <w:r>
        <w:t xml:space="preserve">• Bessette creek and irrigation/groundwater</w:t>
      </w:r>
    </w:p>
    <w:p>
      <w:pPr>
        <w:pStyle w:val="BodyText"/>
      </w:pPr>
      <w:r>
        <w:t xml:space="preserve">• The most relevant legislation and why</w:t>
      </w:r>
    </w:p>
    <w:p>
      <w:pPr>
        <w:pStyle w:val="BodyText"/>
      </w:pPr>
      <w:r>
        <w:t xml:space="preserve">• A summary of clause types</w:t>
      </w:r>
    </w:p>
    <w:p>
      <w:pPr>
        <w:pStyle w:val="BodyText"/>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w:t>
      </w:r>
    </w:p>
    <w:p>
      <w:pPr>
        <w:pStyle w:val="BodyText"/>
      </w:pPr>
      <w:r>
        <w:t xml:space="preserve">Interior area:</w:t>
      </w:r>
    </w:p>
    <w:p>
      <w:pPr>
        <w:pStyle w:val="BodyText"/>
      </w:pPr>
      <w:r>
        <w:t xml:space="preserve">• Chinook: CK-16, SOUTH THOMPSON-BESSETTE CREEK_SU_1.2</w:t>
      </w:r>
    </w:p>
    <w:p>
      <w:pPr>
        <w:pStyle w:val="BodyText"/>
      </w:pPr>
      <w:r>
        <w:t xml:space="preserve">“</w:t>
      </w:r>
      <w:r>
        <w:t xml:space="preserve">Dams and Water Management / Use</w:t>
      </w:r>
      <w:r>
        <w:t xml:space="preserve">”</w:t>
      </w:r>
      <w:r>
        <w:t xml:space="preserve"> </w:t>
      </w:r>
      <w:r>
        <w:t xml:space="preserve">is one of the largest categories matched with appropriate legislation (Figure 5).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(Figure 16) likely due to the large number of clause matches in total for that IUCN threat category. Interpretation &amp; Purpose matched the most clauses (includes Definition sections), while Administration, Application, &amp; Structure matched the fewest clauses followed by Prohibition, Restriction, or Limitation.</w:t>
      </w:r>
    </w:p>
    <w:bookmarkEnd w:id="76"/>
    <w:bookmarkStart w:id="77" w:name="co-occurrence-of-management-domains"/>
    <w:p>
      <w:pPr>
        <w:pStyle w:val="Heading1"/>
      </w:pPr>
      <w:r>
        <w:t xml:space="preserve">Co-occurrence of management domains</w:t>
      </w:r>
    </w:p>
    <w:p>
      <w:pPr>
        <w:pStyle w:val="FirstParagraph"/>
      </w:pPr>
      <w:r>
        <w:t xml:space="preserve">• Multiple keywords are assigned to one clause. Example: pollution and aquaculture</w:t>
      </w:r>
    </w:p>
    <w:p>
      <w:pPr>
        <w:pStyle w:val="BodyText"/>
      </w:pPr>
      <w:r>
        <w:t xml:space="preserve">• Analyzing co-occurrence can create insights for related threats.</w:t>
      </w:r>
    </w:p>
    <w:p>
      <w:pPr>
        <w:pStyle w:val="BodyText"/>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77"/>
    <w:bookmarkStart w:id="78" w:name="conclusions"/>
    <w:p>
      <w:pPr>
        <w:pStyle w:val="Heading1"/>
      </w:pPr>
      <w:r>
        <w:t xml:space="preserve">Conclusions</w:t>
      </w:r>
    </w:p>
    <w:p>
      <w:pPr>
        <w:pStyle w:val="FirstParagraph"/>
      </w:pPr>
      <w:r>
        <w:t xml:space="preserve">• The LAPSE framework can be a useful way for practitioners to query relevant legislation for salmon management topics.</w:t>
      </w:r>
    </w:p>
    <w:p>
      <w:pPr>
        <w:pStyle w:val="BodyText"/>
      </w:pPr>
      <w:r>
        <w:t xml:space="preserve">• Users can use keywords to search legislation already using CanLii, but using management domains and IUCN threats, we are able to link clauses to more specific salmon biological aspects</w:t>
      </w:r>
    </w:p>
    <w:p>
      <w:pPr>
        <w:pStyle w:val="BodyText"/>
      </w:pPr>
      <w:r>
        <w:t xml:space="preserve">• Not only does the process link legislation to specific salmon concerns, but this process is also linked to real-world salmon management through the WSP CU and RPA processes, which incorporates threat rankings by CU.</w:t>
      </w:r>
    </w:p>
    <w:p>
      <w:pPr>
        <w:pStyle w:val="BodyText"/>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w:t>
      </w:r>
    </w:p>
    <w:p>
      <w:pPr>
        <w:pStyle w:val="BodyText"/>
      </w:pPr>
      <w:r>
        <w:t xml:space="preserve">• An extensive list of legislation (acts, regulations, sections, and paragraphs) relevant to a human activity or salmon management decisions</w:t>
      </w:r>
    </w:p>
    <w:p>
      <w:pPr>
        <w:pStyle w:val="BodyText"/>
      </w:pPr>
      <w:r>
        <w:t xml:space="preserve">• Assessment of the nature or context of the legislation (clause type) by management domain and threat</w:t>
      </w:r>
    </w:p>
    <w:p>
      <w:pPr>
        <w:pStyle w:val="BodyText"/>
      </w:pPr>
      <w:r>
        <w:t xml:space="preserve">• Assessment of the overlap and connectedness in management domains (co-occurrence) to better understand the relationship between salmon threats</w:t>
      </w:r>
    </w:p>
    <w:p>
      <w:pPr>
        <w:pStyle w:val="BodyText"/>
      </w:pPr>
      <w:r>
        <w:t xml:space="preserve">While this process and tool are relatively new and untested, further development could lead to a better integration of salmon management decisions and administrative responsibility.</w:t>
      </w:r>
    </w:p>
    <w:bookmarkEnd w:id="78"/>
    <w:bookmarkStart w:id="119" w:name="references"/>
    <w:p>
      <w:pPr>
        <w:pStyle w:val="Heading1"/>
      </w:pPr>
      <w:r>
        <w:t xml:space="preserve">References</w:t>
      </w:r>
    </w:p>
    <w:bookmarkStart w:id="118" w:name="refs"/>
    <w:bookmarkStart w:id="80"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79">
        <w:r>
          <w:rPr>
            <w:rStyle w:val="Hyperlink"/>
          </w:rPr>
          <w:t xml:space="preserve">10.3390/su6096024</w:t>
        </w:r>
      </w:hyperlink>
      <w:r>
        <w:t xml:space="preserve">.</w:t>
      </w:r>
    </w:p>
    <w:bookmarkEnd w:id="80"/>
    <w:bookmarkStart w:id="81"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81"/>
    <w:bookmarkStart w:id="83"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82">
        <w:r>
          <w:rPr>
            <w:rStyle w:val="Hyperlink"/>
          </w:rPr>
          <w:t xml:space="preserve">10.5751/ES-02784-140145</w:t>
        </w:r>
      </w:hyperlink>
      <w:r>
        <w:t xml:space="preserve">.</w:t>
      </w:r>
    </w:p>
    <w:bookmarkEnd w:id="83"/>
    <w:bookmarkStart w:id="85"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84">
        <w:r>
          <w:rPr>
            <w:rStyle w:val="Hyperlink"/>
          </w:rPr>
          <w:t xml:space="preserve">10.1139/facets-2025-0031</w:t>
        </w:r>
      </w:hyperlink>
      <w:r>
        <w:t xml:space="preserve">.</w:t>
      </w:r>
    </w:p>
    <w:bookmarkEnd w:id="85"/>
    <w:bookmarkStart w:id="87"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86">
        <w:r>
          <w:rPr>
            <w:rStyle w:val="Hyperlink"/>
          </w:rPr>
          <w:t xml:space="preserve">10.3233/EPL-2002-32_5_13</w:t>
        </w:r>
      </w:hyperlink>
      <w:r>
        <w:t xml:space="preserve">.</w:t>
      </w:r>
    </w:p>
    <w:bookmarkEnd w:id="87"/>
    <w:bookmarkStart w:id="88"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88"/>
    <w:bookmarkStart w:id="90"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89">
        <w:r>
          <w:rPr>
            <w:rStyle w:val="Hyperlink"/>
          </w:rPr>
          <w:t xml:space="preserve">https://www.canlii.org/</w:t>
        </w:r>
      </w:hyperlink>
      <w:r>
        <w:t xml:space="preserve"> </w:t>
      </w:r>
      <w:r>
        <w:t xml:space="preserve">[accessed 18 December 2025].</w:t>
      </w:r>
    </w:p>
    <w:bookmarkEnd w:id="90"/>
    <w:bookmarkStart w:id="91" w:name="ref-carlson2022"/>
    <w:p>
      <w:pPr>
        <w:pStyle w:val="Bibliography"/>
      </w:pPr>
      <w:r>
        <w:t xml:space="preserve">Carlson, D., and Baylis, V. 2022. How</w:t>
      </w:r>
      <w:r>
        <w:t xml:space="preserve"> </w:t>
      </w:r>
      <w:r>
        <w:t xml:space="preserve">Crown</w:t>
      </w:r>
      <w:r>
        <w:t xml:space="preserve"> </w:t>
      </w:r>
      <w:r>
        <w:t xml:space="preserve">laws and policy normalize cumulative harm to salmon watersheds in</w:t>
      </w:r>
      <w:r>
        <w:t xml:space="preserve"> </w:t>
      </w:r>
      <w:r>
        <w:t xml:space="preserve">British Columbia</w:t>
      </w:r>
      <w:r>
        <w:t xml:space="preserve">:</w:t>
      </w:r>
    </w:p>
    <w:bookmarkEnd w:id="91"/>
    <w:bookmarkStart w:id="92"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92"/>
    <w:bookmarkStart w:id="9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93">
        <w:r>
          <w:rPr>
            <w:rStyle w:val="Hyperlink"/>
          </w:rPr>
          <w:t xml:space="preserve">10.1016/j.tree.2014.12.004</w:t>
        </w:r>
      </w:hyperlink>
      <w:r>
        <w:t xml:space="preserve">.</w:t>
      </w:r>
    </w:p>
    <w:bookmarkEnd w:id="94"/>
    <w:bookmarkStart w:id="96"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95">
        <w:r>
          <w:rPr>
            <w:rStyle w:val="Hyperlink"/>
          </w:rPr>
          <w:t xml:space="preserve">https://www.justice.gc.ca/eng/rp-pr/csj-sjc/legis-redact/legistics/p3p1.html</w:t>
        </w:r>
      </w:hyperlink>
      <w:r>
        <w:t xml:space="preserve"> </w:t>
      </w:r>
      <w:r>
        <w:t xml:space="preserve">[accessed 18 December 2025].</w:t>
      </w:r>
    </w:p>
    <w:bookmarkEnd w:id="96"/>
    <w:bookmarkStart w:id="97"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97"/>
    <w:bookmarkStart w:id="98"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98"/>
    <w:bookmarkStart w:id="99"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99"/>
    <w:bookmarkStart w:id="101"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00">
        <w:r>
          <w:rPr>
            <w:rStyle w:val="Hyperlink"/>
          </w:rPr>
          <w:t xml:space="preserve">10.1139/facets-2020-0084</w:t>
        </w:r>
      </w:hyperlink>
      <w:r>
        <w:t xml:space="preserve">.</w:t>
      </w:r>
    </w:p>
    <w:bookmarkEnd w:id="101"/>
    <w:bookmarkStart w:id="102"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02"/>
    <w:bookmarkStart w:id="104"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03">
        <w:r>
          <w:rPr>
            <w:rStyle w:val="Hyperlink"/>
          </w:rPr>
          <w:t xml:space="preserve">10.1016/j.biocon.2013.07.006</w:t>
        </w:r>
      </w:hyperlink>
      <w:r>
        <w:t xml:space="preserve">.</w:t>
      </w:r>
    </w:p>
    <w:bookmarkEnd w:id="104"/>
    <w:bookmarkStart w:id="106"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05">
        <w:r>
          <w:rPr>
            <w:rStyle w:val="Hyperlink"/>
          </w:rPr>
          <w:t xml:space="preserve">10.1139/cjfas-2017-0127</w:t>
        </w:r>
      </w:hyperlink>
      <w:r>
        <w:t xml:space="preserve">.</w:t>
      </w:r>
    </w:p>
    <w:bookmarkEnd w:id="106"/>
    <w:bookmarkStart w:id="108"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07">
        <w:r>
          <w:rPr>
            <w:rStyle w:val="Hyperlink"/>
          </w:rPr>
          <w:t xml:space="preserve">10.1139/facets-2020-0075</w:t>
        </w:r>
      </w:hyperlink>
      <w:r>
        <w:t xml:space="preserve">.</w:t>
      </w:r>
    </w:p>
    <w:bookmarkEnd w:id="108"/>
    <w:bookmarkStart w:id="110"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09">
        <w:r>
          <w:rPr>
            <w:rStyle w:val="Hyperlink"/>
          </w:rPr>
          <w:t xml:space="preserve">10.1111/cobi.14434</w:t>
        </w:r>
      </w:hyperlink>
      <w:r>
        <w:t xml:space="preserve">.</w:t>
      </w:r>
    </w:p>
    <w:bookmarkEnd w:id="110"/>
    <w:bookmarkStart w:id="112"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11">
        <w:r>
          <w:rPr>
            <w:rStyle w:val="Hyperlink"/>
          </w:rPr>
          <w:t xml:space="preserve">10.1111/j.1523-1739.2008.00937.x</w:t>
        </w:r>
      </w:hyperlink>
      <w:r>
        <w:t xml:space="preserve">.</w:t>
      </w:r>
    </w:p>
    <w:bookmarkEnd w:id="112"/>
    <w:bookmarkStart w:id="114"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13">
        <w:r>
          <w:rPr>
            <w:rStyle w:val="Hyperlink"/>
          </w:rPr>
          <w:t xml:space="preserve">10.1139/facets-2022-0095</w:t>
        </w:r>
      </w:hyperlink>
      <w:r>
        <w:t xml:space="preserve">.</w:t>
      </w:r>
    </w:p>
    <w:bookmarkEnd w:id="114"/>
    <w:bookmarkStart w:id="115"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15"/>
    <w:bookmarkStart w:id="117"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16">
        <w:r>
          <w:rPr>
            <w:rStyle w:val="Hyperlink"/>
          </w:rPr>
          <w:t xml:space="preserve">10.1139/facets-2020-0064</w:t>
        </w:r>
      </w:hyperlink>
      <w:r>
        <w:t xml:space="preserve">.</w:t>
      </w:r>
    </w:p>
    <w:bookmarkEnd w:id="117"/>
    <w:bookmarkEnd w:id="118"/>
    <w:bookmarkEnd w:id="119"/>
    <w:bookmarkStart w:id="120" w:name="supplementary-material"/>
    <w:p>
      <w:pPr>
        <w:pStyle w:val="Heading1"/>
      </w:pPr>
      <w:r>
        <w:t xml:space="preserve">Supplementary material</w:t>
      </w:r>
    </w:p>
    <w:p>
      <w:pPr>
        <w:pStyle w:val="FirstParagraph"/>
      </w:pPr>
      <w:r>
        <w:t xml:space="preserve">*Links or downloads for the LAPSE tool materials (app etc.)</w:t>
      </w:r>
    </w:p>
    <w:bookmarkEnd w:id="120"/>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hyperlink" Id="rId103" Target="https://doi.org/10.1016/j.biocon.2013.07.006" TargetMode="External" /><Relationship Type="http://schemas.openxmlformats.org/officeDocument/2006/relationships/hyperlink" Id="rId93" Target="https://doi.org/10.1016/j.tree.2014.12.004" TargetMode="External" /><Relationship Type="http://schemas.openxmlformats.org/officeDocument/2006/relationships/hyperlink" Id="rId109" Target="https://doi.org/10.1111/cobi.14434" TargetMode="External" /><Relationship Type="http://schemas.openxmlformats.org/officeDocument/2006/relationships/hyperlink" Id="rId111" Target="https://doi.org/10.1111/j.1523-1739.2008.00937.x" TargetMode="External" /><Relationship Type="http://schemas.openxmlformats.org/officeDocument/2006/relationships/hyperlink" Id="rId105" Target="https://doi.org/10.1139/cjfas-2017-0127" TargetMode="External" /><Relationship Type="http://schemas.openxmlformats.org/officeDocument/2006/relationships/hyperlink" Id="rId116" Target="https://doi.org/10.1139/facets-2020-0064" TargetMode="External" /><Relationship Type="http://schemas.openxmlformats.org/officeDocument/2006/relationships/hyperlink" Id="rId107" Target="https://doi.org/10.1139/facets-2020-0075" TargetMode="External" /><Relationship Type="http://schemas.openxmlformats.org/officeDocument/2006/relationships/hyperlink" Id="rId100" Target="https://doi.org/10.1139/facets-2020-0084" TargetMode="External" /><Relationship Type="http://schemas.openxmlformats.org/officeDocument/2006/relationships/hyperlink" Id="rId113" Target="https://doi.org/10.1139/facets-2022-0095" TargetMode="External" /><Relationship Type="http://schemas.openxmlformats.org/officeDocument/2006/relationships/hyperlink" Id="rId84" Target="https://doi.org/10.1139/facets-2025-0031" TargetMode="External" /><Relationship Type="http://schemas.openxmlformats.org/officeDocument/2006/relationships/hyperlink" Id="rId86" Target="https://doi.org/10.3233/EPL-2002-32_5_13" TargetMode="External" /><Relationship Type="http://schemas.openxmlformats.org/officeDocument/2006/relationships/hyperlink" Id="rId79" Target="https://doi.org/10.3390/su6096024" TargetMode="External" /><Relationship Type="http://schemas.openxmlformats.org/officeDocument/2006/relationships/hyperlink" Id="rId82" Target="https://doi.org/10.5751/ES-02784-140145" TargetMode="External" /><Relationship Type="http://schemas.openxmlformats.org/officeDocument/2006/relationships/hyperlink" Id="rId89" Target="https://www.canlii.org/" TargetMode="External" /><Relationship Type="http://schemas.openxmlformats.org/officeDocument/2006/relationships/hyperlink" Id="rId95" Target="https://www.justice.gc.ca/eng/rp-pr/csj-sjc/legis-redact/legistics/p3p1.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16/j.biocon.2013.07.006" TargetMode="External" /><Relationship Type="http://schemas.openxmlformats.org/officeDocument/2006/relationships/hyperlink" Id="rId93" Target="https://doi.org/10.1016/j.tree.2014.12.004" TargetMode="External" /><Relationship Type="http://schemas.openxmlformats.org/officeDocument/2006/relationships/hyperlink" Id="rId109" Target="https://doi.org/10.1111/cobi.14434" TargetMode="External" /><Relationship Type="http://schemas.openxmlformats.org/officeDocument/2006/relationships/hyperlink" Id="rId111" Target="https://doi.org/10.1111/j.1523-1739.2008.00937.x" TargetMode="External" /><Relationship Type="http://schemas.openxmlformats.org/officeDocument/2006/relationships/hyperlink" Id="rId105" Target="https://doi.org/10.1139/cjfas-2017-0127" TargetMode="External" /><Relationship Type="http://schemas.openxmlformats.org/officeDocument/2006/relationships/hyperlink" Id="rId116" Target="https://doi.org/10.1139/facets-2020-0064" TargetMode="External" /><Relationship Type="http://schemas.openxmlformats.org/officeDocument/2006/relationships/hyperlink" Id="rId107" Target="https://doi.org/10.1139/facets-2020-0075" TargetMode="External" /><Relationship Type="http://schemas.openxmlformats.org/officeDocument/2006/relationships/hyperlink" Id="rId100" Target="https://doi.org/10.1139/facets-2020-0084" TargetMode="External" /><Relationship Type="http://schemas.openxmlformats.org/officeDocument/2006/relationships/hyperlink" Id="rId113" Target="https://doi.org/10.1139/facets-2022-0095" TargetMode="External" /><Relationship Type="http://schemas.openxmlformats.org/officeDocument/2006/relationships/hyperlink" Id="rId84" Target="https://doi.org/10.1139/facets-2025-0031" TargetMode="External" /><Relationship Type="http://schemas.openxmlformats.org/officeDocument/2006/relationships/hyperlink" Id="rId86" Target="https://doi.org/10.3233/EPL-2002-32_5_13" TargetMode="External" /><Relationship Type="http://schemas.openxmlformats.org/officeDocument/2006/relationships/hyperlink" Id="rId79" Target="https://doi.org/10.3390/su6096024" TargetMode="External" /><Relationship Type="http://schemas.openxmlformats.org/officeDocument/2006/relationships/hyperlink" Id="rId82" Target="https://doi.org/10.5751/ES-02784-140145" TargetMode="External" /><Relationship Type="http://schemas.openxmlformats.org/officeDocument/2006/relationships/hyperlink" Id="rId89" Target="https://www.canlii.org/" TargetMode="External" /><Relationship Type="http://schemas.openxmlformats.org/officeDocument/2006/relationships/hyperlink" Id="rId95" Target="https://www.justice.gc.ca/eng/rp-pr/csj-sjc/legis-redact/legistics/p3p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2025-12-19T00:11:54Z</dcterms:created>
  <dcterms:modified xsi:type="dcterms:W3CDTF">2025-12-19T00:11:54Z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2025-12-18</vt:lpwstr>
  </property>
  <property fmtid="{D5CDD505-2E9C-101B-9397-08002B2CF9AE}" pid="5" name="language">
    <vt:lpwstr/>
  </property>
  <property fmtid="{D5CDD505-2E9C-101B-9397-08002B2CF9AE}" pid="6" name="output">
    <vt:lpwstr/>
  </property>
</Properties>
</file>