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39.png" ContentType="image/png"/>
  <Override PartName="/word/media/rId32.png" ContentType="image/png"/>
  <Override PartName="/word/media/rId71.png" ContentType="image/png"/>
  <Override PartName="/word/media/rId20.png" ContentType="image/png"/>
  <Override PartName="/word/media/rId24.png" ContentType="image/png"/>
  <Override PartName="/word/media/rId52.png" ContentType="image/png"/>
  <Override PartName="/word/media/rId57.png" ContentType="image/png"/>
  <Override PartName="/word/media/rId48.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p>
    <w:p>
      <w:pPr>
        <w:pStyle w:val="Date"/>
      </w:pPr>
      <w:r>
        <w:t xml:space="preserve">2025-12-19</w:t>
      </w:r>
    </w:p>
    <w:bookmarkStart w:id="28" w:name="Xb0d16233fb0ea58f7a8e05661af0f015fa4029e"/>
    <w:p>
      <w:pPr>
        <w:pStyle w:val="Heading1"/>
      </w:pPr>
      <w:r>
        <w:t xml:space="preserve">The decentralized, multi-sector patchwork of Pacific salmon governance in Canada</w:t>
      </w:r>
    </w:p>
    <w:p>
      <w:pPr>
        <w:pStyle w:val="FirstParagraph"/>
      </w:pPr>
      <w:r>
        <w:t xml:space="preserve">Eurocentric colonial stewardship of natural resources in Canada is administered through a decentralized, multi-sector array of federal, provincial, territorial, and municipal constitutional authority</w:t>
      </w:r>
      <w:r>
        <w:t xml:space="preserve"> </w:t>
      </w:r>
      <w:r>
        <w:t xml:space="preserve">(Campbell and Thomas 2002; Ray et al. 2021)</w:t>
      </w:r>
      <w:r>
        <w:t xml:space="preserve">. Stemming from the Constitution Act,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The dual roles, from the adaption of British Common Law to the Canadian situation, can lead to confusion around management prerogatives</w:t>
      </w:r>
      <w:r>
        <w:t xml:space="preserve"> </w:t>
      </w:r>
      <w:r>
        <w:t xml:space="preserve">(Thompson 1974)</w:t>
      </w:r>
      <w:r>
        <w:t xml:space="preserve"> </w:t>
      </w:r>
      <w:r>
        <w:t xml:space="preserve">and jurisdictional authority is rarely the responsibility of one level of government</w:t>
      </w:r>
      <w:r>
        <w:t xml:space="preserve"> </w:t>
      </w:r>
      <w:r>
        <w:t xml:space="preserve">(Campbell and Thomas 2002)</w:t>
      </w:r>
      <w:r>
        <w:t xml:space="preserve"> </w:t>
      </w:r>
      <w:r>
        <w:t xml:space="preserve">or one department (Figures</w:t>
      </w:r>
      <w:r>
        <w:t xml:space="preserve"> </w:t>
      </w:r>
      <w:r>
        <w:t xml:space="preserve">1</w:t>
      </w:r>
      <w:r>
        <w:t xml:space="preserve"> </w:t>
      </w:r>
      <w:r>
        <w:t xml:space="preserve">and</w:t>
      </w:r>
      <w:r>
        <w:t xml:space="preserve"> </w:t>
      </w:r>
      <w:r>
        <w:t xml:space="preserve">2</w:t>
      </w:r>
      <w:r>
        <w:t xml:space="preserve">).</w:t>
      </w:r>
    </w:p>
    <w:p>
      <w:pPr>
        <w:pStyle w:val="BodyText"/>
      </w:pPr>
      <w:r>
        <w:t xml:space="preserve">The fragmented federal jurisdiction over natural resources has always been ambiguous and limited with 89% of resources located within provincial legislative authority</w:t>
      </w:r>
      <w:r>
        <w:t xml:space="preserve"> </w:t>
      </w:r>
      <w:r>
        <w:t xml:space="preserve">(Ray et al. 2021)</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While salmon and salmon fisheries are regulated federally, water use and watercourse management and the corresponding aquatic habitat is managed by the provinces. However, watercourse management is not strictly provincial jurisdiction. The federal government regulates fisheries and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CaptionedFigure"/>
      </w:pPr>
      <w:r>
        <w:drawing>
          <wp:inline>
            <wp:extent cx="5943600" cy="4953000"/>
            <wp:effectExtent b="0" l="0" r="0" t="0"/>
            <wp:docPr descr="Figure 1: Federal jurisdiction: Legislation to Agency relationships. Sections proportionally attributed across responsible agencies." title="" id="21" name="Picture"/>
            <a:graphic>
              <a:graphicData uri="http://schemas.openxmlformats.org/drawingml/2006/picture">
                <pic:pic>
                  <pic:nvPicPr>
                    <pic:cNvPr descr="LAPSE_primary_publication_files/figure-docx/fig-sankey-federal-1.png" id="22" name="Picture"/>
                    <pic:cNvPicPr>
                      <a:picLocks noChangeArrowheads="1" noChangeAspect="1"/>
                    </pic:cNvPicPr>
                  </pic:nvPicPr>
                  <pic:blipFill>
                    <a:blip r:embed="rId20"/>
                    <a:stretch>
                      <a:fillRect/>
                    </a:stretch>
                  </pic:blipFill>
                  <pic:spPr bwMode="auto">
                    <a:xfrm>
                      <a:off x="0" y="0"/>
                      <a:ext cx="5943600" cy="4953000"/>
                    </a:xfrm>
                    <a:prstGeom prst="rect">
                      <a:avLst/>
                    </a:prstGeom>
                    <a:noFill/>
                    <a:ln w="9525">
                      <a:noFill/>
                      <a:headEnd/>
                      <a:tailEnd/>
                    </a:ln>
                  </pic:spPr>
                </pic:pic>
              </a:graphicData>
            </a:graphic>
          </wp:inline>
        </w:drawing>
      </w:r>
    </w:p>
    <w:p>
      <w:pPr>
        <w:pStyle w:val="ImageCaption"/>
      </w:pPr>
      <w:bookmarkStart w:id="23" w:name="fig:fig-sankey-federal"/>
      <w:bookmarkEnd w:id="23"/>
      <w:r>
        <w:t xml:space="preserve">Figure 1: Federal jurisdiction: Legislation to Agency relationships. Sections proportionally attributed across responsible agencies.</w:t>
      </w:r>
    </w:p>
    <w:p>
      <w:pPr>
        <w:pStyle w:val="CaptionedFigure"/>
      </w:pPr>
      <w:r>
        <w:drawing>
          <wp:inline>
            <wp:extent cx="5943600" cy="5094514"/>
            <wp:effectExtent b="0" l="0" r="0" t="0"/>
            <wp:docPr descr="Figure 2: Provincial jurisdiction: Legislation to Agency relationships. Sections proportionally attributed across responsible agencies." title="" id="25" name="Picture"/>
            <a:graphic>
              <a:graphicData uri="http://schemas.openxmlformats.org/drawingml/2006/picture">
                <pic:pic>
                  <pic:nvPicPr>
                    <pic:cNvPr descr="LAPSE_primary_publication_files/figure-docx/fig-sankey-provincial-1.png" id="26" name="Picture"/>
                    <pic:cNvPicPr>
                      <a:picLocks noChangeArrowheads="1" noChangeAspect="1"/>
                    </pic:cNvPicPr>
                  </pic:nvPicPr>
                  <pic:blipFill>
                    <a:blip r:embed="rId24"/>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27" w:name="fig:fig-sankey-provincial"/>
      <w:bookmarkEnd w:id="27"/>
      <w:r>
        <w:t xml:space="preserve">Figure 2: Provincial jurisdiction: Legislation to Agency relationships. Sections proportionally attributed across responsible agencies.</w:t>
      </w:r>
    </w:p>
    <w:p>
      <w:pPr>
        <w:pStyle w:val="BodyText"/>
      </w:pPr>
      <w:r>
        <w:rPr>
          <w:b/>
          <w:bCs/>
        </w:rPr>
        <w:t xml:space="preserve">&lt;need to format these charts better. Overlapping font. Maybe side-by-side charts? Or just one chart as an example?&gt;</w:t>
      </w:r>
    </w:p>
    <w:p>
      <w:pPr>
        <w:pStyle w:val="BodyText"/>
      </w:pPr>
      <w:r>
        <w:t xml:space="preserve">Acts and regulations in British Columbia might be designed to address one broad category of human activity, but this activity can cover many aspects of salmon management. For example, the provincial</w:t>
      </w:r>
      <w:r>
        <w:t xml:space="preserve"> </w:t>
      </w:r>
      <w:r>
        <w:rPr>
          <w:i/>
          <w:iCs/>
        </w:rPr>
        <w:t xml:space="preserve">Forest and Range Practices Act</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 from road infrastructure, and the spread of invasive species.</w:t>
      </w:r>
    </w:p>
    <w:p>
      <w:pPr>
        <w:pStyle w:val="BodyText"/>
      </w:pPr>
      <w:r>
        <w:t xml:space="preserve">Projects that influence environmental factors can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8"/>
    <w:bookmarkStart w:id="29" w:name="salmon-populations-at-risk"/>
    <w:p>
      <w:pPr>
        <w:pStyle w:val="Heading1"/>
      </w:pPr>
      <w:r>
        <w:t xml:space="preserve">Salmon populations at risk</w:t>
      </w:r>
    </w:p>
    <w:p>
      <w:pPr>
        <w:pStyle w:val="FirstParagraph"/>
      </w:pPr>
      <w:r>
        <w:t xml:space="preserve">Despite considerable financial investment in salmon conservation and habitat restoration programs, as well as, the revision of management frameworks (e.g. </w:t>
      </w:r>
      <w:r>
        <w:rPr>
          <w:i/>
          <w:iCs/>
        </w:rPr>
        <w:t xml:space="preserve">Canada’s Policy for Conservation of Wild Pacific Salmon</w:t>
      </w:r>
      <w:r>
        <w:t xml:space="preserve">), Pacific salmon populations continue to decline in British Columbia, and the number of populations monitored continues to drop</w:t>
      </w:r>
      <w:r>
        <w:t xml:space="preserve"> </w:t>
      </w:r>
      <w:r>
        <w:t xml:space="preserve">(Bisson et al. 2009; Price et al. 2017)</w:t>
      </w:r>
      <w:r>
        <w:t xml:space="preserve">.</w:t>
      </w:r>
      <w:r>
        <w:t xml:space="preserve"> </w:t>
      </w:r>
      <w:r>
        <w:t xml:space="preserve">Price et al. (2017)</w:t>
      </w:r>
      <w:r>
        <w:t xml:space="preserve"> </w:t>
      </w:r>
      <w:r>
        <w:t xml:space="preserve">found that</w:t>
      </w:r>
      <w:r>
        <w:t xml:space="preserve"> </w:t>
      </w:r>
      <w:r>
        <w:t xml:space="preserve">“</w:t>
      </w:r>
      <w:r>
        <w:t xml:space="preserve">as of 1993, 600 of 9204 salmon runs were considered at high risk of extirpation, 63 at moderate risk, and 57 were of special concern; 105 stream populations throughout BC were documented as extirpated.</w:t>
      </w:r>
      <w:r>
        <w:t xml:space="preserve">”</w:t>
      </w:r>
      <w:r>
        <w:t xml:space="preserve"> </w:t>
      </w:r>
      <w:r>
        <w:t xml:space="preserve">Of the monitored streams along the north and central coast, ninety-six percent consistently fell below escapement targets (adults returning to spawn) from 1950 to 2005</w:t>
      </w:r>
      <w:r>
        <w:t xml:space="preserve"> </w:t>
      </w:r>
      <w:r>
        <w:t xml:space="preserve">(Price et al. 2017)</w:t>
      </w:r>
      <w:r>
        <w:t xml:space="preserve">. While difficult to pinpoint a single cause, the decline of salmon populations and habitat capacity is recognized as a consequence of human activity, especially the loss or degradation of freshwater habitat</w:t>
      </w:r>
      <w:r>
        <w:t xml:space="preserve"> </w:t>
      </w:r>
      <w:r>
        <w:t xml:space="preserve">(Bisson et al. 2009)</w:t>
      </w:r>
      <w:r>
        <w:t xml:space="preserve">; however, industrial development and urbanization continues to spread and compound within watersheds.</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p>
      <w:pPr>
        <w:pStyle w:val="BodyText"/>
      </w:pPr>
      <w:r>
        <w:rPr>
          <w:b/>
          <w:bCs/>
        </w:rPr>
        <w:t xml:space="preserve">&lt;Include Atkinson 2025 study on monitoring declines&gt;</w:t>
      </w:r>
    </w:p>
    <w:bookmarkEnd w:id="29"/>
    <w:bookmarkStart w:id="30" w:name="X57d7d8d53ff4272e7fbbbbb35544d9a3ac5bd2f"/>
    <w:p>
      <w:pPr>
        <w:pStyle w:val="Heading1"/>
      </w:pPr>
      <w:r>
        <w:t xml:space="preserve">Salmon life cycle complexities and management shortcomings</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 This patchwork of authority is prominent in Pacific salmon management due to the complicated geographic nature of the salmon anadromous life cycle, spanning a variety of freshwater and marine ecosystems coast-wide and across international boundaries. The sustainable stewardship of salmon populations relies on their ability to access a variety of watercourses with connectivity between habitats</w:t>
      </w:r>
      <w:r>
        <w:t xml:space="preserve"> </w:t>
      </w:r>
      <w:r>
        <w:t xml:space="preserve">(Carlson and Baylis 2022)</w:t>
      </w:r>
      <w:r>
        <w:t xml:space="preserve"> </w:t>
      </w:r>
      <w:r>
        <w:t xml:space="preserve">including ephemeral habitats, which are important for fry and juvenile rearing</w:t>
      </w:r>
      <w:r>
        <w:t xml:space="preserve"> </w:t>
      </w:r>
      <w:r>
        <w:t xml:space="preserve">(Dionne 2023)</w:t>
      </w:r>
      <w:r>
        <w:t xml:space="preserve">.</w:t>
      </w:r>
    </w:p>
    <w:p>
      <w:pPr>
        <w:pStyle w:val="BodyText"/>
      </w:pPr>
      <w:r>
        <w:t xml:space="preserve">Nearly all salmon populations utilize watersheds with multiple ownership, which creates inconsistent regulation and a patchwork of disconnected critical habitat</w:t>
      </w:r>
      <w:r>
        <w:t xml:space="preserve"> </w:t>
      </w:r>
      <w:r>
        <w:t xml:space="preserve">(Bisson et al. 2009)</w:t>
      </w:r>
      <w:r>
        <w:t xml:space="preserve">. Freshwater habitat in terms of water quantity (discharge and timing) and water quality (temperature and chemistry) are impacted by actions and conditions throughout the entire watershed. Changes in freshwater habitat affects that habitat use timing by salmon and subsequently the salmon life cycle. For example, British Columbia coastal streams with rain-dominated hydrology generally produce ocean-type Chinook salmon (migrate to the ocean within their first year), while snow-dominated interior watersheds produce stream-type Chinook who overwinter in freshwater for one year or more</w:t>
      </w:r>
      <w:r>
        <w:t xml:space="preserve"> </w:t>
      </w:r>
      <w:r>
        <w:t xml:space="preserve">(Dionne 2023)</w:t>
      </w:r>
      <w:r>
        <w:t xml:space="preserve">. Governance over any land use process throughout most watersheds in British Columbia has an impact on salmon population production, habitat capacity, and corresponding long-term food security for British Columbian communities.</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management styles lacking a broader overseer or responsible agency across the entire salmon life cycle.</w:t>
      </w:r>
    </w:p>
    <w:bookmarkEnd w:id="30"/>
    <w:bookmarkStart w:id="31" w:name="Xf99c42c3166c79d6e14b14d7da12046c07a47b6"/>
    <w:p>
      <w:pPr>
        <w:pStyle w:val="Heading1"/>
      </w:pPr>
      <w:r>
        <w:t xml:space="preserve">Why study salmon legislation: purpose and objectives</w:t>
      </w:r>
    </w:p>
    <w:p>
      <w:pPr>
        <w:pStyle w:val="FirstParagraph"/>
      </w:pPr>
      <w:r>
        <w:t xml:space="preserve">The need for collaborative, transparent decision-making in Pacific salmon management is recognized throughout policies, plans, and initiatives, such as the PSSI and the WSP. Successful conservation and rebuilding of Pacific salmon populations therefore requires coordination of activities across regulatory frameworks. However, such coordination requires adequate organizational capacity and systems for effective implementation to ensure that regulatory controls and mitigation activities address underlying threats that reduce salmon population productivity and limit habitat capacity. Creating an interface between legislative language and salmon biological and ecological components can make regulations more accessible and understandable to practitioners, while providing a framework to support systematic and critical reviews of strengths and shortcomings of regulations with respect to salmon threats.</w:t>
      </w:r>
    </w:p>
    <w:p>
      <w:pPr>
        <w:pStyle w:val="BodyText"/>
      </w:pPr>
      <w:r>
        <w:t xml:space="preserve">The overall goal of this effort was to outline a framework and process to better understand the legislative context that governs Pacific salmon in British Columbia related to human activities across jurisdictions. To achieve this, the more specific objectives were to: 1) categorize specific legislation by anthropogenic threats to Pacific salmon; 2) assess legislative factors by threat categorization; and 3) assess threats in a current salmon management context. To better categorize legislation aligned with salmon threats and create an interface between biological management and the regulatory context, this study defined discrete areas of administrative responsibility for Pacific salmon as</w:t>
      </w:r>
      <w:r>
        <w:t xml:space="preserve"> </w:t>
      </w:r>
      <w:r>
        <w:t xml:space="preserve">“</w:t>
      </w:r>
      <w:r>
        <w:t xml:space="preserve">management domains.</w:t>
      </w:r>
      <w:r>
        <w:t xml:space="preserve">”</w:t>
      </w:r>
    </w:p>
    <w:bookmarkEnd w:id="31"/>
    <w:bookmarkStart w:id="36" w:name="X06bc8cf00ca5baea230857c3fdd1788ec12acc8"/>
    <w:p>
      <w:pPr>
        <w:pStyle w:val="Heading1"/>
      </w:pPr>
      <w:r>
        <w:t xml:space="preserve">International Union for Conservation of Nature (IUCN) threat categories</w:t>
      </w:r>
    </w:p>
    <w:p>
      <w:pPr>
        <w:pStyle w:val="FirstParagraph"/>
      </w:pPr>
      <w:r>
        <w:t xml:space="preserve">Management decisions and activities related to salmon are often in response to identifiable threats to salmon health and population status. Legislated recovery planning also relies on a description of identified threats</w:t>
      </w:r>
      <w:r>
        <w:t xml:space="preserve"> </w:t>
      </w:r>
      <w:r>
        <w:t xml:space="preserve">(McCune et al. 2013)</w:t>
      </w:r>
      <w:r>
        <w:t xml:space="preserve">. Human systems can be categorized as direct threats to biodiversity more specifically for conservation strategies</w:t>
      </w:r>
      <w:r>
        <w:t xml:space="preserve"> </w:t>
      </w:r>
      <w:r>
        <w:t xml:space="preserve">(Salafsky et al. 2008)</w:t>
      </w:r>
      <w:r>
        <w:t xml:space="preserve">. 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has developed a hierarchical grouping of threats used globally by conservation practitioners. IUCN direct threat categories are widely used to assess threats as part of IUCN red list assessments, as well as, in status assessments for Pacific salmon populations conducted by the</w:t>
      </w:r>
      <w:r>
        <w:t xml:space="preserve"> </w:t>
      </w:r>
      <w:r>
        <w:rPr>
          <w:i/>
          <w:iCs/>
        </w:rPr>
        <w:t xml:space="preserve">Committee for the Status of Endangered Wildlife in Canada</w:t>
      </w:r>
      <w:r>
        <w:t xml:space="preserve"> </w:t>
      </w:r>
      <w:r>
        <w:t xml:space="preserve">(COSEWIC). For this study, the</w:t>
      </w:r>
      <w:r>
        <w:t xml:space="preserve"> </w:t>
      </w:r>
      <w:r>
        <w:rPr>
          <w:i/>
          <w:iCs/>
        </w:rPr>
        <w:t xml:space="preserve">IUCN - CMP Direct Threats Classification 4.0</w:t>
      </w:r>
      <w:r>
        <w:t xml:space="preserve"> </w:t>
      </w:r>
      <w:r>
        <w:t xml:space="preserve">(Salafsky et al. 2025)</w:t>
      </w:r>
      <w:r>
        <w:t xml:space="preserve"> </w:t>
      </w:r>
      <w:r>
        <w:t xml:space="preserve">was used to categorize legislation by direct threats to salmon conservation. Level 2 threat classification was used as the finest resolution that could be applied consistently.</w:t>
      </w:r>
    </w:p>
    <w:p>
      <w:pPr>
        <w:pStyle w:val="BodyText"/>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We developed management domain categories through this study as a clearer and more comprehensive alignment between regulatory administrative concern and conservation threat categories (Figure</w:t>
      </w:r>
      <w:r>
        <w:t xml:space="preserve"> </w:t>
      </w:r>
      <w:r>
        <w:t xml:space="preserve">3</w:t>
      </w:r>
      <w:r>
        <w:t xml:space="preserve">).</w:t>
      </w:r>
    </w:p>
    <w:p>
      <w:pPr>
        <w:pStyle w:val="CaptionedFigure"/>
      </w:pPr>
      <w:r>
        <w:drawing>
          <wp:inline>
            <wp:extent cx="5943600" cy="3343275"/>
            <wp:effectExtent b="0" l="0" r="0" t="0"/>
            <wp:docPr descr="Figure 3: Flowchart showing alignment of IUCN Level 2 threat categories with Management Domain in relation to legislation and jurisdiction." title="" id="33" name="Picture"/>
            <a:graphic>
              <a:graphicData uri="http://schemas.openxmlformats.org/drawingml/2006/picture">
                <pic:pic>
                  <pic:nvPicPr>
                    <pic:cNvPr descr="../assets/Management%20Domain%20Flowchart.png" id="34" name="Picture"/>
                    <pic:cNvPicPr>
                      <a:picLocks noChangeArrowheads="1" noChangeAspect="1"/>
                    </pic:cNvPicPr>
                  </pic:nvPicPr>
                  <pic:blipFill>
                    <a:blip r:embed="rId3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35" w:name="fig:fig-flowchart-image"/>
      <w:bookmarkEnd w:id="35"/>
      <w:r>
        <w:t xml:space="preserve">Figure 3: Flowchart showing alignment of IUCN Level 2 threat categories with Management Domain in relation to legislation and jurisdiction.</w:t>
      </w:r>
    </w:p>
    <w:bookmarkEnd w:id="36"/>
    <w:bookmarkStart w:id="46" w:name="a-process-for-clause-categorization"/>
    <w:p>
      <w:pPr>
        <w:pStyle w:val="Heading1"/>
      </w:pPr>
      <w:r>
        <w:t xml:space="preserve">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Other researchers may repeat this process as future legislation and language changes. The process steps are: accumulate and review legislation (CanLii); parse legislation by clause (paragraph), section, and heading (R); match management domain and IUCN threat keywords to clauses (R); assign salmon-specific scope catgories (R); match clause type keywords to clauses (R).</w:t>
      </w:r>
    </w:p>
    <w:bookmarkStart w:id="38" w:name="legislation-accumulation-and-review"/>
    <w:p>
      <w:pPr>
        <w:pStyle w:val="Heading2"/>
      </w:pPr>
      <w:r>
        <w:t xml:space="preserve">Legislation accumulation and review</w:t>
      </w:r>
    </w:p>
    <w:p>
      <w:pPr>
        <w:pStyle w:val="FirstParagraph"/>
      </w:pPr>
      <w:r>
        <w:t xml:space="preserve">We accumulated Canadian federal and British Columbian provincial legislation according to their relevance to salmon and habitat management. For this study, the term legislation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itself is a better indicator of a jurisdiction’s long-term commitment to natural resource stewardship</w:t>
      </w:r>
      <w:r>
        <w:t xml:space="preserve"> </w:t>
      </w:r>
      <w:r>
        <w:t xml:space="preserve">(Bogetti and Mason 2025)</w:t>
      </w:r>
      <w:r>
        <w:t xml:space="preserve"> </w:t>
      </w:r>
      <w:r>
        <w:t xml:space="preserve">because these policies are more prone to changes in the political, administrative, and budgetary landscape without due process or a parliamentary vote. Specific departmental policy frameworks and processes were not assessed within this exercise.</w:t>
      </w:r>
    </w:p>
    <w:p>
      <w:pPr>
        <w:pStyle w:val="BodyText"/>
      </w:pPr>
      <w:r>
        <w:t xml:space="preserve">Indigenous legislation, Yukon Territorial legislation, municipal bylaws, and international conventions were also not included explicitly. Although this other legislation is pivotal in the management of Pacific salmon, this regionally diverse administration was outside the scope of this legislative review in terms of feasibility and timelines.</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Pacific salmon specific terms (salmon, Chinook, sockeye, etc.); extract other keywords from the salmon-specific legislation (word frequency analysis using udpipe R package); query found keywords and IUCN Threat description wording in CanLII to find adjacent legislation; filter legislation regionally (excluding provinces other than BC); and download HTML files for relevant legislation directly from government websites</w:t>
      </w:r>
    </w:p>
    <w:p>
      <w:pPr>
        <w:pStyle w:val="BodyText"/>
      </w:pPr>
      <w:r>
        <w:t xml:space="preserve">Through the CanLII website, the user may look up the keywords queried in each statute chosen. This allows the user to quickly assess the context of the word in the legislation and determine if the section is relevant to Pacific salmon. The number of statutes collected for inclusion in this study is shown in Table</w:t>
      </w:r>
      <w:r>
        <w:t xml:space="preserve"> </w:t>
      </w:r>
      <w:r>
        <w:t xml:space="preserve">1</w:t>
      </w:r>
      <w:r>
        <w:t xml:space="preserve">.</w:t>
      </w:r>
    </w:p>
    <w:p>
      <w:pPr>
        <w:pStyle w:val="TableCaption"/>
      </w:pPr>
      <w:bookmarkStart w:id="37" w:name="tab:legislation-summary-table"/>
      <w:bookmarkEnd w:id="37"/>
      <w:r>
        <w:t xml:space="preserve">Table 1:</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bookmarkEnd w:id="38"/>
    <w:bookmarkStart w:id="43" w:name="legistics-parsing-legislation"/>
    <w:p>
      <w:pPr>
        <w:pStyle w:val="Heading2"/>
      </w:pPr>
      <w:r>
        <w:t xml:space="preserve">Legistics: parsing legislation</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Fisheries Act (federal) examples of paragraph parsing from HTML code." title="" id="40" name="Picture"/>
            <a:graphic>
              <a:graphicData uri="http://schemas.openxmlformats.org/drawingml/2006/picture">
                <pic:pic>
                  <pic:nvPicPr>
                    <pic:cNvPr descr="../assets/Legistics%20Paragraphing.png" id="41" name="Picture"/>
                    <pic:cNvPicPr>
                      <a:picLocks noChangeArrowheads="1" noChangeAspect="1"/>
                    </pic:cNvPicPr>
                  </pic:nvPicPr>
                  <pic:blipFill>
                    <a:blip r:embed="rId39"/>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2" w:name="fig:fig-legistics-paragraphing"/>
      <w:bookmarkEnd w:id="42"/>
      <w:r>
        <w:t xml:space="preserve">Figure 4: Fisheries Act (federal) examples of paragraph parsing from HTML code.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bookmarkEnd w:id="43"/>
    <w:bookmarkStart w:id="44" w:name="compendium-development"/>
    <w:p>
      <w:pPr>
        <w:pStyle w:val="Heading2"/>
      </w:pPr>
      <w:r>
        <w:t xml:space="preserve">Compendium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4"/>
    <w:bookmarkStart w:id="45" w:name="keyword-and-keyphrase-development"/>
    <w:p>
      <w:pPr>
        <w:pStyle w:val="Heading2"/>
      </w:pPr>
      <w:r>
        <w:t xml:space="preserve">Keyword and keyphrase development</w:t>
      </w:r>
    </w:p>
    <w:p>
      <w:pPr>
        <w:pStyle w:val="FirstParagraph"/>
      </w:pPr>
      <w:r>
        <w:t xml:space="preserve">The management domain and IUCN threat matching process pivoted around an established list of keywords and phrases relevant to Pacific salmon management. Keywords act as the language link between categorization and the legislative clauses. Keywords must be specific enough to match an IUCN threat, yet general enough to appear in multiple acts and regulations that span many decades of legislative language.</w:t>
      </w:r>
    </w:p>
    <w:p>
      <w:pPr>
        <w:pStyle w:val="BodyText"/>
      </w:pPr>
      <w:r>
        <w:t xml:space="preserve">We derived keyword lists from the IUCN - CMP Direct Threats Classification 4.0 examples and definitions; word frequency analyses (unigrams, bigrams, and trigrams) of collected legislation; and iterative researcher input and revision. The keyword and keyphrase development process required an iterative researcher revision step because of the varied context of language. While the words used in the IUCN threat definitions may be specific to those threats, they may not be relevant to salmon management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Much of the collected legislation deals with pollution, in which landfills are mentioned. However, for salmon habitat, the threat would come from water effluent,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management in British Columbia, yet that word doesn’t appear in the IUCN threat examples or word frequency analyses.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pStyle w:val="BodyText"/>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management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p>
      <w:pPr>
        <w:pStyle w:val="BodyText"/>
      </w:pPr>
      <w:r>
        <w:rPr>
          <w:b/>
          <w:bCs/>
        </w:rPr>
        <w:t xml:space="preserve">&lt;The number of statutes per se is not generally indicative of overall quality or potential effectiveness of any legal framework</w:t>
      </w:r>
      <w:r>
        <w:rPr>
          <w:b/>
          <w:bCs/>
        </w:rPr>
        <w:t xml:space="preserve"> </w:t>
      </w:r>
      <w:r>
        <w:rPr>
          <w:b/>
          <w:bCs/>
        </w:rPr>
        <w:t xml:space="preserve">(Ray et al. 2021)</w:t>
      </w:r>
      <w:r>
        <w:rPr>
          <w:b/>
          <w:bCs/>
        </w:rPr>
        <w:t xml:space="preserve">&gt;</w:t>
      </w:r>
    </w:p>
    <w:bookmarkEnd w:id="45"/>
    <w:bookmarkEnd w:id="46"/>
    <w:bookmarkStart w:id="67" w:name="X21d2b709a3b2e27437c410286f2936ef3517541"/>
    <w:p>
      <w:pPr>
        <w:pStyle w:val="Heading1"/>
      </w:pPr>
      <w:r>
        <w:t xml:space="preserve">Management domains and the LAPSE framework</w:t>
      </w:r>
    </w:p>
    <w:p>
      <w:pPr>
        <w:pStyle w:val="FirstParagraph"/>
      </w:pPr>
      <w:r>
        <w:t xml:space="preserve">Management domains represent a reframing of multi-jurisdictional issues by salmon management concern rather than specific agency. This tool can then be used by practitioners to view binding legislation when considering actions or proposals. Using the IUCN-CMP Direct Threats Classification 4.0, and other broader categories identified through this exercise process, the following management domains were identified (Table</w:t>
      </w:r>
      <w:r>
        <w:t xml:space="preserve"> </w:t>
      </w:r>
      <w:r>
        <w:t xml:space="preserve">2</w:t>
      </w:r>
      <w:r>
        <w:t xml:space="preserve">)</w:t>
      </w:r>
    </w:p>
    <w:p>
      <w:pPr>
        <w:pStyle w:val="TableCaption"/>
      </w:pPr>
      <w:bookmarkStart w:id="47" w:name="tab:management-domain-tally"/>
      <w:bookmarkEnd w:id="47"/>
      <w:r>
        <w:t xml:space="preserve">Table 2:</w:t>
      </w:r>
      <w:r>
        <w:t xml:space="preserve"> </w:t>
      </w:r>
      <w:r>
        <w:t xml:space="preserve">Count of statutes, sections, and clauses by management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825"/>
        <w:gridCol w:w="1279"/>
        <w:gridCol w:w="1328"/>
        <w:gridCol w:w="1254"/>
      </w:tblGrid>
      <w:tr>
        <w:trPr>
          <w:trHeight w:val="6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r>
      <w:tr>
        <w:trPr>
          <w:trHeight w:val="60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2,844</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1,273</w:t>
            </w:r>
          </w:p>
        </w:tc>
      </w:tr>
      <w:tr>
        <w:trPr>
          <w:trHeight w:val="60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4,004</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985</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w:t>
            </w:r>
          </w:p>
        </w:tc>
      </w:tr>
      <w:tr>
        <w:trPr>
          <w:trHeight w:val="60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7,611</w:t>
            </w:r>
          </w:p>
        </w:tc>
      </w:tr>
      <w:tr>
        <w:trPr>
          <w:trHeight w:val="5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978</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7,151</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787</w:t>
            </w:r>
          </w:p>
        </w:tc>
      </w:tr>
      <w:tr>
        <w:trPr>
          <w:trHeight w:val="61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973</w:t>
            </w:r>
          </w:p>
        </w:tc>
      </w:tr>
      <w:tr>
        <w:trPr>
          <w:trHeight w:val="60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4,099</w:t>
            </w:r>
          </w:p>
        </w:tc>
      </w:tr>
      <w:tr>
        <w:trPr>
          <w:trHeight w:val="604"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9,468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32,378</w:t>
            </w:r>
          </w:p>
        </w:tc>
      </w:tr>
    </w:tbl>
    <w:p>
      <w:pPr>
        <w:pStyle w:val="BodyText"/>
      </w:pPr>
      <w:r>
        <w:t xml:space="preserve">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(research 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aptionedFigure"/>
      </w:pPr>
      <w:r>
        <w:drawing>
          <wp:inline>
            <wp:extent cx="5943600" cy="4457699"/>
            <wp:effectExtent b="0" l="0" r="0" t="0"/>
            <wp:docPr descr="Figure 5: Count of sections matched by management domain, stacked by jurisdiction." title="" id="49" name="Picture"/>
            <a:graphic>
              <a:graphicData uri="http://schemas.openxmlformats.org/drawingml/2006/picture">
                <pic:pic>
                  <pic:nvPicPr>
                    <pic:cNvPr descr="LAPSE_primary_publication_files/figure-docx/section-count-by-management-domain-1.png" id="50" name="Picture"/>
                    <pic:cNvPicPr>
                      <a:picLocks noChangeArrowheads="1" noChangeAspect="1"/>
                    </pic:cNvPicPr>
                  </pic:nvPicPr>
                  <pic:blipFill>
                    <a:blip r:embed="rId48"/>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1" w:name="fig:section-count-by-management-domain"/>
      <w:bookmarkEnd w:id="51"/>
      <w:r>
        <w:t xml:space="preserve">Figure 5: Count of sections matched by management domain, stacked by jurisdiction.</w:t>
      </w:r>
    </w:p>
    <w:bookmarkStart w:id="56" w:name="iucn-level-2-categories"/>
    <w:p>
      <w:pPr>
        <w:pStyle w:val="Heading2"/>
      </w:pPr>
      <w:r>
        <w:t xml:space="preserve">IUCN Level 2 categories</w:t>
      </w:r>
    </w:p>
    <w:p>
      <w:pPr>
        <w:pStyle w:val="FirstParagraph"/>
      </w:pPr>
      <w:r>
        <w:t xml:space="preserve">IUCN Level 2 categories are more specific, and the categorization process matched to 25 categories (</w:t>
      </w:r>
      <w:r>
        <w:t xml:space="preserve">6</w:t>
      </w:r>
      <w:r>
        <w:t xml:space="preserve">) that parallel the management domain categories. Multiple IUCN threats comprise a management domain; however Water-Borne &amp; Other Effluent Pollution (9.1) matched with the highest number of sections (as in the management domains) followed by Fishing, Harvesting &amp; Controlling Aquatic Species (5.4). Eight IUCN threat categories make up the Water Use and Watercourse Modifications management domain, but Dams &amp; Water Management / Use (7.2) has the majority of matches.</w:t>
      </w:r>
    </w:p>
    <w:p>
      <w:pPr>
        <w:pStyle w:val="CaptionedFigure"/>
      </w:pPr>
      <w:r>
        <w:drawing>
          <wp:inline>
            <wp:extent cx="5943600" cy="4754880"/>
            <wp:effectExtent b="0" l="0" r="0" t="0"/>
            <wp:docPr descr="Figure 6: Section counts by IUCN threat category, separated by jurisdiction." title="" id="53" name="Picture"/>
            <a:graphic>
              <a:graphicData uri="http://schemas.openxmlformats.org/drawingml/2006/picture">
                <pic:pic>
                  <pic:nvPicPr>
                    <pic:cNvPr descr="LAPSE_primary_publication_files/figure-docx/fig-section-count-by-iucn-1.png" id="54" name="Picture"/>
                    <pic:cNvPicPr>
                      <a:picLocks noChangeArrowheads="1" noChangeAspect="1"/>
                    </pic:cNvPicPr>
                  </pic:nvPicPr>
                  <pic:blipFill>
                    <a:blip r:embed="rId5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5" w:name="fig:fig-section-count-by-iucn"/>
      <w:bookmarkEnd w:id="55"/>
      <w:r>
        <w:t xml:space="preserve">Figure 6: Section counts by IUCN threat category, separated by jurisdiction.</w:t>
      </w:r>
    </w:p>
    <w:bookmarkEnd w:id="56"/>
    <w:bookmarkStart w:id="66" w:name="salmon-specific-scope"/>
    <w:p>
      <w:pPr>
        <w:pStyle w:val="Heading2"/>
      </w:pPr>
      <w:r>
        <w:t xml:space="preserve">Salmon-specific scope</w:t>
      </w:r>
    </w:p>
    <w:p>
      <w:pPr>
        <w:pStyle w:val="FirstParagraph"/>
      </w:pPr>
      <w:r>
        <w:t xml:space="preserve">Regulatory language that can be matched to management domain and IUCN threat categories is not inherently relevant to Pacific salmon. However, clauses fall within a relevance spectrum. For example, a clause that states catch limits for Chinook salmon would be much more specific to salmon management than a clause that states that a minister shall include ecological integrity objectives in a park management plan. Both clauses influence salmon governance and management,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language used in the section (Figure</w:t>
      </w:r>
      <w:r>
        <w:t xml:space="preserve"> </w:t>
      </w:r>
      <w:r>
        <w:t xml:space="preserve">7</w:t>
      </w:r>
      <w:r>
        <w:t xml:space="preserve">). The scope categories were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CaptionedFigure"/>
      </w:pPr>
      <w:r>
        <w:drawing>
          <wp:inline>
            <wp:extent cx="5943600" cy="5200649"/>
            <wp:effectExtent b="0" l="0" r="0" t="0"/>
            <wp:docPr descr="Figure 7: Proportion of sections by management domain, displayed as concentric rings representing scope categories (inner to outer: 1 - Salmon, 2 - Fish, 3 - Habitat, 4 - Governance)." title="" id="58" name="Picture"/>
            <a:graphic>
              <a:graphicData uri="http://schemas.openxmlformats.org/drawingml/2006/picture">
                <pic:pic>
                  <pic:nvPicPr>
                    <pic:cNvPr descr="LAPSE_primary_publication_files/figure-docx/multiscope-donut-1.png" id="59" name="Picture"/>
                    <pic:cNvPicPr>
                      <a:picLocks noChangeArrowheads="1" noChangeAspect="1"/>
                    </pic:cNvPicPr>
                  </pic:nvPicPr>
                  <pic:blipFill>
                    <a:blip r:embed="rId57"/>
                    <a:stretch>
                      <a:fillRect/>
                    </a:stretch>
                  </pic:blipFill>
                  <pic:spPr bwMode="auto">
                    <a:xfrm>
                      <a:off x="0" y="0"/>
                      <a:ext cx="5943600" cy="5200649"/>
                    </a:xfrm>
                    <a:prstGeom prst="rect">
                      <a:avLst/>
                    </a:prstGeom>
                    <a:noFill/>
                    <a:ln w="9525">
                      <a:noFill/>
                      <a:headEnd/>
                      <a:tailEnd/>
                    </a:ln>
                  </pic:spPr>
                </pic:pic>
              </a:graphicData>
            </a:graphic>
          </wp:inline>
        </w:drawing>
      </w:r>
    </w:p>
    <w:p>
      <w:pPr>
        <w:pStyle w:val="ImageCaption"/>
      </w:pPr>
      <w:bookmarkStart w:id="60" w:name="fig:multiscope-donut"/>
      <w:bookmarkEnd w:id="60"/>
      <w:r>
        <w:t xml:space="preserve">Figure 7: Proportion of sections by management domain, displayed as concentric rings representing scope categories (inner to outer: 1 - Salmon, 2 - Fish, 3 - Habitat, 4 - Governance).</w:t>
      </w:r>
    </w:p>
    <w:p>
      <w:pPr>
        <w:pStyle w:val="BodyText"/>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61" w:name="tab:scope-tally"/>
      <w:bookmarkEnd w:id="61"/>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11,364</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7,718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30,839</w:t>
            </w:r>
          </w:p>
        </w:tc>
      </w:tr>
    </w:tbl>
    <w:p>
      <w:pPr>
        <w:pStyle w:val="BodyText"/>
      </w:pPr>
      <w:r>
        <w:t xml:space="preserve">Pacific salmon-specific language (</w:t>
      </w:r>
      <w:r>
        <w:t xml:space="preserve">“</w:t>
      </w:r>
      <w:r>
        <w:t xml:space="preserve">1 - Salmon</w:t>
      </w:r>
      <w:r>
        <w:t xml:space="preserve">”</w:t>
      </w:r>
      <w:r>
        <w:t xml:space="preserve">) also matched more federal statutes (Figure</w:t>
      </w:r>
      <w:r>
        <w:t xml:space="preserve"> </w:t>
      </w:r>
      <w:r>
        <w:t xml:space="preserve">8</w:t>
      </w:r>
      <w:r>
        <w:t xml:space="preserve">, specifically, the British Columbia Sport Fishing Regulations, 1996; National Parks of Canada Fishing Regulations; and Pacific Fishery Regulations 1993.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w:t>
      </w:r>
      <w:r>
        <w:t xml:space="preserve">“</w:t>
      </w:r>
      <w:r>
        <w:t xml:space="preserve">1 - Salmon</w:t>
      </w:r>
      <w:r>
        <w:t xml:space="preserve">”</w:t>
      </w:r>
      <w:r>
        <w:t xml:space="preserve">) at all, only the regulations made under the</w:t>
      </w:r>
      <w:r>
        <w:t xml:space="preserve"> </w:t>
      </w:r>
      <w:r>
        <w:rPr>
          <w:i/>
          <w:iCs/>
        </w:rPr>
        <w:t xml:space="preserve">Fisheries Act</w:t>
      </w:r>
      <w:r>
        <w:t xml:space="preserve"> </w:t>
      </w:r>
      <w:r>
        <w:t xml:space="preserve">use salmon-specific language.</w:t>
      </w:r>
    </w:p>
    <w:p>
      <w:pPr>
        <w:pStyle w:val="CaptionedFigure"/>
      </w:pPr>
      <w:r>
        <w:drawing>
          <wp:inline>
            <wp:extent cx="5943600" cy="4457699"/>
            <wp:effectExtent b="0" l="0" r="0" t="0"/>
            <wp:docPr descr="Figure 8: Count of sections by legislation for scope category ‘1 - Salmon’, coloured by jurisdiction." title="" id="63" name="Picture"/>
            <a:graphic>
              <a:graphicData uri="http://schemas.openxmlformats.org/drawingml/2006/picture">
                <pic:pic>
                  <pic:nvPicPr>
                    <pic:cNvPr descr="LAPSE_primary_publication_files/figure-docx/section-count-salmon-scope-1.png" id="64" name="Picture"/>
                    <pic:cNvPicPr>
                      <a:picLocks noChangeArrowheads="1" noChangeAspect="1"/>
                    </pic:cNvPicPr>
                  </pic:nvPicPr>
                  <pic:blipFill>
                    <a:blip r:embed="rId62"/>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5" w:name="fig:section-count-salmon-scope"/>
      <w:bookmarkEnd w:id="65"/>
      <w:r>
        <w:t xml:space="preserve">Figure 8: Count of sections by legislation for scope category</w:t>
      </w:r>
      <w:r>
        <w:t xml:space="preserve"> </w:t>
      </w:r>
      <w:r>
        <w:t xml:space="preserve">‘</w:t>
      </w:r>
      <w:r>
        <w:t xml:space="preserve">1 - Salmon</w:t>
      </w:r>
      <w:r>
        <w:t xml:space="preserve">’</w:t>
      </w:r>
      <w:r>
        <w:t xml:space="preserve">, coloured by jurisdiction.</w:t>
      </w:r>
    </w:p>
    <w:bookmarkEnd w:id="66"/>
    <w:bookmarkEnd w:id="67"/>
    <w:bookmarkStart w:id="69" w:name="legislative-factors-clause-types"/>
    <w:p>
      <w:pPr>
        <w:pStyle w:val="Heading1"/>
      </w:pPr>
      <w:r>
        <w:t xml:space="preserve">Legislative factors: clause types</w:t>
      </w:r>
    </w:p>
    <w:p>
      <w:pPr>
        <w:pStyle w:val="FirstParagraph"/>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68" w:name="tab:clause-type-with-domain-tally"/>
      <w:bookmarkEnd w:id="68"/>
      <w:r>
        <w:t xml:space="preserve">Table 4:</w:t>
      </w:r>
      <w:r>
        <w:t xml:space="preserve"> </w:t>
      </w:r>
      <w:r>
        <w:t xml:space="preserve">Section counts by management domain and clause type. Column abbreviations: Admin. = Administration, Application, &amp; Structure; Auth. = Authorization &amp; Mandate; Desig. = Designation; Instr. = Instruction; Interp. = Interpretation &amp; Purpose; Licence = Licence, Permitting, &amp; Exemptions; Prohib. = Prohibition, Restriction, or Limitation.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3,361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1,239</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3,609</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3,227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3,474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3,015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2,898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1,702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19,164</w:t>
            </w:r>
          </w:p>
        </w:tc>
      </w:tr>
    </w:tbl>
    <w:bookmarkEnd w:id="69"/>
    <w:bookmarkStart w:id="75" w:name="X3d1f28ebf57a42a02e6321b912ef3127a66a1d5"/>
    <w:p>
      <w:pPr>
        <w:pStyle w:val="Heading1"/>
      </w:pPr>
      <w:r>
        <w:t xml:space="preserve">Recovery potential assessments (RPA) and threat ranking case studies</w:t>
      </w:r>
    </w:p>
    <w:p>
      <w:pPr>
        <w:pStyle w:val="FirstParagraph"/>
      </w:pPr>
      <w:r>
        <w:t xml:space="preserve">The</w:t>
      </w:r>
      <w:r>
        <w:t xml:space="preserve"> </w:t>
      </w:r>
      <w:r>
        <w:rPr>
          <w:i/>
          <w:iCs/>
        </w:rPr>
        <w:t xml:space="preserve">Committee on the Status of Endangered Wildlife in Canada</w:t>
      </w:r>
      <w:r>
        <w:t xml:space="preserve"> </w:t>
      </w:r>
      <w:r>
        <w:t xml:space="preserve">(COSEWIC) assesses the current status of aquatic species, including Pacific salmon stocks, as part of the</w:t>
      </w:r>
      <w:r>
        <w:t xml:space="preserve"> </w:t>
      </w:r>
      <w:r>
        <w:rPr>
          <w:i/>
          <w:iCs/>
        </w:rPr>
        <w:t xml:space="preserve">Species at Risk Act</w:t>
      </w:r>
      <w:r>
        <w:t xml:space="preserve"> </w:t>
      </w:r>
      <w:r>
        <w:t xml:space="preserve">(SARA) process</w:t>
      </w:r>
      <w:r>
        <w:t xml:space="preserve"> </w:t>
      </w:r>
      <w:r>
        <w:t xml:space="preserve">(Arbeider et al. 2020)</w:t>
      </w:r>
      <w:r>
        <w:t xml:space="preserve">. Salmon populations are grouped into genetically and ecologically distinct Diagnostic Units (DU) for the purpose of assessment. When a DU is classified as</w:t>
      </w:r>
      <w:r>
        <w:t xml:space="preserve"> </w:t>
      </w:r>
      <w:r>
        <w:t xml:space="preserve">“</w:t>
      </w:r>
      <w:r>
        <w:t xml:space="preserve">Threatened, Endangered or Extirpated</w:t>
      </w:r>
      <w:r>
        <w:t xml:space="preserve">”</w:t>
      </w:r>
      <w:r>
        <w:t xml:space="preserve">, a Recovery Potential Assessment (RPA) process is initiated, which calculates risk incorporating the same IUCN-CMP threat classification used in this legislative assessment.</w:t>
      </w:r>
    </w:p>
    <w:p>
      <w:pPr>
        <w:pStyle w:val="BodyText"/>
      </w:pPr>
      <w:r>
        <w:t xml:space="preserve">Fisheries and Oceans Canada published</w:t>
      </w:r>
      <w:r>
        <w:t xml:space="preserve"> </w:t>
      </w:r>
      <w:r>
        <w:rPr>
          <w:i/>
          <w:iCs/>
        </w:rPr>
        <w:t xml:space="preserve">Canada’s Policy for Conservation of Wild Pacific Salmon</w:t>
      </w:r>
      <w:r>
        <w:t xml:space="preserve">, or the Wild Salmon Policy (WSP), in 2005, which outlines managing salmon as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w:t>
      </w:r>
      <w:r>
        <w:t xml:space="preserve">. Since CUs are the most current unit for managing salmon in British Columbia, we incorporated CUs in this effort (Table</w:t>
      </w:r>
      <w:r>
        <w:t xml:space="preserve"> </w:t>
      </w:r>
      <w:r>
        <w:t xml:space="preserve">5</w:t>
      </w:r>
      <w:r>
        <w:t xml:space="preserve">).</w:t>
      </w:r>
    </w:p>
    <w:p>
      <w:pPr>
        <w:pStyle w:val="TableCaption"/>
      </w:pPr>
      <w:bookmarkStart w:id="70" w:name="tab:cu-species-cu-name-table"/>
      <w:bookmarkEnd w:id="70"/>
      <w:r>
        <w:t xml:space="preserve">Table 5:</w:t>
      </w:r>
      <w:r>
        <w:t xml:space="preserve"> </w:t>
      </w:r>
      <w:r>
        <w:t xml:space="preserve">Conservation Units included in the COSEWIC Recovery Potential Assessment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BOUNDARY BAY_FA_0.3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RIVER-UPPER PITT_SU_1.3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RIVER_FA_0.3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RIVER_SU_1.3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THOMPSON_SP_1.2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MARIA SLOUGH_SU_0.3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RIVER-PORTAGE_FA_1.3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FRASER-FRASER CANYON_SP_1.3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THOMPSON_SP_1.3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THOMPSON_SU_1.3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OKANAGAN_0.X</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THOMPSON_SU_1.3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FRASER CANYON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BOWRON-EARLY SUMMER TIMING</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CULTUS-LATE TIMING</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HARRISON-UPSTREAM MIGRATING-LATE TIMING</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BARRIERE-EARLY SUMMER TIMING</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QUESNEL-SUMMER TIMING</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SETON-LATE TIMING</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TAKLA/TREMBLEUR/STUART-SUMMER TIMING</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TASEKO-EARLY SUMMER TIMING</w:t>
            </w:r>
          </w:p>
        </w:tc>
      </w:tr>
      <w:tr>
        <w:trPr>
          <w:trHeight w:val="360" w:hRule="auto"/>
        </w:trPr>
        body31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w:t>
            </w:r>
          </w:p>
        </w:tc>
      </w:tr>
    </w:tbl>
    <w:p>
      <w:pPr>
        <w:pStyle w:val="BodyText"/>
      </w:pPr>
      <w:r>
        <w:t xml:space="preserve">Twenty-seven Conservation Units (CU) were included in this exercise, having been assessed through the COSEWIC Recovery Potential Assessment (RPA) process. RPAs used the same IUCN threat categories for assessment ranked from low to extreme by CU. Figure 9 shows the aggregate of the rankings regardless of threat, but stacked by species. More CUs had IUCN threats ranked from negligible to low while a few CUs had extreme to high rankings, specifically for Chinook and lake type sockeye.</w:t>
      </w:r>
    </w:p>
    <w:p>
      <w:pPr>
        <w:pStyle w:val="BodyText"/>
      </w:pPr>
      <w:r>
        <w:t xml:space="preserve">The RPA process identified two IUCN threat categories as being extreme or extreme-high ranking. Geological Events (10.1) received an extreme ranking, and Dams &amp; Water Management / Use (7.2) received an extreme-high ranking (Figure 10). Appendices IV and V of this report use these categories as case studies to demonstrate how the use of the LAPSE tool framework can identify relevant legislation.</w:t>
      </w:r>
    </w:p>
    <w:p>
      <w:pPr>
        <w:pStyle w:val="CaptionedFigure"/>
      </w:pPr>
      <w:r>
        <w:drawing>
          <wp:inline>
            <wp:extent cx="5943600" cy="4457699"/>
            <wp:effectExtent b="0" l="0" r="0" t="0"/>
            <wp:docPr descr="Figure 9: Conservation Unit count across IUCN threat categories and RPA threat rankings. Darker cells indicate more Conservation Units assessed at that threat level." title="" id="72" name="Picture"/>
            <a:graphic>
              <a:graphicData uri="http://schemas.openxmlformats.org/drawingml/2006/picture">
                <pic:pic>
                  <pic:nvPicPr>
                    <pic:cNvPr descr="LAPSE_primary_publication_files/figure-docx/cu-ranking-heatmap-1.png" id="73" name="Picture"/>
                    <pic:cNvPicPr>
                      <a:picLocks noChangeArrowheads="1" noChangeAspect="1"/>
                    </pic:cNvPicPr>
                  </pic:nvPicPr>
                  <pic:blipFill>
                    <a:blip r:embed="rId71"/>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4" w:name="fig:cu-ranking-heatmap"/>
      <w:bookmarkEnd w:id="74"/>
      <w:r>
        <w:t xml:space="preserve">Figure 9: Conservation Unit count across IUCN threat categories and RPA threat rankings. Darker cells indicate more Conservation Units assessed at that threat level.</w:t>
      </w:r>
    </w:p>
    <w:p>
      <w:pPr>
        <w:pStyle w:val="BodyText"/>
      </w:pPr>
      <w:r>
        <w:t xml:space="preserve">IUCN 10.1 Geological events</w:t>
      </w:r>
    </w:p>
    <w:p>
      <w:pPr>
        <w:pStyle w:val="BodyText"/>
      </w:pPr>
      <w:r>
        <w:t xml:space="preserve">• Big bar slide</w:t>
      </w:r>
    </w:p>
    <w:p>
      <w:pPr>
        <w:pStyle w:val="BodyText"/>
      </w:pPr>
      <w:r>
        <w:t xml:space="preserve">• The most relevant legislation and why</w:t>
      </w:r>
    </w:p>
    <w:p>
      <w:pPr>
        <w:pStyle w:val="BodyText"/>
      </w:pPr>
      <w:r>
        <w:t xml:space="preserve">• A summary of clause types</w:t>
      </w:r>
    </w:p>
    <w:p>
      <w:pPr>
        <w:pStyle w:val="BodyText"/>
      </w:pPr>
      <w:r>
        <w:t xml:space="preserve">One IUCN threat was assessed as</w:t>
      </w:r>
      <w:r>
        <w:t xml:space="preserve"> </w:t>
      </w:r>
      <w:r>
        <w:t xml:space="preserve">“</w:t>
      </w:r>
      <w:r>
        <w:t xml:space="preserve">Extreme</w:t>
      </w:r>
      <w:r>
        <w:t xml:space="preserve">”</w:t>
      </w:r>
      <w:r>
        <w:t xml:space="preserve"> </w:t>
      </w:r>
      <w:r>
        <w:t xml:space="preserve">through COSEWIC Recovery Potential Assessment processes, which was</w:t>
      </w:r>
      <w:r>
        <w:t xml:space="preserve"> </w:t>
      </w:r>
      <w:r>
        <w:t xml:space="preserve">“</w:t>
      </w:r>
      <w:r>
        <w:t xml:space="preserve">10.1 Geological Events</w:t>
      </w:r>
      <w:r>
        <w:t xml:space="preserve">”</w:t>
      </w:r>
      <w:r>
        <w:t xml:space="preserve"> </w:t>
      </w:r>
      <w:r>
        <w:t xml:space="preserve">(DFO 2020, 2022)</w:t>
      </w:r>
      <w:r>
        <w:t xml:space="preserve">. This threat was assigned to one sockeye and three Chinook conservation units, all in the Fraser Interior area related to the</w:t>
      </w:r>
      <w:r>
        <w:t xml:space="preserve"> </w:t>
      </w:r>
      <w:r>
        <w:t xml:space="preserve">“</w:t>
      </w:r>
      <w:r>
        <w:t xml:space="preserve">ongoing effects from Big Bar landslide</w:t>
      </w:r>
      <w:r>
        <w:t xml:space="preserve">”</w:t>
      </w:r>
      <w:r>
        <w:t xml:space="preserve"> </w:t>
      </w:r>
      <w:r>
        <w:t xml:space="preserve">in 2018 (DFO 2020; DFO 2022):</w:t>
      </w:r>
    </w:p>
    <w:p>
      <w:pPr>
        <w:pStyle w:val="BodyText"/>
      </w:pPr>
      <w:r>
        <w:t xml:space="preserve">• Chinook: CK-10, MIDDLE FRASER RIVER_SP_1.3</w:t>
      </w:r>
    </w:p>
    <w:p>
      <w:pPr>
        <w:pStyle w:val="BodyText"/>
      </w:pPr>
      <w:r>
        <w:t xml:space="preserve">• Chinook: CK-11, MIDDLE FRASER RIVER_SU_1.3</w:t>
      </w:r>
    </w:p>
    <w:p>
      <w:pPr>
        <w:pStyle w:val="BodyText"/>
      </w:pPr>
      <w:r>
        <w:t xml:space="preserve">• Chinook: CK-12, UPPER FRASER RIVER_SP_1.3</w:t>
      </w:r>
    </w:p>
    <w:p>
      <w:pPr>
        <w:pStyle w:val="BodyText"/>
      </w:pPr>
      <w:r>
        <w:t xml:space="preserve">• Sockeye: SEL-06-14, TAKLA/TREMBLEUR-EARLY STUART TIMING</w:t>
      </w:r>
    </w:p>
    <w:p>
      <w:pPr>
        <w:pStyle w:val="BodyText"/>
      </w:pPr>
      <w:r>
        <w:t xml:space="preserve">“</w:t>
      </w:r>
      <w:r>
        <w:t xml:space="preserve">Geological events</w:t>
      </w:r>
      <w:r>
        <w:t xml:space="preserve">”</w:t>
      </w:r>
      <w:r>
        <w:t xml:space="preserve"> </w:t>
      </w:r>
      <w:r>
        <w:t xml:space="preserve">is not a large category to be assigned to appropriate legislation (Figure 5). Aside from landscape-scale changes due to actions like forestry or mining, much of the nature of this category might not be viewed as human-caused or managed. Subsequently, this threat has a small proportion of keywords that match the relevant legislation: The Designation clause type category matched the largest proportion of clauses that also match Geological Events (Figure 14). This is largely due to the designation of avalanche and landslide areas. Instruction also had a large proportion of clause type matches due to the nature of forestry legislation and the prevalence of forestry actions to result in landslides. Prohibition, Restriction, or Limitation clause types matched the fewest clauses.</w:t>
      </w:r>
    </w:p>
    <w:p>
      <w:pPr>
        <w:pStyle w:val="BodyText"/>
      </w:pPr>
      <w:r>
        <w:t xml:space="preserve">IUCN 7.2 Dams &amp; Water Management / Use</w:t>
      </w:r>
    </w:p>
    <w:p>
      <w:pPr>
        <w:pStyle w:val="BodyText"/>
      </w:pPr>
      <w:r>
        <w:t xml:space="preserve">• Bessette creek and irrigation/groundwater</w:t>
      </w:r>
    </w:p>
    <w:p>
      <w:pPr>
        <w:pStyle w:val="BodyText"/>
      </w:pPr>
      <w:r>
        <w:t xml:space="preserve">• The most relevant legislation and why</w:t>
      </w:r>
    </w:p>
    <w:p>
      <w:pPr>
        <w:pStyle w:val="BodyText"/>
      </w:pPr>
      <w:r>
        <w:t xml:space="preserve">• A summary of clause types</w:t>
      </w:r>
    </w:p>
    <w:p>
      <w:pPr>
        <w:pStyle w:val="BodyText"/>
      </w:pPr>
      <w:r>
        <w:t xml:space="preserve">One IUCN threat was assessed as</w:t>
      </w:r>
      <w:r>
        <w:t xml:space="preserve"> </w:t>
      </w:r>
      <w:r>
        <w:t xml:space="preserve">“</w:t>
      </w:r>
      <w:r>
        <w:t xml:space="preserve">Extreme-High</w:t>
      </w:r>
      <w:r>
        <w:t xml:space="preserve">”</w:t>
      </w:r>
      <w:r>
        <w:t xml:space="preserve"> </w:t>
      </w:r>
      <w:r>
        <w:t xml:space="preserve">through COSEWIC Recovery Potential Assessment processes, which was</w:t>
      </w:r>
      <w:r>
        <w:t xml:space="preserve"> </w:t>
      </w:r>
      <w:r>
        <w:t xml:space="preserve">“</w:t>
      </w:r>
      <w:r>
        <w:t xml:space="preserve">7.2 Dams &amp; Water Management / Use</w:t>
      </w:r>
      <w:r>
        <w:t xml:space="preserve">”</w:t>
      </w:r>
      <w:r>
        <w:t xml:space="preserve"> </w:t>
      </w:r>
      <w:r>
        <w:t xml:space="preserve">(DFO 2020)</w:t>
      </w:r>
      <w:r>
        <w:t xml:space="preserve">. Water extraction, including groundwater, for irrigation and domestic purposes is listed as the most significant concern</w:t>
      </w:r>
      <w:r>
        <w:t xml:space="preserve"> </w:t>
      </w:r>
      <w:r>
        <w:t xml:space="preserve">(DFO 2020)</w:t>
      </w:r>
      <w:r>
        <w:t xml:space="preserve">. This threat was assigned to one Chinook conservation unit in the Fraser</w:t>
      </w:r>
    </w:p>
    <w:p>
      <w:pPr>
        <w:pStyle w:val="BodyText"/>
      </w:pPr>
      <w:r>
        <w:t xml:space="preserve">Interior area:</w:t>
      </w:r>
    </w:p>
    <w:p>
      <w:pPr>
        <w:pStyle w:val="BodyText"/>
      </w:pPr>
      <w:r>
        <w:t xml:space="preserve">• Chinook: CK-16, SOUTH THOMPSON-BESSETTE CREEK_SU_1.2</w:t>
      </w:r>
    </w:p>
    <w:p>
      <w:pPr>
        <w:pStyle w:val="BodyText"/>
      </w:pPr>
      <w:r>
        <w:t xml:space="preserve">“</w:t>
      </w:r>
      <w:r>
        <w:t xml:space="preserve">Dams and Water Management / Use</w:t>
      </w:r>
      <w:r>
        <w:t xml:space="preserve">”</w:t>
      </w:r>
      <w:r>
        <w:t xml:space="preserve"> </w:t>
      </w:r>
      <w:r>
        <w:t xml:space="preserve">is one of the largest categories matched with appropriate legislation (Figure 5). Aside from pollution and fisheries, watercourse alterations are recognized as one of the top human activities that require regulation. This threat also has a large proportion of keywords that match the relevant legislation:</w:t>
      </w:r>
    </w:p>
    <w:p>
      <w:pPr>
        <w:pStyle w:val="BodyText"/>
      </w:pPr>
      <w:r>
        <w:t xml:space="preserve">The clause type matches for Dams and Water Management / Use was much more evenly distributed (Figure 16) likely due to the large number of clause matches in total for that IUCN threat category. Interpretation &amp; Purpose matched the most clauses (includes Definition sections), while Administration, Application, &amp; Structure matched the fewest clauses followed by Prohibition, Restriction, or Limitation.</w:t>
      </w:r>
    </w:p>
    <w:bookmarkEnd w:id="75"/>
    <w:bookmarkStart w:id="76" w:name="co-occurrence-of-management-domains"/>
    <w:p>
      <w:pPr>
        <w:pStyle w:val="Heading1"/>
      </w:pPr>
      <w:r>
        <w:t xml:space="preserve">Co-occurrence of management domains</w:t>
      </w:r>
    </w:p>
    <w:p>
      <w:pPr>
        <w:pStyle w:val="FirstParagraph"/>
      </w:pPr>
      <w:r>
        <w:t xml:space="preserve">• Multiple keywords are assigned to one clause. Example: pollution and aquaculture</w:t>
      </w:r>
    </w:p>
    <w:p>
      <w:pPr>
        <w:pStyle w:val="BodyText"/>
      </w:pPr>
      <w:r>
        <w:t xml:space="preserve">• Analyzing co-occurrence can create insights for related threats.</w:t>
      </w:r>
    </w:p>
    <w:p>
      <w:pPr>
        <w:pStyle w:val="BodyText"/>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76"/>
    <w:bookmarkStart w:id="77" w:name="conclusions"/>
    <w:p>
      <w:pPr>
        <w:pStyle w:val="Heading1"/>
      </w:pPr>
      <w:r>
        <w:t xml:space="preserve">Conclusions</w:t>
      </w:r>
    </w:p>
    <w:p>
      <w:pPr>
        <w:pStyle w:val="FirstParagraph"/>
      </w:pPr>
      <w:r>
        <w:t xml:space="preserve">• The LAPSE framework can be a useful way for practitioners to query relevant legislation for salmon management topics.</w:t>
      </w:r>
    </w:p>
    <w:p>
      <w:pPr>
        <w:pStyle w:val="BodyText"/>
      </w:pPr>
      <w:r>
        <w:t xml:space="preserve">• Users can use keywords to search legislation already using CanLii, but using management domains and IUCN threats, we are able to link clauses to more specific salmon biological aspects</w:t>
      </w:r>
    </w:p>
    <w:p>
      <w:pPr>
        <w:pStyle w:val="BodyText"/>
      </w:pPr>
      <w:r>
        <w:t xml:space="preserve">• Not only does the process link legislation to specific salmon concerns, but this process is also linked to real-world salmon management through the WSP CU and RPA processes, which incorporates threat rankings by CU.</w:t>
      </w:r>
    </w:p>
    <w:p>
      <w:pPr>
        <w:pStyle w:val="BodyText"/>
      </w:pPr>
      <w:r>
        <w:t xml:space="preserve">Pacific salmon management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BodyText"/>
      </w:pPr>
      <w:r>
        <w:t xml:space="preserve">The LAPSE tool provides a novel approach of linking legal language with salmon management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w:t>
      </w:r>
    </w:p>
    <w:p>
      <w:pPr>
        <w:pStyle w:val="BodyText"/>
      </w:pPr>
      <w:r>
        <w:t xml:space="preserve">• An extensive list of legislation (acts, regulations, sections, and paragraphs) relevant to a human activity or salmon management decisions</w:t>
      </w:r>
    </w:p>
    <w:p>
      <w:pPr>
        <w:pStyle w:val="BodyText"/>
      </w:pPr>
      <w:r>
        <w:t xml:space="preserve">• Assessment of the nature or context of the legislation (clause type) by management domain and threat</w:t>
      </w:r>
    </w:p>
    <w:p>
      <w:pPr>
        <w:pStyle w:val="BodyText"/>
      </w:pPr>
      <w:r>
        <w:t xml:space="preserve">• Assessment of the overlap and connectedness in management domains (co-occurrence) to better understand the relationship between salmon threats</w:t>
      </w:r>
    </w:p>
    <w:p>
      <w:pPr>
        <w:pStyle w:val="BodyText"/>
      </w:pPr>
      <w:r>
        <w:t xml:space="preserve">While this process and tool are relatively new and untested, further development could lead to a better integration of salmon management decisions and administrative responsibility.</w:t>
      </w:r>
    </w:p>
    <w:bookmarkEnd w:id="77"/>
    <w:bookmarkStart w:id="119" w:name="references"/>
    <w:p>
      <w:pPr>
        <w:pStyle w:val="Heading1"/>
      </w:pPr>
      <w:r>
        <w:t xml:space="preserve">References</w:t>
      </w:r>
    </w:p>
    <w:bookmarkStart w:id="118" w:name="refs"/>
    <w:bookmarkStart w:id="78"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p>
    <w:bookmarkEnd w:id="78"/>
    <w:bookmarkStart w:id="80"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79">
        <w:r>
          <w:rPr>
            <w:rStyle w:val="Hyperlink"/>
          </w:rPr>
          <w:t xml:space="preserve">10.3390/su6096024</w:t>
        </w:r>
      </w:hyperlink>
      <w:r>
        <w:t xml:space="preserve">.</w:t>
      </w:r>
    </w:p>
    <w:bookmarkEnd w:id="80"/>
    <w:bookmarkStart w:id="81"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81"/>
    <w:bookmarkStart w:id="83"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82">
        <w:r>
          <w:rPr>
            <w:rStyle w:val="Hyperlink"/>
          </w:rPr>
          <w:t xml:space="preserve">10.5751/ES-02784-140145</w:t>
        </w:r>
      </w:hyperlink>
      <w:r>
        <w:t xml:space="preserve">.</w:t>
      </w:r>
    </w:p>
    <w:bookmarkEnd w:id="83"/>
    <w:bookmarkStart w:id="85"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84">
        <w:r>
          <w:rPr>
            <w:rStyle w:val="Hyperlink"/>
          </w:rPr>
          <w:t xml:space="preserve">10.1139/facets-2025-0031</w:t>
        </w:r>
      </w:hyperlink>
      <w:r>
        <w:t xml:space="preserve">.</w:t>
      </w:r>
    </w:p>
    <w:bookmarkEnd w:id="85"/>
    <w:bookmarkStart w:id="87"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86">
        <w:r>
          <w:rPr>
            <w:rStyle w:val="Hyperlink"/>
          </w:rPr>
          <w:t xml:space="preserve">10.3233/EPL-2002-32_5_13</w:t>
        </w:r>
      </w:hyperlink>
      <w:r>
        <w:t xml:space="preserve">.</w:t>
      </w:r>
    </w:p>
    <w:bookmarkEnd w:id="87"/>
    <w:bookmarkStart w:id="88" w:name="ref-canada2005"/>
    <w:p>
      <w:pPr>
        <w:pStyle w:val="Bibliography"/>
      </w:pPr>
      <w:r>
        <w:t xml:space="preserve">Canada (</w:t>
      </w:r>
      <w:r>
        <w:rPr>
          <w:i/>
          <w:iCs/>
        </w:rPr>
        <w:t xml:space="preserve">Editor</w:t>
      </w:r>
      <w:r>
        <w:t xml:space="preserve">). 2005. Canada’s policy for conservation of wild pacific salmon.</w:t>
      </w:r>
      <w:r>
        <w:t xml:space="preserve"> </w:t>
      </w:r>
      <w:r>
        <w:t xml:space="preserve">Department of Fisheries and Oceans</w:t>
      </w:r>
      <w:r>
        <w:t xml:space="preserve">, Vancouver, BC.</w:t>
      </w:r>
    </w:p>
    <w:bookmarkEnd w:id="88"/>
    <w:bookmarkStart w:id="90"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89">
        <w:r>
          <w:rPr>
            <w:rStyle w:val="Hyperlink"/>
          </w:rPr>
          <w:t xml:space="preserve">https://www.canlii.org/</w:t>
        </w:r>
      </w:hyperlink>
      <w:r>
        <w:t xml:space="preserve"> </w:t>
      </w:r>
      <w:r>
        <w:t xml:space="preserve">[accessed 18 December 2025].</w:t>
      </w:r>
    </w:p>
    <w:bookmarkEnd w:id="90"/>
    <w:bookmarkStart w:id="91" w:name="ref-carlson2022"/>
    <w:p>
      <w:pPr>
        <w:pStyle w:val="Bibliography"/>
      </w:pPr>
      <w:r>
        <w:t xml:space="preserve">Carlson, D., and Baylis, V. 2022. How</w:t>
      </w:r>
      <w:r>
        <w:t xml:space="preserve"> </w:t>
      </w:r>
      <w:r>
        <w:t xml:space="preserve">Crown</w:t>
      </w:r>
      <w:r>
        <w:t xml:space="preserve"> </w:t>
      </w:r>
      <w:r>
        <w:t xml:space="preserve">laws and policy normalize cumulative harm to salmon watersheds in</w:t>
      </w:r>
      <w:r>
        <w:t xml:space="preserve"> </w:t>
      </w:r>
      <w:r>
        <w:t xml:space="preserve">British Columbia</w:t>
      </w:r>
      <w:r>
        <w:t xml:space="preserve">:</w:t>
      </w:r>
    </w:p>
    <w:bookmarkEnd w:id="91"/>
    <w:bookmarkStart w:id="92"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92"/>
    <w:bookmarkStart w:id="94"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93">
        <w:r>
          <w:rPr>
            <w:rStyle w:val="Hyperlink"/>
          </w:rPr>
          <w:t xml:space="preserve">10.1016/j.tree.2014.12.004</w:t>
        </w:r>
      </w:hyperlink>
      <w:r>
        <w:t xml:space="preserve">.</w:t>
      </w:r>
    </w:p>
    <w:bookmarkEnd w:id="94"/>
    <w:bookmarkStart w:id="96"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95">
        <w:r>
          <w:rPr>
            <w:rStyle w:val="Hyperlink"/>
          </w:rPr>
          <w:t xml:space="preserve">https://www.justice.gc.ca/eng/rp-pr/csj-sjc/legis-redact/legistics/p3p1.html</w:t>
        </w:r>
      </w:hyperlink>
      <w:r>
        <w:t xml:space="preserve"> </w:t>
      </w:r>
      <w:r>
        <w:t xml:space="preserve">[accessed 18 December 2025].</w:t>
      </w:r>
    </w:p>
    <w:bookmarkEnd w:id="96"/>
    <w:bookmarkStart w:id="97" w:name="ref-dfo2020"/>
    <w:p>
      <w:pPr>
        <w:pStyle w:val="Bibliography"/>
      </w:pPr>
      <w:r>
        <w:t xml:space="preserve">DFO. 2020.</w:t>
      </w:r>
      <w:r>
        <w:t xml:space="preserve"> </w:t>
      </w:r>
      <w:r>
        <w:t xml:space="preserve">RECOVERY POTENTIAL ASSESSMENT FOR</w:t>
      </w:r>
      <w:r>
        <w:t xml:space="preserve"> </w:t>
      </w:r>
      <w:r>
        <w:t xml:space="preserve">11</w:t>
      </w:r>
      <w:r>
        <w:t xml:space="preserve"> </w:t>
      </w:r>
      <w:r>
        <w:t xml:space="preserve">DESIGNATABLE UNITS OF FRASER RIVER CHINOOK SALMON</w:t>
      </w:r>
      <w:r>
        <w:t xml:space="preserve">,</w:t>
      </w:r>
      <w:r>
        <w:t xml:space="preserve"> </w:t>
      </w:r>
      <w:r>
        <w:t xml:space="preserve">ONCORHYNCHUSTSHAWYTCHA</w:t>
      </w:r>
      <w:r>
        <w:t xml:space="preserve">,</w:t>
      </w:r>
      <w:r>
        <w:t xml:space="preserve"> </w:t>
      </w:r>
      <w:r>
        <w:t xml:space="preserve">PART</w:t>
      </w:r>
      <w:r>
        <w:t xml:space="preserve"> </w:t>
      </w:r>
      <w:r>
        <w:t xml:space="preserve">1:</w:t>
      </w:r>
      <w:r>
        <w:t xml:space="preserve"> </w:t>
      </w:r>
      <w:r>
        <w:t xml:space="preserve">ELEMENTS</w:t>
      </w:r>
      <w:r>
        <w:t xml:space="preserve"> </w:t>
      </w:r>
      <w:r>
        <w:t xml:space="preserve">1</w:t>
      </w:r>
      <w:r>
        <w:t xml:space="preserve"> </w:t>
      </w:r>
      <w:r>
        <w:t xml:space="preserve">TO</w:t>
      </w:r>
      <w:r>
        <w:t xml:space="preserve"> </w:t>
      </w:r>
      <w:r>
        <w:t xml:space="preserve">11.</w:t>
      </w:r>
    </w:p>
    <w:bookmarkEnd w:id="97"/>
    <w:bookmarkStart w:id="98" w:name="ref-dfo2022"/>
    <w:p>
      <w:pPr>
        <w:pStyle w:val="Bibliography"/>
      </w:pPr>
      <w:r>
        <w:t xml:space="preserve">DFO. 2022. Recovery</w:t>
      </w:r>
      <w:r>
        <w:t xml:space="preserve"> </w:t>
      </w:r>
      <w:r>
        <w:t xml:space="preserve">Potential Assessment</w:t>
      </w:r>
      <w:r>
        <w:t xml:space="preserve"> </w:t>
      </w:r>
      <w:r>
        <w:t xml:space="preserve">for</w:t>
      </w:r>
      <w:r>
        <w:t xml:space="preserve"> </w:t>
      </w:r>
      <w:r>
        <w:t xml:space="preserve">Fraser River Sockeye Salmon</w:t>
      </w:r>
      <w:r>
        <w:t xml:space="preserve"> </w:t>
      </w:r>
      <w:r>
        <w:t xml:space="preserve">(</w:t>
      </w:r>
      <w:r>
        <w:t xml:space="preserve">Oncorhynchus</w:t>
      </w:r>
      <w:r>
        <w:t xml:space="preserve"> </w:t>
      </w:r>
      <w:r>
        <w:t xml:space="preserve">nerka) –</w:t>
      </w:r>
      <w:r>
        <w:t xml:space="preserve"> </w:t>
      </w:r>
      <w:r>
        <w:t xml:space="preserve">Nine Designatable Units</w:t>
      </w:r>
      <w:r>
        <w:t xml:space="preserve"> </w:t>
      </w:r>
      <w:r>
        <w:t xml:space="preserve">–</w:t>
      </w:r>
      <w:r>
        <w:t xml:space="preserve"> </w:t>
      </w:r>
      <w:r>
        <w:t xml:space="preserve">Part</w:t>
      </w:r>
      <w:r>
        <w:t xml:space="preserve"> </w:t>
      </w:r>
      <w:r>
        <w:t xml:space="preserve">2:</w:t>
      </w:r>
      <w:r>
        <w:t xml:space="preserve"> </w:t>
      </w:r>
      <w:r>
        <w:t xml:space="preserve">Habitat</w:t>
      </w:r>
      <w:r>
        <w:t xml:space="preserve">,</w:t>
      </w:r>
      <w:r>
        <w:t xml:space="preserve"> </w:t>
      </w:r>
      <w:r>
        <w:t xml:space="preserve">Threats Assessment</w:t>
      </w:r>
      <w:r>
        <w:t xml:space="preserve">,</w:t>
      </w:r>
      <w:r>
        <w:t xml:space="preserve"> </w:t>
      </w:r>
      <w:r>
        <w:t xml:space="preserve">Mitigation</w:t>
      </w:r>
      <w:r>
        <w:t xml:space="preserve">,</w:t>
      </w:r>
      <w:r>
        <w:t xml:space="preserve"> </w:t>
      </w:r>
      <w:r>
        <w:t xml:space="preserve">And Allowable Harm</w:t>
      </w:r>
      <w:r>
        <w:t xml:space="preserve">.</w:t>
      </w:r>
    </w:p>
    <w:bookmarkEnd w:id="98"/>
    <w:bookmarkStart w:id="99"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99"/>
    <w:bookmarkStart w:id="101"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00">
        <w:r>
          <w:rPr>
            <w:rStyle w:val="Hyperlink"/>
          </w:rPr>
          <w:t xml:space="preserve">10.1139/facets-2020-0084</w:t>
        </w:r>
      </w:hyperlink>
      <w:r>
        <w:t xml:space="preserve">.</w:t>
      </w:r>
    </w:p>
    <w:bookmarkEnd w:id="101"/>
    <w:bookmarkStart w:id="102"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02"/>
    <w:bookmarkStart w:id="104"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03">
        <w:r>
          <w:rPr>
            <w:rStyle w:val="Hyperlink"/>
          </w:rPr>
          <w:t xml:space="preserve">10.1016/j.biocon.2013.07.006</w:t>
        </w:r>
      </w:hyperlink>
      <w:r>
        <w:t xml:space="preserve">.</w:t>
      </w:r>
    </w:p>
    <w:bookmarkEnd w:id="104"/>
    <w:bookmarkStart w:id="106"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05">
        <w:r>
          <w:rPr>
            <w:rStyle w:val="Hyperlink"/>
          </w:rPr>
          <w:t xml:space="preserve">10.1139/cjfas-2017-0127</w:t>
        </w:r>
      </w:hyperlink>
      <w:r>
        <w:t xml:space="preserve">.</w:t>
      </w:r>
    </w:p>
    <w:bookmarkEnd w:id="106"/>
    <w:bookmarkStart w:id="108"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07">
        <w:r>
          <w:rPr>
            <w:rStyle w:val="Hyperlink"/>
          </w:rPr>
          <w:t xml:space="preserve">10.1139/facets-2020-0075</w:t>
        </w:r>
      </w:hyperlink>
      <w:r>
        <w:t xml:space="preserve">.</w:t>
      </w:r>
    </w:p>
    <w:bookmarkEnd w:id="108"/>
    <w:bookmarkStart w:id="110" w:name="ref-salafsky2025"/>
    <w:p>
      <w:pPr>
        <w:pStyle w:val="Bibliography"/>
      </w:pPr>
      <w:r>
        <w:t xml:space="preserve">Salafsky, N., Relton, C., Young, B.E., Lamarre, P., Böhm, M., Chénier, M., Cochrane, E., Dionne, M., He, K.K., Hilton‐Taylor, C., Latrémouille, C., Morrison, J., Raymond, C.V., Seddon, M., and Suresh, V. 2025. Classification of direct threats to the conservation of ecosystems and species 4.0. Conservation Biology</w:t>
      </w:r>
      <w:r>
        <w:t xml:space="preserve"> </w:t>
      </w:r>
      <w:r>
        <w:rPr>
          <w:b/>
          <w:bCs/>
        </w:rPr>
        <w:t xml:space="preserve">39</w:t>
      </w:r>
      <w:r>
        <w:t xml:space="preserve">(3): e14434. doi:</w:t>
      </w:r>
      <w:hyperlink r:id="rId109">
        <w:r>
          <w:rPr>
            <w:rStyle w:val="Hyperlink"/>
          </w:rPr>
          <w:t xml:space="preserve">10.1111/cobi.14434</w:t>
        </w:r>
      </w:hyperlink>
      <w:r>
        <w:t xml:space="preserve">.</w:t>
      </w:r>
    </w:p>
    <w:bookmarkEnd w:id="110"/>
    <w:bookmarkStart w:id="112"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11">
        <w:r>
          <w:rPr>
            <w:rStyle w:val="Hyperlink"/>
          </w:rPr>
          <w:t xml:space="preserve">10.1111/j.1523-1739.2008.00937.x</w:t>
        </w:r>
      </w:hyperlink>
      <w:r>
        <w:t xml:space="preserve">.</w:t>
      </w:r>
    </w:p>
    <w:bookmarkEnd w:id="112"/>
    <w:bookmarkStart w:id="114"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13">
        <w:r>
          <w:rPr>
            <w:rStyle w:val="Hyperlink"/>
          </w:rPr>
          <w:t xml:space="preserve">10.1139/facets-2022-0095</w:t>
        </w:r>
      </w:hyperlink>
      <w:r>
        <w:t xml:space="preserve">.</w:t>
      </w:r>
    </w:p>
    <w:bookmarkEnd w:id="114"/>
    <w:bookmarkStart w:id="115"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w:t>
      </w:r>
    </w:p>
    <w:bookmarkEnd w:id="115"/>
    <w:bookmarkStart w:id="117"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16">
        <w:r>
          <w:rPr>
            <w:rStyle w:val="Hyperlink"/>
          </w:rPr>
          <w:t xml:space="preserve">10.1139/facets-2020-0064</w:t>
        </w:r>
      </w:hyperlink>
      <w:r>
        <w:t xml:space="preserve">.</w:t>
      </w:r>
    </w:p>
    <w:bookmarkEnd w:id="117"/>
    <w:bookmarkEnd w:id="118"/>
    <w:bookmarkEnd w:id="119"/>
    <w:bookmarkStart w:id="120" w:name="supplementary-material"/>
    <w:p>
      <w:pPr>
        <w:pStyle w:val="Heading1"/>
      </w:pPr>
      <w:r>
        <w:t xml:space="preserve">Supplementary material</w:t>
      </w:r>
    </w:p>
    <w:p>
      <w:pPr>
        <w:pStyle w:val="FirstParagraph"/>
      </w:pPr>
      <w:r>
        <w:t xml:space="preserve">*Links or downloads for the LAPSE tool materials (app etc.)</w:t>
      </w:r>
    </w:p>
    <w:bookmarkEnd w:id="120"/>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305C7B"/>
    <w:rsid w:val="003446D7"/>
    <w:rsid w:val="004C64ED"/>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6F10"/>
    <w:rsid w:val="00D40977"/>
    <w:rsid w:val="00D812E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305C7B"/>
    <w:pPr>
      <w:spacing w:after="200" w:line="240" w:lineRule="auto"/>
    </w:pPr>
    <w:rPr>
      <w:rFonts w:ascii="Montserrat" w:hAnsi="Montserrat"/>
      <w:i/>
      <w:iCs/>
      <w:color w:themeColor="background1" w:themeShade="A6" w:val="A6A6A6"/>
      <w:sz w:val="21"/>
      <w:szCs w:val="18"/>
    </w:r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48" Target="media/rId48.png" /><Relationship Type="http://schemas.openxmlformats.org/officeDocument/2006/relationships/image" Id="rId62" Target="media/rId62.png" /><Relationship Type="http://schemas.openxmlformats.org/officeDocument/2006/relationships/hyperlink" Id="rId103" Target="https://doi.org/10.1016/j.biocon.2013.07.006" TargetMode="External" /><Relationship Type="http://schemas.openxmlformats.org/officeDocument/2006/relationships/hyperlink" Id="rId93" Target="https://doi.org/10.1016/j.tree.2014.12.004" TargetMode="External" /><Relationship Type="http://schemas.openxmlformats.org/officeDocument/2006/relationships/hyperlink" Id="rId109" Target="https://doi.org/10.1111/cobi.14434" TargetMode="External" /><Relationship Type="http://schemas.openxmlformats.org/officeDocument/2006/relationships/hyperlink" Id="rId111" Target="https://doi.org/10.1111/j.1523-1739.2008.00937.x" TargetMode="External" /><Relationship Type="http://schemas.openxmlformats.org/officeDocument/2006/relationships/hyperlink" Id="rId105" Target="https://doi.org/10.1139/cjfas-2017-0127" TargetMode="External" /><Relationship Type="http://schemas.openxmlformats.org/officeDocument/2006/relationships/hyperlink" Id="rId116" Target="https://doi.org/10.1139/facets-2020-0064" TargetMode="External" /><Relationship Type="http://schemas.openxmlformats.org/officeDocument/2006/relationships/hyperlink" Id="rId107" Target="https://doi.org/10.1139/facets-2020-0075" TargetMode="External" /><Relationship Type="http://schemas.openxmlformats.org/officeDocument/2006/relationships/hyperlink" Id="rId100" Target="https://doi.org/10.1139/facets-2020-0084" TargetMode="External" /><Relationship Type="http://schemas.openxmlformats.org/officeDocument/2006/relationships/hyperlink" Id="rId113" Target="https://doi.org/10.1139/facets-2022-0095" TargetMode="External" /><Relationship Type="http://schemas.openxmlformats.org/officeDocument/2006/relationships/hyperlink" Id="rId84" Target="https://doi.org/10.1139/facets-2025-0031" TargetMode="External" /><Relationship Type="http://schemas.openxmlformats.org/officeDocument/2006/relationships/hyperlink" Id="rId86" Target="https://doi.org/10.3233/EPL-2002-32_5_13" TargetMode="External" /><Relationship Type="http://schemas.openxmlformats.org/officeDocument/2006/relationships/hyperlink" Id="rId79" Target="https://doi.org/10.3390/su6096024" TargetMode="External" /><Relationship Type="http://schemas.openxmlformats.org/officeDocument/2006/relationships/hyperlink" Id="rId82" Target="https://doi.org/10.5751/ES-02784-140145" TargetMode="External" /><Relationship Type="http://schemas.openxmlformats.org/officeDocument/2006/relationships/hyperlink" Id="rId89" Target="https://www.canlii.org/" TargetMode="External" /><Relationship Type="http://schemas.openxmlformats.org/officeDocument/2006/relationships/hyperlink" Id="rId95" Target="https://www.justice.gc.ca/eng/rp-pr/csj-sjc/legis-redact/legistics/p3p1.html" TargetMode="External" /></Relationships>
</file>

<file path=word/_rels/footnotes.xml.rels><?xml version="1.0" encoding="UTF-8"?><Relationships xmlns="http://schemas.openxmlformats.org/package/2006/relationships"><Relationship Type="http://schemas.openxmlformats.org/officeDocument/2006/relationships/hyperlink" Id="rId103" Target="https://doi.org/10.1016/j.biocon.2013.07.006" TargetMode="External" /><Relationship Type="http://schemas.openxmlformats.org/officeDocument/2006/relationships/hyperlink" Id="rId93" Target="https://doi.org/10.1016/j.tree.2014.12.004" TargetMode="External" /><Relationship Type="http://schemas.openxmlformats.org/officeDocument/2006/relationships/hyperlink" Id="rId109" Target="https://doi.org/10.1111/cobi.14434" TargetMode="External" /><Relationship Type="http://schemas.openxmlformats.org/officeDocument/2006/relationships/hyperlink" Id="rId111" Target="https://doi.org/10.1111/j.1523-1739.2008.00937.x" TargetMode="External" /><Relationship Type="http://schemas.openxmlformats.org/officeDocument/2006/relationships/hyperlink" Id="rId105" Target="https://doi.org/10.1139/cjfas-2017-0127" TargetMode="External" /><Relationship Type="http://schemas.openxmlformats.org/officeDocument/2006/relationships/hyperlink" Id="rId116" Target="https://doi.org/10.1139/facets-2020-0064" TargetMode="External" /><Relationship Type="http://schemas.openxmlformats.org/officeDocument/2006/relationships/hyperlink" Id="rId107" Target="https://doi.org/10.1139/facets-2020-0075" TargetMode="External" /><Relationship Type="http://schemas.openxmlformats.org/officeDocument/2006/relationships/hyperlink" Id="rId100" Target="https://doi.org/10.1139/facets-2020-0084" TargetMode="External" /><Relationship Type="http://schemas.openxmlformats.org/officeDocument/2006/relationships/hyperlink" Id="rId113" Target="https://doi.org/10.1139/facets-2022-0095" TargetMode="External" /><Relationship Type="http://schemas.openxmlformats.org/officeDocument/2006/relationships/hyperlink" Id="rId84" Target="https://doi.org/10.1139/facets-2025-0031" TargetMode="External" /><Relationship Type="http://schemas.openxmlformats.org/officeDocument/2006/relationships/hyperlink" Id="rId86" Target="https://doi.org/10.3233/EPL-2002-32_5_13" TargetMode="External" /><Relationship Type="http://schemas.openxmlformats.org/officeDocument/2006/relationships/hyperlink" Id="rId79" Target="https://doi.org/10.3390/su6096024" TargetMode="External" /><Relationship Type="http://schemas.openxmlformats.org/officeDocument/2006/relationships/hyperlink" Id="rId82" Target="https://doi.org/10.5751/ES-02784-140145" TargetMode="External" /><Relationship Type="http://schemas.openxmlformats.org/officeDocument/2006/relationships/hyperlink" Id="rId89" Target="https://www.canlii.org/" TargetMode="External" /><Relationship Type="http://schemas.openxmlformats.org/officeDocument/2006/relationships/hyperlink" Id="rId95" Target="https://www.justice.gc.ca/eng/rp-pr/csj-sjc/legis-redact/legistics/p3p1.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dc:creator>
  <cp:keywords/>
  <dcterms:created xsi:type="dcterms:W3CDTF">2025-12-19T19:10:50Z</dcterms:created>
  <dcterms:modified xsi:type="dcterms:W3CDTF">2025-12-19T19:10:50Z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2025-12-19</vt:lpwstr>
  </property>
  <property fmtid="{D5CDD505-2E9C-101B-9397-08002B2CF9AE}" pid="5" name="language">
    <vt:lpwstr/>
  </property>
  <property fmtid="{D5CDD505-2E9C-101B-9397-08002B2CF9AE}" pid="6" name="output">
    <vt:lpwstr/>
  </property>
</Properties>
</file>