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1.png" ContentType="image/png"/>
  <Override PartName="/word/media/rId34.png" ContentType="image/png"/>
  <Override PartName="/word/media/rId74.png" ContentType="image/png"/>
  <Override PartName="/word/media/rId79.png" ContentType="image/png"/>
  <Override PartName="/word/media/rId85.png" ContentType="image/png"/>
  <Override PartName="/word/media/rId20.png" ContentType="image/png"/>
  <Override PartName="/word/media/rId24.png" ContentType="image/png"/>
  <Override PartName="/word/media/rId54.png" ContentType="image/png"/>
  <Override PartName="/word/media/rId59.png" ContentType="image/png"/>
  <Override PartName="/word/media/rId5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p>
    <w:p>
      <w:pPr>
        <w:pStyle w:val="Date"/>
      </w:pPr>
      <w:r>
        <w:t xml:space="preserve">2026-01-08</w:t>
      </w:r>
    </w:p>
    <w:bookmarkStart w:id="32" w:name="introduction"/>
    <w:p>
      <w:pPr>
        <w:pStyle w:val="Heading1"/>
      </w:pPr>
      <w:r>
        <w:t xml:space="preserve">Introduction</w:t>
      </w:r>
    </w:p>
    <w:bookmarkStart w:id="28"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w:t>
      </w:r>
      <w:r>
        <w:t xml:space="preserve"> </w:t>
      </w:r>
      <w:r>
        <w:rPr>
          <w:i/>
          <w:iCs/>
        </w:rPr>
        <w:t xml:space="preserve">Constitution Act</w:t>
      </w:r>
      <w:r>
        <w:t xml:space="preserve">,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and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their geographically widespread, anadromous life cycle that spans international boundaries and freshwater and marine ecosystems. While salmon and salmon fisheries are regulated federally, water use and watercourse management and the corresponding aquatic habitat is managed by the provinces. However, watercourse management is not strictly provincial jurisdiction. The federal government regulates fisheries and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CaptionedFigure"/>
      </w:pPr>
      <w:r>
        <w:drawing>
          <wp:inline>
            <wp:extent cx="5943600" cy="4953000"/>
            <wp:effectExtent b="0" l="0" r="0" t="0"/>
            <wp:docPr descr="Figure 1: Federal jurisdiction: legislation to agency relationships. Sections proportionally attributed across responsible agencies." title="" id="21" name="Picture"/>
            <a:graphic>
              <a:graphicData uri="http://schemas.openxmlformats.org/drawingml/2006/picture">
                <pic:pic>
                  <pic:nvPicPr>
                    <pic:cNvPr descr="LAPSE_primary_publication_files/figure-docx/fig-sankey-federal-1.png" id="22" name="Picture"/>
                    <pic:cNvPicPr>
                      <a:picLocks noChangeArrowheads="1" noChangeAspect="1"/>
                    </pic:cNvPicPr>
                  </pic:nvPicPr>
                  <pic:blipFill>
                    <a:blip r:embed="rId20"/>
                    <a:stretch>
                      <a:fillRect/>
                    </a:stretch>
                  </pic:blipFill>
                  <pic:spPr bwMode="auto">
                    <a:xfrm>
                      <a:off x="0" y="0"/>
                      <a:ext cx="5943600" cy="4953000"/>
                    </a:xfrm>
                    <a:prstGeom prst="rect">
                      <a:avLst/>
                    </a:prstGeom>
                    <a:noFill/>
                    <a:ln w="9525">
                      <a:noFill/>
                      <a:headEnd/>
                      <a:tailEnd/>
                    </a:ln>
                  </pic:spPr>
                </pic:pic>
              </a:graphicData>
            </a:graphic>
          </wp:inline>
        </w:drawing>
      </w:r>
    </w:p>
    <w:p>
      <w:pPr>
        <w:pStyle w:val="ImageCaption"/>
      </w:pPr>
      <w:bookmarkStart w:id="23" w:name="fig:fig-sankey-federal"/>
      <w:bookmarkEnd w:id="23"/>
      <w:r>
        <w:t xml:space="preserve">Figure 1: Federal jurisdiction: legislation to agency relationships. Sections proportionally attributed across responsible agencies.</w:t>
      </w:r>
    </w:p>
    <w:p>
      <w:pPr>
        <w:pStyle w:val="CaptionedFigure"/>
      </w:pPr>
      <w:r>
        <w:drawing>
          <wp:inline>
            <wp:extent cx="5943600" cy="5094514"/>
            <wp:effectExtent b="0" l="0" r="0" t="0"/>
            <wp:docPr descr="Figure 2: Provincial jurisdiction: legislation to agency relationships. Sections proportionally attributed across responsible agencies." title="" id="25" name="Picture"/>
            <a:graphic>
              <a:graphicData uri="http://schemas.openxmlformats.org/drawingml/2006/picture">
                <pic:pic>
                  <pic:nvPicPr>
                    <pic:cNvPr descr="LAPSE_primary_publication_files/figure-docx/fig-sankey-provincial-1.png" id="26" name="Picture"/>
                    <pic:cNvPicPr>
                      <a:picLocks noChangeArrowheads="1" noChangeAspect="1"/>
                    </pic:cNvPicPr>
                  </pic:nvPicPr>
                  <pic:blipFill>
                    <a:blip r:embed="rId24"/>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27" w:name="fig:fig-sankey-provincial"/>
      <w:bookmarkEnd w:id="27"/>
      <w:r>
        <w:t xml:space="preserve">Figure 2: Provincial jurisdiction: legislation to agency relationships. Sections proportionally attributed across responsible agencies.</w:t>
      </w:r>
    </w:p>
    <w:p>
      <w:pPr>
        <w:pStyle w:val="Compact"/>
        <w:numPr>
          <w:ilvl w:val="0"/>
          <w:numId w:val="1001"/>
        </w:numPr>
      </w:pPr>
      <w:r>
        <w:rPr>
          <w:b/>
          <w:bCs/>
        </w:rPr>
        <w:t xml:space="preserve">need to format these charts better. Overlapping font. Maybe side-by-side charts? Or just one chart as an example? - Maybe alternate labels either side of boxes - maybe flip the charts to be horizontal? - Y-axis label too far away from graph - Italicize legislation names - Double check the current Minister names</w:t>
      </w:r>
    </w:p>
    <w:p>
      <w:pPr>
        <w:pStyle w:val="Compact"/>
        <w:numPr>
          <w:ilvl w:val="0"/>
          <w:numId w:val="1001"/>
        </w:numPr>
      </w:pPr>
      <w:r>
        <w:rPr>
          <w:b/>
          <w:bCs/>
        </w:rPr>
        <w:t xml:space="preserve">How did we choose the legislation to be in these charts? We haven’t introduces that idea yet. Maybe add more context to Figure captions</w:t>
      </w:r>
    </w:p>
    <w:p>
      <w:pPr>
        <w:pStyle w:val="FirstParagraph"/>
      </w:pPr>
      <w:r>
        <w:t xml:space="preserve">Acts and regulations in British Columbia might be designed to address one broad category of human activity, but this activity can cover many aspects of salmon management. For example, the provincial</w:t>
      </w:r>
      <w:r>
        <w:t xml:space="preserve"> </w:t>
      </w:r>
      <w:r>
        <w:rPr>
          <w:i/>
          <w:iCs/>
        </w:rPr>
        <w:t xml:space="preserve">Forest and Range Practices Act</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 from road infrastructure</w:t>
      </w:r>
      <w:r>
        <w:t xml:space="preserve"> </w:t>
      </w:r>
      <w:r>
        <w:t xml:space="preserve">(Ulaski et al. 2025)</w:t>
      </w:r>
      <w:r>
        <w:t xml:space="preserve">, and the spread of invasive species.</w:t>
      </w:r>
    </w:p>
    <w:p>
      <w:pPr>
        <w:pStyle w:val="BodyText"/>
      </w:pPr>
      <w:r>
        <w:t xml:space="preserve">Projects that influence environmental factors can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8"/>
    <w:bookmarkStart w:id="29" w:name="X97ee571fad33b77695a285dcc3cc021aa783b7a"/>
    <w:p>
      <w:pPr>
        <w:pStyle w:val="Heading2"/>
      </w:pPr>
      <w:r>
        <w:t xml:space="preserve">Complexity in addressing declines of Pacific Salmon</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w:t>
      </w:r>
      <w:r>
        <w:t xml:space="preserve"> </w:t>
      </w:r>
      <w:r>
        <w:t xml:space="preserve">the</w:t>
      </w:r>
      <w:r>
        <w:t xml:space="preserve"> </w:t>
      </w:r>
      <w:r>
        <w:rPr>
          <w:i/>
          <w:iCs/>
        </w:rPr>
        <w:t xml:space="preserve">Pacific Salmon Strategy Initiative</w:t>
      </w:r>
      <w:r>
        <w:t xml:space="preserve">), Pacific salmon populations are generally declining across Canada, while the number of populations monitored continues to drop</w:t>
      </w:r>
      <w:r>
        <w:t xml:space="preserve"> </w:t>
      </w:r>
      <w:r>
        <w:t xml:space="preserve">(Price et al. 2017; Atkinson et al. 2024)</w:t>
      </w:r>
      <w:r>
        <w:t xml:space="preserve">. The causes of Pacific salmon declines in Canada are varied and have been the subject of numerous studies and reviews over the last few decades (e.g. the Cohen Commission 2010, Report of the Standing Committee On Fisheries and Oceans 2021,</w:t>
      </w:r>
      <w:r>
        <w:t xml:space="preserve">(Grant et al. 2019)</w:t>
      </w:r>
      <w:r>
        <w:t xml:space="preserve">). Declines are recognized as a consequence of human activity, including the loss or degradation of freshwater habitat</w:t>
      </w:r>
      <w:r>
        <w:t xml:space="preserve"> </w:t>
      </w:r>
      <w:r>
        <w:t xml:space="preserve">(Bisson et al. 2009)</w:t>
      </w:r>
      <w:r>
        <w:t xml:space="preserve">, unsustainable fisheries harvest, and climate change.</w:t>
      </w:r>
    </w:p>
    <w:p>
      <w:pPr>
        <w:pStyle w:val="BodyText"/>
      </w:pPr>
      <w:r>
        <w:t xml:space="preserve">In response to declines, commercial fisheries harvests have been substantially curtailed in recent decades</w:t>
      </w:r>
      <w:r>
        <w:t xml:space="preserve"> </w:t>
      </w:r>
      <w:r>
        <w:t xml:space="preserve">(Del Valle et al. 2024)</w:t>
      </w:r>
      <w:r>
        <w:t xml:space="preserve"> </w:t>
      </w:r>
      <w:r>
        <w:t xml:space="preserve">as Fisheries and Oceans Canada aims to manage fisheries to preserve biodiversity in a manner consistent with the</w:t>
      </w:r>
      <w:r>
        <w:t xml:space="preserve"> </w:t>
      </w:r>
      <w:r>
        <w:rPr>
          <w:i/>
          <w:iCs/>
        </w:rPr>
        <w:t xml:space="preserve">Wild Salmon Policy</w:t>
      </w:r>
      <w:r>
        <w:t xml:space="preserve"> </w:t>
      </w:r>
      <w:r>
        <w:t xml:space="preserve">and the Precautionary Approach. Fisheries, particularly commercial fisheries, are legislated under the distinct authority of the Fisheries Act where laws and regulations prescribe how, when, and where fisheries harvest may occur within Canadian waters. There is no ambiguity in jurisdiction or responsibility, at least for fisheries intercepting Pacific salmon within Canada, therefore fisheries harvest impacts can be adjusted relatively easily in response to declines or changing abundances. Fisheries also result in direct mortality to salmon, therefore, impacts can be directly measured and managed using quantifiable targets, assuming adequate monitoring information is collected.</w:t>
      </w:r>
    </w:p>
    <w:p>
      <w:pPr>
        <w:pStyle w:val="BodyText"/>
      </w:pPr>
      <w:r>
        <w:t xml:space="preserve">By contrast, threats to salmon habitat require a much more coordinated and inter-jurisdictional approach to evaluate and address. Freshwater habitat, including water quantity (discharge and timing) and water quality (temperature and chemistry), are impacted by actions and conditions throughout the entire watershed. Local activities, such as forestry and urbanisation, act cumulatively and compound with climate changes to degrade salmon watersheds, threatening their ability to sustain salmon abundance and diversity</w:t>
      </w:r>
      <w:r>
        <w:t xml:space="preserve"> </w:t>
      </w:r>
      <w:r>
        <w:t xml:space="preserve">(Moore et al. 2025)</w:t>
      </w:r>
      <w:r>
        <w:t xml:space="preserve">. Impacts from activities are often indirect, requiring monitoring and long-term studies to identify with confidence</w:t>
      </w:r>
      <w:r>
        <w:t xml:space="preserve"> </w:t>
      </w:r>
      <w:r>
        <w:t xml:space="preserve">(Ulaski et al. 2025)</w:t>
      </w:r>
      <w:r>
        <w:t xml:space="preserve">. Regulation of threats to salmon freshwater habitat in British Columbia therefore requires the application of multiple acts and regulations across both federal and provincial jurisdiction, where the impacts from activities and the benefits of mitigation are uncertain and spread out over time and space.</w:t>
      </w:r>
    </w:p>
    <w:p>
      <w:pPr>
        <w:pStyle w:val="BodyText"/>
      </w:pPr>
      <w:r>
        <w:t xml:space="preserve">For example, regulation of forestry under the</w:t>
      </w:r>
      <w:r>
        <w:t xml:space="preserve"> </w:t>
      </w:r>
      <w:r>
        <w:rPr>
          <w:i/>
          <w:iCs/>
        </w:rPr>
        <w:t xml:space="preserve">Forestry Act</w:t>
      </w:r>
      <w:r>
        <w:t xml:space="preserve">, water licensing under the Water Sustainability Act, environmental assessment of a mine under the Environmental Assessment Act, enforcement of activities that cause harm to salmon habitat under the</w:t>
      </w:r>
      <w:r>
        <w:t xml:space="preserve"> </w:t>
      </w:r>
      <w:r>
        <w:rPr>
          <w:i/>
          <w:iCs/>
        </w:rPr>
        <w:t xml:space="preserve">Fisheries Act</w:t>
      </w:r>
      <w:r>
        <w:t xml:space="preserve"> </w:t>
      </w:r>
      <w:r>
        <w:t xml:space="preserve">….</w:t>
      </w:r>
    </w:p>
    <w:p>
      <w:pPr>
        <w:pStyle w:val="BodyText"/>
      </w:pPr>
      <w:r>
        <w:t xml:space="preserve">Amidst this uncertainty and complexity, multiple assessment frameworks have been developed to evaluate risks arising from anthropogenic activities and limiting factors for the survival and recovery of Pacific salmon populations [</w:t>
      </w:r>
      <w:r>
        <w:t xml:space="preserve">Chalifour et al. (2022)</w:t>
      </w:r>
      <w:r>
        <w:t xml:space="preserve">;</w:t>
      </w:r>
      <w:r>
        <w:t xml:space="preserve"> </w:t>
      </w:r>
      <w:r>
        <w:t xml:space="preserve">Salafsky et al. (2008)</w:t>
      </w:r>
      <w:r>
        <w:t xml:space="preserve">;</w:t>
      </w:r>
      <w:r>
        <w:t xml:space="preserve"> </w:t>
      </w:r>
      <w:r>
        <w:rPr>
          <w:b/>
          <w:bCs/>
        </w:rPr>
        <w:t xml:space="preserve">RAMS citation?</w:t>
      </w:r>
      <w:r>
        <w:t xml:space="preserve">]. While varied in their approaches, these frameworks generally aim to be comprehensive in assessing the wide range of threats that may impact Pacific salmon across their life cycle to inform status assessments, recovery planning, and conservation strategies. One of the most widely used risk assessment frameworks for Pacific salmon is the</w:t>
      </w:r>
      <w:r>
        <w:t xml:space="preserve"> </w:t>
      </w:r>
      <w:r>
        <w:rPr>
          <w:i/>
          <w:iCs/>
        </w:rPr>
        <w:t xml:space="preserve">International Union for Conservation of Nature</w:t>
      </w:r>
      <w:r>
        <w:t xml:space="preserve"> </w:t>
      </w:r>
      <w:r>
        <w:t xml:space="preserve">(IUCN) Direct Threats Classification</w:t>
      </w:r>
      <w:r>
        <w:t xml:space="preserve"> </w:t>
      </w:r>
      <w:r>
        <w:t xml:space="preserve">(Salafsky et al. 2008)</w:t>
      </w:r>
      <w:r>
        <w:t xml:space="preserve">, which is applied for Recovery Potential Assessments as part of</w:t>
      </w:r>
      <w:r>
        <w:t xml:space="preserve"> </w:t>
      </w:r>
      <w:r>
        <w:rPr>
          <w:i/>
          <w:iCs/>
        </w:rPr>
        <w:t xml:space="preserve">Species at Risk Act</w:t>
      </w:r>
      <w:r>
        <w:t xml:space="preserve"> </w:t>
      </w:r>
      <w:r>
        <w:t xml:space="preserve">listing processes and for COSEWIC status assessments</w:t>
      </w:r>
      <w:r>
        <w:t xml:space="preserve"> </w:t>
      </w:r>
      <w:r>
        <w:t xml:space="preserve">(Arbeider et al. 2020; Dionne 2023; Doutaz et al. 2023)</w:t>
      </w:r>
      <w:r>
        <w:t xml:space="preserve">.</w:t>
      </w:r>
    </w:p>
    <w:p>
      <w:pPr>
        <w:pStyle w:val="BodyText"/>
      </w:pPr>
      <w:r>
        <w:t xml:space="preserve">Assuming there is agreement upon the most important threats, risk assessments are intended to guide the development of recovery plans and mitigation actions with the ultimate aim of reversing declines and improving conservation status. A key challenge is identifying actions that are impactful and feasible across the wide geographic range and diverse life history of Pacific salmon. In many cases, regulatory complexity, ambiguous responsibility, and dispersed authority become barriers to effective and timely action.</w:t>
      </w:r>
    </w:p>
    <w:bookmarkEnd w:id="29"/>
    <w:bookmarkStart w:id="31"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(e.g. the WSP,</w:t>
      </w:r>
      <w:r>
        <w:t xml:space="preserve"> </w:t>
      </w:r>
      <w:hyperlink r:id="rId30">
        <w:r>
          <w:rPr>
            <w:rStyle w:val="Hyperlink"/>
          </w:rPr>
          <w:t xml:space="preserve">the trilateral accord 2024</w:t>
        </w:r>
      </w:hyperlink>
      <w:r>
        <w:t xml:space="preserve">). Coordinated action requires adequate organizational capacity and systems for implementation to ensure that regulatory controls and mitigation activities address underlying threats to salmon and their habitat. However, linking threats and recovery actions to the relevant regulatory systems can be complex because salmon are often affected by multiple threats that each span across agencies and governmental jurisdiction.</w:t>
      </w:r>
    </w:p>
    <w:p>
      <w:pPr>
        <w:pStyle w:val="Compact"/>
        <w:numPr>
          <w:ilvl w:val="0"/>
          <w:numId w:val="1002"/>
        </w:numPr>
      </w:pPr>
      <w:r>
        <w:rPr>
          <w:b/>
          <w:bCs/>
        </w:rPr>
        <w:t xml:space="preserve">Add examples of rebuilding plans, OK Chinook, WCVI Chinook, Fish stock provision rebuilding plans (DG)</w:t>
      </w:r>
    </w:p>
    <w:p>
      <w:pPr>
        <w:pStyle w:val="FirstParagraph"/>
      </w:pPr>
      <w:r>
        <w:t xml:space="preserve">In this study, we seek to decode the complexity between salmon threats and environmental legislation by creating an interface between regulatory language and anthropogenic threat categories. We describe and apply the Legislation Applicable to Pacific Salmon and their Ecosystems (LAPSE) database, a repository of federal and provincial legislation and regulations that apply to Pacific salmon in British Columbia. Using a novel method for parsing and classifying legislative clauses, we develop keyword relationships between IUCN threats classifications and XXXX clauses from XX acts and XX regulations. By creating an extensive, open-source, and easily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31"/>
    <w:bookmarkEnd w:id="32"/>
    <w:bookmarkStart w:id="38" w:name="X06bc8cf00ca5baea230857c3fdd1788ec12acc8"/>
    <w:p>
      <w:pPr>
        <w:pStyle w:val="Heading1"/>
      </w:pPr>
      <w:r>
        <w:t xml:space="preserve">International Union for Conservation of Nature (IUCN) threat categories</w:t>
      </w:r>
    </w:p>
    <w:p>
      <w:pPr>
        <w:pStyle w:val="FirstParagraph"/>
      </w:pPr>
      <w:r>
        <w:t xml:space="preserve">Management decisions and activities related to salmon are often in response to identifiable threats to salmon health and population status. Legislated recovery planning also relies on a description of identified threats</w:t>
      </w:r>
      <w:r>
        <w:t xml:space="preserve"> </w:t>
      </w:r>
      <w:r>
        <w:t xml:space="preserve">(McCune et al. 2013)</w:t>
      </w:r>
      <w:r>
        <w:t xml:space="preserve">. Human systems can be categorized as direct threats to biodiversity more specifically for conservation strategies</w:t>
      </w:r>
      <w:r>
        <w:t xml:space="preserve"> </w:t>
      </w:r>
      <w:r>
        <w:t xml:space="preserve">(Salafsky et al. 2008)</w:t>
      </w:r>
      <w:r>
        <w:t xml:space="preserve">. The</w:t>
      </w:r>
      <w:r>
        <w:t xml:space="preserve"> </w:t>
      </w:r>
      <w:r>
        <w:rPr>
          <w:i/>
          <w:iCs/>
        </w:rPr>
        <w:t xml:space="preserve">International Union for Conservation of Nature</w:t>
      </w:r>
      <w:r>
        <w:t xml:space="preserve"> </w:t>
      </w:r>
      <w:r>
        <w:t xml:space="preserve">(IUCN) and</w:t>
      </w:r>
      <w:r>
        <w:t xml:space="preserve"> </w:t>
      </w:r>
      <w:r>
        <w:rPr>
          <w:i/>
          <w:iCs/>
        </w:rPr>
        <w:t xml:space="preserve">Conservation Measures Partnership</w:t>
      </w:r>
      <w:r>
        <w:t xml:space="preserve"> </w:t>
      </w:r>
      <w:r>
        <w:t xml:space="preserve">(CMP) has developed a hierarchical grouping of threats used globally by conservation practitioners. IUCN direct threat categories are widely used to assess threats as part of IUCN red list assessments, as well as, in status assessments for Pacific salmon populations conducted by the</w:t>
      </w:r>
      <w:r>
        <w:t xml:space="preserve"> </w:t>
      </w:r>
      <w:r>
        <w:rPr>
          <w:i/>
          <w:iCs/>
        </w:rPr>
        <w:t xml:space="preserve">Committee for the Status of Endangered Wildlife in Canada</w:t>
      </w:r>
      <w:r>
        <w:t xml:space="preserve"> </w:t>
      </w:r>
      <w:r>
        <w:t xml:space="preserve">(COSEWIC). For this study, the</w:t>
      </w:r>
      <w:r>
        <w:t xml:space="preserve"> </w:t>
      </w:r>
      <w:r>
        <w:rPr>
          <w:i/>
          <w:iCs/>
        </w:rPr>
        <w:t xml:space="preserve">IUCN - CMP Direct Threats Classification 4.0</w:t>
      </w:r>
      <w:r>
        <w:t xml:space="preserve"> </w:t>
      </w:r>
      <w:r>
        <w:t xml:space="preserve">(Salafsky et al. 2025)</w:t>
      </w:r>
      <w:r>
        <w:t xml:space="preserve"> </w:t>
      </w:r>
      <w:r>
        <w:t xml:space="preserve">was used to categorize legislation by direct threats to salmon conservation.</w:t>
      </w:r>
      <w:r>
        <w:t xml:space="preserve"> </w:t>
      </w:r>
      <w:r>
        <w:rPr>
          <w:b/>
          <w:bCs/>
        </w:rPr>
        <w:t xml:space="preserve">Level 2 threat classification</w:t>
      </w:r>
      <w:r>
        <w:t xml:space="preserve"> </w:t>
      </w:r>
      <w:r>
        <w:t xml:space="preserve">was used as the finest resolution that could be applied consistently.</w:t>
      </w:r>
    </w:p>
    <w:p>
      <w:pPr>
        <w:pStyle w:val="Compact"/>
        <w:numPr>
          <w:ilvl w:val="0"/>
          <w:numId w:val="1003"/>
        </w:numPr>
      </w:pPr>
      <w:r>
        <w:rPr>
          <w:b/>
          <w:bCs/>
        </w:rPr>
        <w:t xml:space="preserve">DG - Not everyone will be familiar with the different threat levels in this framework. Before this sentence, a brief explanation of the threats hierarchy could help the unfamiliar reader. You could point the reader to the original publication of this framework (</w:t>
      </w:r>
      <w:hyperlink r:id="rId33">
        <w:r>
          <w:rPr>
            <w:rStyle w:val="Hyperlink"/>
            <w:b/>
            <w:bCs/>
          </w:rPr>
          <w:t xml:space="preserve">The Society for Conservation Biology</w:t>
        </w:r>
      </w:hyperlink>
      <w:r>
        <w:rPr>
          <w:b/>
          <w:bCs/>
        </w:rPr>
        <w:t xml:space="preserve">), and/or summarize some key information from this paper, such as,</w:t>
      </w:r>
      <w:r>
        <w:rPr>
          <w:b/>
          <w:bCs/>
        </w:rPr>
        <w:t xml:space="preserve"> </w:t>
      </w:r>
      <w:r>
        <w:rPr>
          <w:b/>
          <w:bCs/>
        </w:rPr>
        <w:t xml:space="preserve">“</w:t>
      </w:r>
      <w:r>
        <w:rPr>
          <w:b/>
          <w:bCs/>
        </w:rPr>
        <w:t xml:space="preserve">The threat classification hierarchically categorizes threats into three levels. Each level one category (e.g., Agriculture &amp; Aquaculture) is further subdivided into several level two categories (e.g., Annual &amp; Perennial Non-Timber Crops, Marine &amp; Freshwater Aquaculture), and are subsequently into numerous level three and four categories.</w:t>
      </w:r>
      <w:r>
        <w:rPr>
          <w:b/>
          <w:bCs/>
        </w:rPr>
        <w:t xml:space="preserve">”</w:t>
      </w:r>
      <w:r>
        <w:rPr>
          <w:b/>
          <w:bCs/>
        </w:rPr>
        <w:t xml:space="preserve"> </w:t>
      </w:r>
      <w:r>
        <w:rPr>
          <w:b/>
          <w:bCs/>
        </w:rPr>
        <w:t xml:space="preserve">Something like this could help the reader follow the sentence that explains why level two was chosen (consistent application).</w:t>
      </w:r>
    </w:p>
    <w:p>
      <w:pPr>
        <w:pStyle w:val="FirstParagraph"/>
      </w:pPr>
      <w:r>
        <w:t xml:space="preserve">Legislative clauses that influence Pacific salmon governance in British Columbia are not always associated with conservation threats. As well, some clauses may involve all threats. For example, statutes that outline species status or determine ecological reserves have relevance to how salmon are managed, but can’t be attributed to any one IUCN threat category. Pacific salmon life history also ranges over a broad geography of marine and freshwater habitat (including terrestrial watershed aspects), touching on almost every conservation threat available. We developed management domain categories through this study as a clearer and more comprehensive alignment between regulatory administrative concern and conservation threat categories (Figure</w:t>
      </w:r>
      <w:r>
        <w:t xml:space="preserve"> </w:t>
      </w:r>
      <w:r>
        <w:t xml:space="preserve">3</w:t>
      </w:r>
      <w:r>
        <w:t xml:space="preserve">).</w:t>
      </w:r>
    </w:p>
    <w:p>
      <w:pPr>
        <w:pStyle w:val="CaptionedFigure"/>
      </w:pPr>
      <w:r>
        <w:drawing>
          <wp:inline>
            <wp:extent cx="5943600" cy="3343275"/>
            <wp:effectExtent b="0" l="0" r="0" t="0"/>
            <wp:docPr descr="Figure 3: Flowchart showing alignment of IUCN Level 2 threat categories with Management Domain in relation to legislation and jurisdiction." title="" id="35" name="Picture"/>
            <a:graphic>
              <a:graphicData uri="http://schemas.openxmlformats.org/drawingml/2006/picture">
                <pic:pic>
                  <pic:nvPicPr>
                    <pic:cNvPr descr="../assets/Management%20Domain%20Flowchart.png" id="36" name="Picture"/>
                    <pic:cNvPicPr>
                      <a:picLocks noChangeArrowheads="1" noChangeAspect="1"/>
                    </pic:cNvPicPr>
                  </pic:nvPicPr>
                  <pic:blipFill>
                    <a:blip r:embed="rId34"/>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37" w:name="fig:fig-flowchart-image"/>
      <w:bookmarkEnd w:id="37"/>
      <w:r>
        <w:t xml:space="preserve">Figure 3: Flowchart showing alignment of IUCN Level 2 threat categories with Management Domain in relation to legislation and jurisdiction.</w:t>
      </w:r>
    </w:p>
    <w:bookmarkEnd w:id="38"/>
    <w:bookmarkStart w:id="48" w:name="a-process-for-clause-categorization"/>
    <w:p>
      <w:pPr>
        <w:pStyle w:val="Heading1"/>
      </w:pPr>
      <w:r>
        <w:t xml:space="preserve">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accumulate and review legislation (CanLii); parse legislation by clause (paragraph), section, and heading; match management domain and IUCN threat keywords to clauses; assign salmon-specific scope categories; match clause type keywords to clauses.</w:t>
      </w:r>
    </w:p>
    <w:bookmarkStart w:id="40" w:name="legislation-accumulation-and-review"/>
    <w:p>
      <w:pPr>
        <w:pStyle w:val="Heading2"/>
      </w:pPr>
      <w:r>
        <w:t xml:space="preserve">Legislation accumulation and review</w:t>
      </w:r>
    </w:p>
    <w:p>
      <w:pPr>
        <w:pStyle w:val="FirstParagraph"/>
      </w:pPr>
      <w:r>
        <w:t xml:space="preserve">We accumulated Canadian federal and British Columbian provincial legislation according to their relevance to salmon and habitat management. For this study, the term legislation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itself is a better indicator of a jurisdiction’s long-term commitment to natural resource stewardship</w:t>
      </w:r>
      <w:r>
        <w:t xml:space="preserve"> </w:t>
      </w:r>
      <w:r>
        <w:t xml:space="preserve">(Bogetti and Mason 2025)</w:t>
      </w:r>
      <w:r>
        <w:t xml:space="preserve"> </w:t>
      </w:r>
      <w:r>
        <w:t xml:space="preserve">because these policies are more prone to changes in the political, administrative, and budgetary landscape without due process or a parliamentary vote. Specific departmental policy frameworks and processes were not assessed within this exercise.</w:t>
      </w:r>
    </w:p>
    <w:p>
      <w:pPr>
        <w:pStyle w:val="BodyText"/>
      </w:pPr>
      <w:r>
        <w:t xml:space="preserve">Indigenous legislation, Yukon Territorial legislation, municipal bylaws, and international conventions were also not included explicitly. Although this other legislation is pivotal in the management of Pacific salmon, this regionally diverse administration was outside the scope of this legislative review in terms of feasibility and timelines.</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Pacific salmon specific terms (salmon, Chinook, sockeye, etc.); extract other keywords from the salmon-specific legislation (word frequency analysis using udpipe R package); query found keywords and IUCN Threat description wording in CanLII to find adjacent legislation; filter legislation regionally (excluding provinces other than BC); and download HTML files for relevant legislation directly from government websites.</w:t>
      </w:r>
    </w:p>
    <w:p>
      <w:pPr>
        <w:pStyle w:val="Compact"/>
        <w:numPr>
          <w:ilvl w:val="0"/>
          <w:numId w:val="1004"/>
        </w:numPr>
      </w:pPr>
      <w:r>
        <w:rPr>
          <w:b/>
          <w:bCs/>
        </w:rPr>
        <w:t xml:space="preserve">DG - Needs citation - citation(</w:t>
      </w:r>
      <w:r>
        <w:rPr>
          <w:b/>
          <w:bCs/>
        </w:rPr>
        <w:t xml:space="preserve">“</w:t>
      </w:r>
      <w:r>
        <w:rPr>
          <w:b/>
          <w:bCs/>
        </w:rPr>
        <w:t xml:space="preserve">packagename</w:t>
      </w:r>
      <w:r>
        <w:rPr>
          <w:b/>
          <w:bCs/>
        </w:rPr>
        <w:t xml:space="preserve">”</w:t>
      </w:r>
      <w:r>
        <w:rPr>
          <w:b/>
          <w:bCs/>
        </w:rPr>
        <w:t xml:space="preserve">) in R can get you this</w:t>
      </w:r>
    </w:p>
    <w:p>
      <w:pPr>
        <w:pStyle w:val="FirstParagraph"/>
      </w:pPr>
      <w:r>
        <w:t xml:space="preserve">Through the CanLII website, the user may look up the keywords queried in each statute chosen. This allows the user to quickly assess the context of the word in the legislation and determine if the section is relevant to Pacific salmon. The number of statutes collected for inclusion in this study is shown in Table</w:t>
      </w:r>
      <w:r>
        <w:t xml:space="preserve"> </w:t>
      </w:r>
      <w:r>
        <w:t xml:space="preserve">1</w:t>
      </w:r>
      <w:r>
        <w:t xml:space="preserve">.</w:t>
      </w:r>
    </w:p>
    <w:p>
      <w:pPr>
        <w:pStyle w:val="TableCaption"/>
      </w:pPr>
      <w:bookmarkStart w:id="39" w:name="tab:legislation-summary-table"/>
      <w:bookmarkEnd w:id="39"/>
      <w:r>
        <w:t xml:space="preserve">Table 1:</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p>
      <w:pPr>
        <w:pStyle w:val="BodyText"/>
      </w:pPr>
      <w:r>
        <w:br/>
      </w:r>
    </w:p>
    <w:bookmarkEnd w:id="40"/>
    <w:bookmarkStart w:id="45" w:name="legistics-parsing-legislation"/>
    <w:p>
      <w:pPr>
        <w:pStyle w:val="Heading2"/>
      </w:pPr>
      <w:r>
        <w:t xml:space="preserve">Legistics: parsing legislation</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Fisheries Act (federal) examples of paragraph parsing from HTML code." title="" id="42" name="Picture"/>
            <a:graphic>
              <a:graphicData uri="http://schemas.openxmlformats.org/drawingml/2006/picture">
                <pic:pic>
                  <pic:nvPicPr>
                    <pic:cNvPr descr="../assets/Legistics%20Paragraphing.png" id="43" name="Picture"/>
                    <pic:cNvPicPr>
                      <a:picLocks noChangeArrowheads="1" noChangeAspect="1"/>
                    </pic:cNvPicPr>
                  </pic:nvPicPr>
                  <pic:blipFill>
                    <a:blip r:embed="rId41"/>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4" w:name="fig:fig-legistics-paragraphing"/>
      <w:bookmarkEnd w:id="44"/>
      <w:r>
        <w:t xml:space="preserve">Figure 4:</w:t>
      </w:r>
      <w:r>
        <w:t xml:space="preserve"> </w:t>
      </w:r>
      <w:r>
        <w:t xml:space="preserve">Fisheries Act (federal) examples of paragraph parsing from HTML code.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 to extract the text of each clause, then grouped by section and heading.</w:t>
      </w:r>
    </w:p>
    <w:p>
      <w:pPr>
        <w:pStyle w:val="Compact"/>
        <w:numPr>
          <w:ilvl w:val="0"/>
          <w:numId w:val="1005"/>
        </w:numPr>
      </w:pPr>
      <w:r>
        <w:rPr>
          <w:b/>
          <w:bCs/>
        </w:rPr>
        <w:t xml:space="preserve">DG - Also needs a citation. Note to be consistent in the introduction of R package names. udpipe doesn’t have quotation marks, this one does. The formatting depends on the citation style, so it can be changed later, but a consistent starting point would be good.</w:t>
      </w:r>
    </w:p>
    <w:bookmarkEnd w:id="45"/>
    <w:bookmarkStart w:id="46" w:name="compendium-development"/>
    <w:p>
      <w:pPr>
        <w:pStyle w:val="Heading2"/>
      </w:pPr>
      <w:r>
        <w:t xml:space="preserve">Compendium development</w:t>
      </w:r>
    </w:p>
    <w:p>
      <w:pPr>
        <w:pStyle w:val="FirstParagraph"/>
      </w:pPr>
      <w:r>
        <w:t xml:space="preserve">The parsed legislation was stored in a SQLite database with datatables including jurisdiction, act name, legislation name, legislation type, paragraph content, section, heading, management domain, IUCN threat category, scope, and keywords matched. Storing the data as a database rather than one large spreadsheet allowed for a more dynamic and versatile system for querying, while streamlining the parsing and collection process.</w:t>
      </w:r>
    </w:p>
    <w:bookmarkEnd w:id="46"/>
    <w:bookmarkStart w:id="47" w:name="keyword-and-keyphrase-development"/>
    <w:p>
      <w:pPr>
        <w:pStyle w:val="Heading2"/>
      </w:pPr>
      <w:r>
        <w:t xml:space="preserve">Keyword and keyphrase development</w:t>
      </w:r>
    </w:p>
    <w:p>
      <w:pPr>
        <w:pStyle w:val="FirstParagraph"/>
      </w:pPr>
      <w:r>
        <w:t xml:space="preserve">The management domain and IUCN threat matching process pivoted around an established list of keywords and phrases relevant to Pacific salmon management. Keywords act as the language link between categorization and the legislative clauses. Keywords must be specific enough to match an IUCN threat, yet general enough to appear in multiple acts and regulations that span many decades of legislative language.</w:t>
      </w:r>
    </w:p>
    <w:p>
      <w:pPr>
        <w:pStyle w:val="BodyText"/>
      </w:pPr>
      <w:r>
        <w:t xml:space="preserve">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 The keyword and keyphrase development process required an iterative researcher revision step because of the varied context of language. While the words used in the IUCN threat definitions may be specific to those threats, they may not be relevant to salmon management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in the context of the physical footprint of landfill sites. Much of the collected legislation deals with pollution, in which landfills are mentioned as a source of effluent. However, for salmon habitat, the main threat would come from water effluent, rather than the physical impact of landfill sites proximal to salmon habitat,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management in British Columbia, yet that word doesn’t appear in the IUCN threat examples or word frequency analyses. As well,</w:t>
      </w:r>
      <w:r>
        <w:t xml:space="preserve"> </w:t>
      </w:r>
      <w:r>
        <w:t xml:space="preserve">“</w:t>
      </w:r>
      <w:r>
        <w:t xml:space="preserve">riparian</w:t>
      </w:r>
      <w:r>
        <w:t xml:space="preserve">”</w:t>
      </w:r>
      <w:r>
        <w:t xml:space="preserve"> </w:t>
      </w:r>
      <w:r>
        <w:t xml:space="preserve">doesn’t appear in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numPr>
          <w:ilvl w:val="0"/>
          <w:numId w:val="1006"/>
        </w:numPr>
      </w:pPr>
      <w:r>
        <w:rPr>
          <w:b/>
          <w:bCs/>
        </w:rPr>
        <w:t xml:space="preserve">DG - I think this example adequately gets across the idea that keywords may have multiple meanings and may be misaligned with threat categories. I’ve provided some edits for consideration that attempt to refine the context of the threat category definitions. Feel free to refine/reject my edits, and let me know if the ideas I’m attempting to introduce don’t make sense. Happy to discuss further.</w:t>
      </w:r>
    </w:p>
    <w:p>
      <w:pPr>
        <w:numPr>
          <w:ilvl w:val="0"/>
          <w:numId w:val="1006"/>
        </w:numPr>
      </w:pPr>
      <w:r>
        <w:rPr>
          <w:b/>
          <w:bCs/>
        </w:rPr>
        <w:t xml:space="preserve">DG</w:t>
      </w:r>
      <w:r>
        <w:t xml:space="preserve"> </w:t>
      </w:r>
      <w:r>
        <w:t xml:space="preserve">-</w:t>
      </w:r>
      <w:r>
        <w:t xml:space="preserve"> </w:t>
      </w:r>
      <w:r>
        <w:rPr>
          <w:b/>
          <w:bCs/>
        </w:rPr>
        <w:t xml:space="preserve">This is the first time that</w:t>
      </w:r>
      <w:r>
        <w:rPr>
          <w:b/>
          <w:bCs/>
        </w:rPr>
        <w:t xml:space="preserve"> </w:t>
      </w:r>
      <w:r>
        <w:rPr>
          <w:b/>
          <w:bCs/>
        </w:rPr>
        <w:t xml:space="preserve">“</w:t>
      </w:r>
      <w:r>
        <w:rPr>
          <w:b/>
          <w:bCs/>
        </w:rPr>
        <w:t xml:space="preserve">tool</w:t>
      </w:r>
      <w:r>
        <w:rPr>
          <w:b/>
          <w:bCs/>
        </w:rPr>
        <w:t xml:space="preserve">”</w:t>
      </w:r>
      <w:r>
        <w:rPr>
          <w:b/>
          <w:bCs/>
        </w:rPr>
        <w:t xml:space="preserve"> </w:t>
      </w:r>
      <w:r>
        <w:rPr>
          <w:b/>
          <w:bCs/>
        </w:rPr>
        <w:t xml:space="preserve">is used to describe the project. It may be helpful to introduce the concept of this project’s outcomes as a tool in an earlier part of the report, possibly in the section introducing the objectives.</w:t>
      </w:r>
    </w:p>
    <w:p>
      <w:pPr>
        <w:pStyle w:val="FirstParagraph"/>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management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p>
      <w:pPr>
        <w:pStyle w:val="Compact"/>
        <w:numPr>
          <w:ilvl w:val="0"/>
          <w:numId w:val="1007"/>
        </w:numPr>
      </w:pPr>
      <w:r>
        <w:rPr>
          <w:b/>
          <w:bCs/>
        </w:rPr>
        <w:t xml:space="preserve">The number of statutes per se is not generally indicative of overall quality or potential effectiveness of any legal framework</w:t>
      </w:r>
      <w:r>
        <w:rPr>
          <w:b/>
          <w:bCs/>
        </w:rPr>
        <w:t xml:space="preserve"> </w:t>
      </w:r>
      <w:r>
        <w:rPr>
          <w:b/>
          <w:bCs/>
        </w:rPr>
        <w:t xml:space="preserve">(Ray et al. 2021)</w:t>
      </w:r>
    </w:p>
    <w:bookmarkEnd w:id="47"/>
    <w:bookmarkEnd w:id="48"/>
    <w:bookmarkStart w:id="69" w:name="X21d2b709a3b2e27437c410286f2936ef3517541"/>
    <w:p>
      <w:pPr>
        <w:pStyle w:val="Heading1"/>
      </w:pPr>
      <w:r>
        <w:t xml:space="preserve">Management domains and the LAPSE framework</w:t>
      </w:r>
    </w:p>
    <w:p>
      <w:pPr>
        <w:pStyle w:val="FirstParagraph"/>
      </w:pPr>
      <w:r>
        <w:t xml:space="preserve">Management domains represent a reframing of multi-jurisdictional issues by salmon management concern rather than specific agency. This tool can then be used by practitioners to view binding legislation when considering actions or proposals. Using the IUCN-CMP Direct Threats Classification 4.0, and other broader categories identified through this exercise process, the following management domains were identified (Table</w:t>
      </w:r>
      <w:r>
        <w:t xml:space="preserve"> </w:t>
      </w:r>
      <w:r>
        <w:t xml:space="preserve">2</w:t>
      </w:r>
      <w:r>
        <w:t xml:space="preserve">).</w:t>
      </w:r>
    </w:p>
    <w:p>
      <w:pPr>
        <w:pStyle w:val="TableCaption"/>
      </w:pPr>
      <w:bookmarkStart w:id="49" w:name="tab:management-domain-tally"/>
      <w:bookmarkEnd w:id="49"/>
      <w:r>
        <w:t xml:space="preserve">Table 2:</w:t>
      </w:r>
      <w:r>
        <w:t xml:space="preserve"> </w:t>
      </w:r>
      <w:r>
        <w:t xml:space="preserve">Count of statutes, sections, and clauses by management domain.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825"/>
        <w:gridCol w:w="1279"/>
        <w:gridCol w:w="1328"/>
        <w:gridCol w:w="1254"/>
      </w:tblGrid>
      <w:tr>
        <w:trPr>
          <w:trHeight w:val="6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61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r>
      <w:tr>
        <w:trPr>
          <w:trHeight w:val="61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r>
      <w:tr>
        <w:trPr>
          <w:trHeight w:val="60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2,844</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1,273</w:t>
            </w:r>
          </w:p>
        </w:tc>
      </w:tr>
      <w:tr>
        <w:trPr>
          <w:trHeight w:val="60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4,004</w:t>
            </w:r>
          </w:p>
        </w:tc>
      </w:tr>
      <w:tr>
        <w:trPr>
          <w:trHeight w:val="5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1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985</w:t>
            </w:r>
          </w:p>
        </w:tc>
      </w:tr>
      <w:tr>
        <w:trPr>
          <w:trHeight w:val="6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w:t>
            </w:r>
          </w:p>
        </w:tc>
      </w:tr>
      <w:tr>
        <w:trPr>
          <w:trHeight w:val="60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7,611</w:t>
            </w:r>
          </w:p>
        </w:tc>
      </w:tr>
      <w:tr>
        <w:trPr>
          <w:trHeight w:val="5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978</w:t>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7,151</w:t>
            </w:r>
          </w:p>
        </w:tc>
      </w:tr>
      <w:tr>
        <w:trPr>
          <w:trHeight w:val="61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787</w:t>
            </w:r>
          </w:p>
        </w:tc>
      </w:tr>
      <w:tr>
        <w:trPr>
          <w:trHeight w:val="615"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973</w:t>
            </w:r>
          </w:p>
        </w:tc>
      </w:tr>
      <w:tr>
        <w:trPr>
          <w:trHeight w:val="60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4,099</w:t>
            </w:r>
          </w:p>
        </w:tc>
      </w:tr>
      <w:tr>
        <w:trPr>
          <w:trHeight w:val="604"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9,468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32,378</w:t>
            </w:r>
          </w:p>
        </w:tc>
      </w:tr>
    </w:tbl>
    <w:p>
      <w:pPr>
        <w:pStyle w:val="BodyText"/>
      </w:pPr>
      <w:r>
        <w:br/>
      </w:r>
    </w:p>
    <w:p>
      <w:pPr>
        <w:pStyle w:val="BodyText"/>
      </w:pPr>
      <w:r>
        <w:t xml:space="preserve">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(research 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aptionedFigure"/>
      </w:pPr>
      <w:r>
        <w:drawing>
          <wp:inline>
            <wp:extent cx="5943600" cy="4457699"/>
            <wp:effectExtent b="0" l="0" r="0" t="0"/>
            <wp:docPr descr="Figure 5: Count of sections matched by management domain, stacked by jurisdiction." title="" id="51" name="Picture"/>
            <a:graphic>
              <a:graphicData uri="http://schemas.openxmlformats.org/drawingml/2006/picture">
                <pic:pic>
                  <pic:nvPicPr>
                    <pic:cNvPr descr="LAPSE_primary_publication_files/figure-docx/section-count-by-management-domain-1.png" id="52" name="Picture"/>
                    <pic:cNvPicPr>
                      <a:picLocks noChangeArrowheads="1" noChangeAspect="1"/>
                    </pic:cNvPicPr>
                  </pic:nvPicPr>
                  <pic:blipFill>
                    <a:blip r:embed="rId50"/>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3" w:name="fig:section-count-by-management-domain"/>
      <w:bookmarkEnd w:id="53"/>
      <w:r>
        <w:t xml:space="preserve">Figure 5: Count of sections matched by management domain, stacked by jurisdiction.</w:t>
      </w:r>
    </w:p>
    <w:bookmarkStart w:id="58" w:name="iucn-level-2-categories"/>
    <w:p>
      <w:pPr>
        <w:pStyle w:val="Heading2"/>
      </w:pPr>
      <w:r>
        <w:t xml:space="preserve">IUCN Level 2 categories</w:t>
      </w:r>
    </w:p>
    <w:p>
      <w:pPr>
        <w:pStyle w:val="FirstParagraph"/>
      </w:pPr>
      <w:r>
        <w:t xml:space="preserve">IUCN Level 2 categories are more specific, and the categorization process matched to 25 categories (Figure</w:t>
      </w:r>
      <w:r>
        <w:t xml:space="preserve"> </w:t>
      </w:r>
      <w:r>
        <w:t xml:space="preserve">6</w:t>
      </w:r>
      <w:r>
        <w:t xml:space="preserve">) that parallel the management domain categories. Multiple IUCN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 threat category, separated by jurisdiction." title="" id="55" name="Picture"/>
            <a:graphic>
              <a:graphicData uri="http://schemas.openxmlformats.org/drawingml/2006/picture">
                <pic:pic>
                  <pic:nvPicPr>
                    <pic:cNvPr descr="LAPSE_primary_publication_files/figure-docx/fig-section-count-by-iucn-1.png" id="56" name="Picture"/>
                    <pic:cNvPicPr>
                      <a:picLocks noChangeArrowheads="1" noChangeAspect="1"/>
                    </pic:cNvPicPr>
                  </pic:nvPicPr>
                  <pic:blipFill>
                    <a:blip r:embed="rId5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7" w:name="fig:fig-section-count-by-iucn"/>
      <w:bookmarkEnd w:id="57"/>
      <w:r>
        <w:t xml:space="preserve">Figure 6: Section counts by IUCN threat category, separated by jurisdiction.</w:t>
      </w:r>
    </w:p>
    <w:bookmarkEnd w:id="58"/>
    <w:bookmarkStart w:id="68" w:name="salmon-specific-scope"/>
    <w:p>
      <w:pPr>
        <w:pStyle w:val="Heading2"/>
      </w:pPr>
      <w:r>
        <w:t xml:space="preserve">Salmon-specific scope</w:t>
      </w:r>
    </w:p>
    <w:p>
      <w:pPr>
        <w:pStyle w:val="FirstParagraph"/>
      </w:pPr>
      <w:r>
        <w:t xml:space="preserve">Regulatory language that can be matched to management domain and IUCN threat categories is not inherently relevant to Pacific salmon. However, clauses fall within a relevance spectrum. For example, a clause that states catch limits for Chinook salmon would be much more specific to salmon management than a clause that states that a minister shall include ecological integrity objectives in a park management plan. Both clauses influence salmon governance and management,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language used in the section (Figure</w:t>
      </w:r>
      <w:r>
        <w:t xml:space="preserve"> </w:t>
      </w:r>
      <w:r>
        <w:t xml:space="preserve">7</w:t>
      </w:r>
      <w:r>
        <w:t xml:space="preserve">). The scope categories were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CaptionedFigure"/>
      </w:pPr>
      <w:r>
        <w:drawing>
          <wp:inline>
            <wp:extent cx="5943600" cy="5200649"/>
            <wp:effectExtent b="0" l="0" r="0" t="0"/>
            <wp:docPr descr="Figure 7: Proportion of sections by management domain, displayed as concentric rings representing scope categories (inner to outer: 1 - Salmon, 2 - Fish, 3 - Habitat, 4 - Governance)." title="" id="60" name="Picture"/>
            <a:graphic>
              <a:graphicData uri="http://schemas.openxmlformats.org/drawingml/2006/picture">
                <pic:pic>
                  <pic:nvPicPr>
                    <pic:cNvPr descr="LAPSE_primary_publication_files/figure-docx/multiscope-donut-1.png" id="61" name="Picture"/>
                    <pic:cNvPicPr>
                      <a:picLocks noChangeArrowheads="1" noChangeAspect="1"/>
                    </pic:cNvPicPr>
                  </pic:nvPicPr>
                  <pic:blipFill>
                    <a:blip r:embed="rId59"/>
                    <a:stretch>
                      <a:fillRect/>
                    </a:stretch>
                  </pic:blipFill>
                  <pic:spPr bwMode="auto">
                    <a:xfrm>
                      <a:off x="0" y="0"/>
                      <a:ext cx="5943600" cy="5200649"/>
                    </a:xfrm>
                    <a:prstGeom prst="rect">
                      <a:avLst/>
                    </a:prstGeom>
                    <a:noFill/>
                    <a:ln w="9525">
                      <a:noFill/>
                      <a:headEnd/>
                      <a:tailEnd/>
                    </a:ln>
                  </pic:spPr>
                </pic:pic>
              </a:graphicData>
            </a:graphic>
          </wp:inline>
        </w:drawing>
      </w:r>
    </w:p>
    <w:p>
      <w:pPr>
        <w:pStyle w:val="ImageCaption"/>
      </w:pPr>
      <w:bookmarkStart w:id="62" w:name="fig:multiscope-donut"/>
      <w:bookmarkEnd w:id="62"/>
      <w:r>
        <w:t xml:space="preserve">Figure 7: Proportion of sections by management domain, displayed as concentric rings representing scope categories (inner to outer: 1 - Salmon, 2 - Fish, 3 - Habitat, 4 - Governance).</w:t>
      </w:r>
    </w:p>
    <w:p>
      <w:pPr>
        <w:pStyle w:val="Compact"/>
        <w:numPr>
          <w:ilvl w:val="0"/>
          <w:numId w:val="1008"/>
        </w:numPr>
      </w:pPr>
      <w:r>
        <w:rPr>
          <w:b/>
          <w:bCs/>
        </w:rPr>
        <w:t xml:space="preserve">DG - This is a super cool figure. I have a couple of questions about it. How was the order of the categories decided? Governance is the largest ring as #4, but it has the fewest management domains, so it could be more easily interpreted as a smaller ring compared to salmon, which relates to many categories but is the smallest ring at #1. I also find the colours difficult to distinguish. I assume this pattern was used because there are so many categories and a categorical colour scheme may be difficult with so many categories. I suggest devising an accessible colour scheme using an online tool for the maximum feasible number of categories, and then perhaps add linework/cross hatching to further distinguish the remaining categories. Currently, the gradient suggests in a way that there’s a relationship between proximal management domains, but it merely is arranged alphabetically.</w:t>
      </w:r>
    </w:p>
    <w:p>
      <w:pPr>
        <w:pStyle w:val="FirstParagraph"/>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63" w:name="tab:scope-tally"/>
      <w:bookmarkEnd w:id="63"/>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11,364</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7,718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30,839</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8</w:t>
      </w:r>
      <w:r>
        <w:t xml:space="preserve">, specifically, the British Columbia Sport Fishing Regulations, 1996; National Parks of Canada Fishing Regulations; and Pacific Fishery Regulations 1993. It is also interesting to note that the federal Fisheries Act does not use the word</w:t>
      </w:r>
      <w:r>
        <w:t xml:space="preserve"> </w:t>
      </w:r>
      <w:r>
        <w:t xml:space="preserve">“</w:t>
      </w:r>
      <w:r>
        <w:t xml:space="preserve">salmon</w:t>
      </w:r>
      <w:r>
        <w:t xml:space="preserve">”</w:t>
      </w:r>
      <w:r>
        <w:t xml:space="preserve"> </w:t>
      </w:r>
      <w:r>
        <w:t xml:space="preserve">or any salmon-specific keywords (</w:t>
      </w:r>
      <w:r>
        <w:t xml:space="preserve">“</w:t>
      </w:r>
      <w:r>
        <w:t xml:space="preserve">1 - Salmon</w:t>
      </w:r>
      <w:r>
        <w:t xml:space="preserve">”</w:t>
      </w:r>
      <w:r>
        <w:t xml:space="preserve">) at all, only the regulations made under the</w:t>
      </w:r>
      <w:r>
        <w:t xml:space="preserve"> </w:t>
      </w:r>
      <w:r>
        <w:rPr>
          <w:i/>
          <w:iCs/>
        </w:rPr>
        <w:t xml:space="preserve">Fisheries Act</w:t>
      </w:r>
      <w:r>
        <w:t xml:space="preserve"> </w:t>
      </w:r>
      <w:r>
        <w:t xml:space="preserve">use salmon-specific language.</w:t>
      </w:r>
    </w:p>
    <w:p>
      <w:pPr>
        <w:pStyle w:val="CaptionedFigure"/>
      </w:pPr>
      <w:r>
        <w:drawing>
          <wp:inline>
            <wp:extent cx="5943600" cy="4457699"/>
            <wp:effectExtent b="0" l="0" r="0" t="0"/>
            <wp:docPr descr="Figure 8: Count of sections by legislation for scope category ‘1 - Salmon’, coloured by jurisdiction." title="" id="65" name="Picture"/>
            <a:graphic>
              <a:graphicData uri="http://schemas.openxmlformats.org/drawingml/2006/picture">
                <pic:pic>
                  <pic:nvPicPr>
                    <pic:cNvPr descr="LAPSE_primary_publication_files/figure-docx/section-count-salmon-scope-1.png" id="66" name="Picture"/>
                    <pic:cNvPicPr>
                      <a:picLocks noChangeArrowheads="1" noChangeAspect="1"/>
                    </pic:cNvPicPr>
                  </pic:nvPicPr>
                  <pic:blipFill>
                    <a:blip r:embed="rId6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7" w:name="fig:section-count-salmon-scope"/>
      <w:bookmarkEnd w:id="67"/>
      <w:r>
        <w:t xml:space="preserve">Figure 8: Count of sections by legislation for scope category</w:t>
      </w:r>
      <w:r>
        <w:t xml:space="preserve"> </w:t>
      </w:r>
      <w:r>
        <w:t xml:space="preserve">‘</w:t>
      </w:r>
      <w:r>
        <w:t xml:space="preserve">1 - Salmon</w:t>
      </w:r>
      <w:r>
        <w:t xml:space="preserve">’</w:t>
      </w:r>
      <w:r>
        <w:t xml:space="preserve">, coloured by jurisdiction.</w:t>
      </w:r>
    </w:p>
    <w:p>
      <w:pPr>
        <w:pStyle w:val="BodyText"/>
      </w:pPr>
      <w:r>
        <w:br/>
      </w:r>
    </w:p>
    <w:bookmarkEnd w:id="68"/>
    <w:bookmarkEnd w:id="69"/>
    <w:bookmarkStart w:id="71" w:name="legislative-factors-clause-types"/>
    <w:p>
      <w:pPr>
        <w:pStyle w:val="Heading1"/>
      </w:pPr>
      <w:r>
        <w:t xml:space="preserve">Legislative factors: clause types</w:t>
      </w:r>
    </w:p>
    <w:p>
      <w:pPr>
        <w:pStyle w:val="FirstParagraph"/>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70" w:name="tab:clause-type-with-domain-tally"/>
      <w:bookmarkEnd w:id="70"/>
      <w:r>
        <w:t xml:space="preserve">Table 4:</w:t>
      </w:r>
      <w:r>
        <w:t xml:space="preserve"> </w:t>
      </w:r>
      <w:r>
        <w:t xml:space="preserve">Section counts by management domain and clause type. Column abbreviations: Admin. = Administration, Application, &amp; Structure; Auth. = Authorization &amp; Mandate; Desig. = Designation; Instr. = Instruction; Interp. = Interpretation &amp; Purpose; Licence = Licence, Permitting, &amp; Exemptions; Prohib. = Prohibition, Restriction, or Limitation.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3,361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1,239</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3,609</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3,227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3,474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3,015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2,898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1,702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19,164</w:t>
            </w:r>
          </w:p>
        </w:tc>
      </w:tr>
    </w:tbl>
    <w:p>
      <w:pPr>
        <w:pStyle w:val="BodyText"/>
      </w:pPr>
      <w:r>
        <w:br/>
      </w:r>
    </w:p>
    <w:bookmarkEnd w:id="71"/>
    <w:bookmarkStart w:id="90" w:name="X3d1f28ebf57a42a02e6321b912ef3127a66a1d5"/>
    <w:p>
      <w:pPr>
        <w:pStyle w:val="Heading1"/>
      </w:pPr>
      <w:r>
        <w:t xml:space="preserve">Recovery potential assessments (RPA) and threat ranking case studies</w:t>
      </w:r>
    </w:p>
    <w:p>
      <w:pPr>
        <w:pStyle w:val="FirstParagraph"/>
      </w:pPr>
      <w:r>
        <w:t xml:space="preserve">The </w:t>
      </w:r>
      <w:r>
        <w:rPr>
          <w:i/>
          <w:iCs/>
        </w:rPr>
        <w:t xml:space="preserve">Committee on the Status of Endangered Wildlife in Canada</w:t>
      </w:r>
      <w:r>
        <w:t xml:space="preserve"> </w:t>
      </w:r>
      <w:r>
        <w:t xml:space="preserve">(COSEWIC) assesses the status of wildlife species at risk in Canada, which is the first step in the process of listing a wildlife species under the</w:t>
      </w:r>
      <w:r>
        <w:t xml:space="preserve"> </w:t>
      </w:r>
      <w:r>
        <w:rPr>
          <w:i/>
          <w:iCs/>
        </w:rPr>
        <w:t xml:space="preserve">Species at Risk Act</w:t>
      </w:r>
      <w:r>
        <w:t xml:space="preserve"> </w:t>
      </w:r>
      <w:r>
        <w:t xml:space="preserve">(SARA). COSEWIC uses Designatable Units (DUs) to assess units below the level of a recognized taxonomic species if it has attributes that make it both</w:t>
      </w:r>
      <w:r>
        <w:t xml:space="preserve"> </w:t>
      </w:r>
      <w:r>
        <w:t xml:space="preserve">“</w:t>
      </w:r>
      <w:r>
        <w:t xml:space="preserve">discrete</w:t>
      </w:r>
      <w:r>
        <w:t xml:space="preserve">”</w:t>
      </w:r>
      <w:r>
        <w:t xml:space="preserve"> </w:t>
      </w:r>
      <w:r>
        <w:t xml:space="preserve">and</w:t>
      </w:r>
      <w:r>
        <w:t xml:space="preserve"> </w:t>
      </w:r>
      <w:r>
        <w:t xml:space="preserve">“</w:t>
      </w:r>
      <w:r>
        <w:t xml:space="preserve">evolutionarily significant</w:t>
      </w:r>
      <w:r>
        <w:t xml:space="preserve">”</w:t>
      </w:r>
      <w:r>
        <w:t xml:space="preserve">. COSEWIC has delineated DUs within Pacific salmon species according to these criteria for the purposes of its status assessments of these species. When a DU under DFO’s responsibility is designated as Threatened, Endangered, or Extirpated, a DFO-led Recovery Potential Assessment (RPA) process is initiated, which typically includes a threat assessment using the same IUCN-CMP threat classification used in this legislative assessment.</w:t>
      </w:r>
    </w:p>
    <w:p>
      <w:pPr>
        <w:numPr>
          <w:ilvl w:val="0"/>
          <w:numId w:val="1009"/>
        </w:numPr>
      </w:pPr>
      <w:r>
        <w:rPr>
          <w:b/>
          <w:bCs/>
        </w:rPr>
        <w:t xml:space="preserve">DG - I made some edits for your consideration to fill in some missing details about COSEWIC and the SARA process. Originally my revisions were a bit longer but I scaled it back to try and focus on key pieces. Happy to discuss if needed.</w:t>
      </w:r>
    </w:p>
    <w:p>
      <w:pPr>
        <w:numPr>
          <w:ilvl w:val="0"/>
          <w:numId w:val="1009"/>
        </w:numPr>
      </w:pPr>
      <w:r>
        <w:rPr>
          <w:b/>
          <w:bCs/>
        </w:rPr>
        <w:t xml:space="preserve">DG - Add this citation for this sentence</w:t>
      </w:r>
      <w:r>
        <w:rPr>
          <w:b/>
          <w:bCs/>
        </w:rPr>
        <w:t xml:space="preserve"> </w:t>
      </w:r>
      <w:hyperlink r:id="rId72">
        <w:r>
          <w:rPr>
            <w:rStyle w:val="Hyperlink"/>
            <w:b/>
            <w:bCs/>
          </w:rPr>
          <w:t xml:space="preserve">Cosewic - Guidelines for Recognizing Designatable Units</w:t>
        </w:r>
      </w:hyperlink>
    </w:p>
    <w:p>
      <w:pPr>
        <w:pStyle w:val="FirstParagraph"/>
      </w:pPr>
      <w:r>
        <w:t xml:space="preserve">DFO published</w:t>
      </w:r>
      <w:r>
        <w:t xml:space="preserve"> </w:t>
      </w:r>
      <w:r>
        <w:rPr>
          <w:i/>
          <w:iCs/>
        </w:rPr>
        <w:t xml:space="preserve">Canada’s Policy for Conservation of Wild Pacific Salmon</w:t>
      </w:r>
      <w:r>
        <w:t xml:space="preserve">, or the Wild Salmon Policy (WSP), in 2005, which outlines managing salmon as Conservation Units (CU), differing somewhat from the DUs used by COSEWIC. Conservation Units are defined in the WSP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2005). Since CUs are the most current unit for managing salmon in British Columbia, we incorporated CUs in this effort (Table 5).</w:t>
      </w:r>
    </w:p>
    <w:p>
      <w:pPr>
        <w:numPr>
          <w:ilvl w:val="0"/>
          <w:numId w:val="1010"/>
        </w:numPr>
      </w:pPr>
      <w:r>
        <w:rPr>
          <w:b/>
          <w:bCs/>
        </w:rPr>
        <w:t xml:space="preserve">DG - The COSEWIC status assessments for Pacific salmon have a good discussion of the similarities and differences between DUs and CUs. In my view, there are more similarities than differences, and this sentence seems to frame the two as being different.</w:t>
      </w:r>
    </w:p>
    <w:p>
      <w:pPr>
        <w:numPr>
          <w:ilvl w:val="0"/>
          <w:numId w:val="1010"/>
        </w:numPr>
      </w:pPr>
      <w:r>
        <w:rPr>
          <w:b/>
          <w:bCs/>
        </w:rPr>
        <w:t xml:space="preserve">DG - The RPAs were conducted with respect to DUs, since it is a part of the DFO SARA listing process. What this paragraph may be lacking is a discussion of how the salmon DUs were derived, partly based on the CUs DFO had already described. This results in most of the CUs/DUs lining up, except for Interior Fraser Coho (assessed as 1 DU in 2016, 5 CUs currently). Perhaps something to the effect of,</w:t>
      </w:r>
      <w:r>
        <w:rPr>
          <w:b/>
          <w:bCs/>
        </w:rPr>
        <w:t xml:space="preserve"> </w:t>
      </w:r>
      <w:r>
        <w:rPr>
          <w:b/>
          <w:bCs/>
        </w:rPr>
        <w:t xml:space="preserve">“</w:t>
      </w:r>
      <w:r>
        <w:rPr>
          <w:b/>
          <w:bCs/>
        </w:rPr>
        <w:t xml:space="preserve">Since the population structure described through the DU and CU systems largely overlaps for most salmon populations, we attribute the RPA threat assessment results for DUs to their corresponding CUs; however, in a case where a DU is represented by multiple CUs (e.g., interior Fraser Coho) or vice versa, we attributed the overall assessment to each component population</w:t>
      </w:r>
      <w:r>
        <w:rPr>
          <w:b/>
          <w:bCs/>
        </w:rPr>
        <w:t xml:space="preserve">”</w:t>
      </w:r>
      <w:r>
        <w:rPr>
          <w:b/>
          <w:bCs/>
        </w:rPr>
        <w:t xml:space="preserve">.</w:t>
      </w:r>
    </w:p>
    <w:p>
      <w:pPr>
        <w:pStyle w:val="TableCaption"/>
      </w:pPr>
      <w:bookmarkStart w:id="73" w:name="tab:cu-species-cu-name-table"/>
      <w:bookmarkEnd w:id="73"/>
      <w:r>
        <w:t xml:space="preserve">Table 5:</w:t>
      </w:r>
      <w:r>
        <w:t xml:space="preserve"> </w:t>
      </w:r>
      <w:r>
        <w:t xml:space="preserve">Conservation Units included in the DFO Recovery Potential Assessment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BOUNDARY BAY_FA_0.3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RIVER-UPPER PITT_SU_1.3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RIVER_FA_0.3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RIVER_SU_1.3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THOMPSON_SP_1.2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MARIA SLOUGH_SU_0.3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RIVER-PORTAGE_FA_1.3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FRASER-FRASER CANYON_SP_1.3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THOMPSON_SP_1.3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THOMPSON_SU_1.3</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OKANAGAN_0.X</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THOMPSON_SU_1.3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FRASER CANYON</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BOWRON-EARLY SUMMER TIMING</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CULTUS-LATE TIMING</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HARRISON-UPSTREAM MIGRATING-LATE TIMING</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BARRIERE-EARLY SUMMER TIMING</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QUESNEL-SUMMER TIMING</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SETON-LATE TIMING</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TAKLA/TREMBLEUR/STUART-SUMMER TIMING</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TASEKO-EARLY SUMMER TIMING</w:t>
            </w:r>
          </w:p>
        </w:tc>
      </w:tr>
      <w:tr>
        <w:trPr>
          <w:trHeight w:val="360" w:hRule="auto"/>
        </w:trPr>
        body31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w:t>
            </w:r>
          </w:p>
        </w:tc>
      </w:tr>
    </w:tbl>
    <w:p>
      <w:pPr>
        <w:numPr>
          <w:ilvl w:val="0"/>
          <w:numId w:val="1011"/>
        </w:numPr>
      </w:pPr>
      <w:r>
        <w:rPr>
          <w:b/>
          <w:bCs/>
        </w:rPr>
        <w:t xml:space="preserve">DG - I suggest adding a column that has the RPA citation that covers each group of DUs, since I don’t see the RPAs cited anywhere else.</w:t>
      </w:r>
    </w:p>
    <w:p>
      <w:pPr>
        <w:numPr>
          <w:ilvl w:val="0"/>
          <w:numId w:val="1011"/>
        </w:numPr>
      </w:pPr>
      <w:r>
        <w:rPr>
          <w:b/>
          <w:bCs/>
        </w:rPr>
        <w:t xml:space="preserve">DG - For consideration: mapping the CUs to their corresponding DUs in this table. The STREAM platform has a crosswalk for this.</w:t>
      </w:r>
    </w:p>
    <w:p>
      <w:pPr>
        <w:numPr>
          <w:ilvl w:val="0"/>
          <w:numId w:val="1011"/>
        </w:numPr>
      </w:pPr>
      <w:r>
        <w:rPr>
          <w:b/>
          <w:bCs/>
        </w:rPr>
        <w:t xml:space="preserve">DG - Following that train of thought, I think a more appropriate caption for this table would be: Designatable Units included in DFO’s Recovery Potential Assessment analyses and their corresponding Conservation Units</w:t>
      </w:r>
    </w:p>
    <w:p>
      <w:pPr>
        <w:numPr>
          <w:ilvl w:val="0"/>
          <w:numId w:val="1011"/>
        </w:numPr>
      </w:pPr>
      <w:r>
        <w:rPr>
          <w:b/>
          <w:bCs/>
        </w:rPr>
        <w:t xml:space="preserve">DG - I think it would be worth mentioning how this selection of RPAs done. My understanding is that it only included RPAs that conducted threat assessments following the IUCN threat categories. My recollection is that the Sakinaw Lake Sockeye RPA didn’t exactly follow it, so it was excluded from your analysis. Is this correct?</w:t>
      </w:r>
    </w:p>
    <w:p>
      <w:pPr>
        <w:pStyle w:val="FirstParagraph"/>
      </w:pPr>
      <w:r>
        <w:t xml:space="preserve">The RPA process identified two IUCN threat categories as being</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9</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w:t>
      </w:r>
    </w:p>
    <w:p>
      <w:pPr>
        <w:pStyle w:val="Compact"/>
        <w:numPr>
          <w:ilvl w:val="0"/>
          <w:numId w:val="1012"/>
        </w:numPr>
      </w:pPr>
      <w:r>
        <w:rPr>
          <w:b/>
          <w:bCs/>
        </w:rPr>
        <w:t xml:space="preserve">DG - Did you use the main threat tables in the body of the RPAs? Chinook DU14 also received a High-Extreme threat risk for 7.3 Other ecosystem modifications</w:t>
      </w:r>
    </w:p>
    <w:p>
      <w:pPr>
        <w:pStyle w:val="CaptionedFigure"/>
      </w:pPr>
      <w:r>
        <w:drawing>
          <wp:inline>
            <wp:extent cx="5943600" cy="4457699"/>
            <wp:effectExtent b="0" l="0" r="0" t="0"/>
            <wp:docPr descr="Figure 9: Conservation Unit count across IUCN threat categories and RPA threat rankings. Darker cells indicate more Conservation Units assessed at that threat level." title="" id="75" name="Picture"/>
            <a:graphic>
              <a:graphicData uri="http://schemas.openxmlformats.org/drawingml/2006/picture">
                <pic:pic>
                  <pic:nvPicPr>
                    <pic:cNvPr descr="LAPSE_primary_publication_files/figure-docx/cu-ranking-heatmap-1.png" id="76" name="Picture"/>
                    <pic:cNvPicPr>
                      <a:picLocks noChangeArrowheads="1" noChangeAspect="1"/>
                    </pic:cNvPicPr>
                  </pic:nvPicPr>
                  <pic:blipFill>
                    <a:blip r:embed="rId7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7" w:name="fig:cu-ranking-heatmap"/>
      <w:bookmarkEnd w:id="77"/>
      <w:r>
        <w:t xml:space="preserve">Figure 9: Conservation Unit count across IUCN threat categories and RPA threat rankings. Darker cells indicate more Conservation Units assessed at that threat level.</w:t>
      </w:r>
    </w:p>
    <w:p>
      <w:pPr>
        <w:numPr>
          <w:ilvl w:val="0"/>
          <w:numId w:val="1013"/>
        </w:numPr>
      </w:pPr>
      <w:r>
        <w:rPr>
          <w:b/>
          <w:bCs/>
        </w:rPr>
        <w:t xml:space="preserve">DG - It looks like the x-axis is organized alphabetically, causing some of the threats in categories 10 and 11 to be up at the top.</w:t>
      </w:r>
    </w:p>
    <w:p>
      <w:pPr>
        <w:numPr>
          <w:ilvl w:val="0"/>
          <w:numId w:val="1013"/>
        </w:numPr>
      </w:pPr>
      <w:r>
        <w:rPr>
          <w:b/>
          <w:bCs/>
        </w:rPr>
        <w:t xml:space="preserve">DG - Certain threat categories (e.g., pathogens) were only assessed in select RPAs (in this case, Interior Fraser Coho I think), which would bias the CU count. I think it would make the analysis more standardized if there was a common subset of threats assessed within each RPA that was chosen.</w:t>
      </w:r>
    </w:p>
    <w:bookmarkStart w:id="83" w:name="case-study-iucn-10.1-geological-events"/>
    <w:p>
      <w:pPr>
        <w:pStyle w:val="Heading2"/>
      </w:pPr>
      <w:r>
        <w:t xml:space="preserve">Case Study: IUCN 10.1 Geological events</w:t>
      </w:r>
    </w:p>
    <w:p>
      <w:pPr>
        <w:pStyle w:val="FirstParagraph"/>
      </w:pPr>
      <w:r>
        <w:t xml:space="preserve">One IUCN threat was assessed as</w:t>
      </w:r>
      <w:r>
        <w:t xml:space="preserve"> </w:t>
      </w:r>
      <w:r>
        <w:t xml:space="preserve">“</w:t>
      </w:r>
      <w:r>
        <w:t xml:space="preserve">Extreme</w:t>
      </w:r>
      <w:r>
        <w:t xml:space="preserve">”</w:t>
      </w:r>
      <w:r>
        <w:t xml:space="preserve"> </w:t>
      </w:r>
      <w:r>
        <w:t xml:space="preserve">through DFO Recovery Potential Assessment processes, which was</w:t>
      </w:r>
      <w:r>
        <w:t xml:space="preserve"> </w:t>
      </w:r>
      <w:r>
        <w:t xml:space="preserve">“</w:t>
      </w:r>
      <w:r>
        <w:t xml:space="preserve">10.1 Geological Events</w:t>
      </w:r>
      <w:r>
        <w:t xml:space="preserve">”</w:t>
      </w:r>
      <w:r>
        <w:t xml:space="preserve"> </w:t>
      </w:r>
      <w:r>
        <w:t xml:space="preserve">(DFO 2020, 2022)</w:t>
      </w:r>
      <w:r>
        <w:t xml:space="preserve">. This threat was assigned to one sockeye and three Chinook conservation units (Table</w:t>
      </w:r>
      <w:r>
        <w:t xml:space="preserve"> </w:t>
      </w:r>
      <w:r>
        <w:t xml:space="preserve">6</w:t>
      </w:r>
      <w:r>
        <w:t xml:space="preserve">), all in the Fraser Interior area related to the</w:t>
      </w:r>
      <w:r>
        <w:t xml:space="preserve"> </w:t>
      </w:r>
      <w:r>
        <w:t xml:space="preserve">“</w:t>
      </w:r>
      <w:r>
        <w:t xml:space="preserve">ongoing effects from Big Bar landslide</w:t>
      </w:r>
      <w:r>
        <w:t xml:space="preserve">”</w:t>
      </w:r>
      <w:r>
        <w:t xml:space="preserve"> </w:t>
      </w:r>
      <w:r>
        <w:t xml:space="preserve">in 2018</w:t>
      </w:r>
      <w:r>
        <w:t xml:space="preserve"> </w:t>
      </w:r>
      <w:r>
        <w:t xml:space="preserve">(DFO 2020, 2022)</w:t>
      </w:r>
      <w:r>
        <w:t xml:space="preserve">:</w:t>
      </w:r>
    </w:p>
    <w:p>
      <w:pPr>
        <w:numPr>
          <w:ilvl w:val="0"/>
          <w:numId w:val="1014"/>
        </w:numPr>
      </w:pPr>
      <w:r>
        <w:rPr>
          <w:b/>
          <w:bCs/>
        </w:rPr>
        <w:t xml:space="preserve">DG - Suggest using IUCN-CMP throughout if that’s what we’re starting with.</w:t>
      </w:r>
    </w:p>
    <w:p>
      <w:pPr>
        <w:numPr>
          <w:ilvl w:val="0"/>
          <w:numId w:val="1014"/>
        </w:numPr>
      </w:pPr>
      <w:r>
        <w:rPr>
          <w:b/>
          <w:bCs/>
        </w:rPr>
        <w:t xml:space="preserve">DG - I’m not super familiar with the most recent version of the IUCN-CMP threat classification framework that you’re using in this analysis, but in the RPAs, Geological events is</w:t>
      </w:r>
      <w:r>
        <w:rPr>
          <w:b/>
          <w:bCs/>
        </w:rPr>
        <w:t xml:space="preserve"> </w:t>
      </w:r>
      <w:r>
        <w:rPr>
          <w:b/>
          <w:bCs/>
        </w:rPr>
        <w:t xml:space="preserve">“</w:t>
      </w:r>
      <w:r>
        <w:rPr>
          <w:b/>
          <w:bCs/>
        </w:rPr>
        <w:t xml:space="preserve">10</w:t>
      </w:r>
      <w:r>
        <w:rPr>
          <w:b/>
          <w:bCs/>
        </w:rPr>
        <w:t xml:space="preserve">”</w:t>
      </w:r>
      <w:r>
        <w:rPr>
          <w:b/>
          <w:bCs/>
        </w:rPr>
        <w:t xml:space="preserve"> </w:t>
      </w:r>
      <w:r>
        <w:rPr>
          <w:b/>
          <w:bCs/>
        </w:rPr>
        <w:t xml:space="preserve">and is a first-level threat, and Avalanches/landslides is</w:t>
      </w:r>
      <w:r>
        <w:rPr>
          <w:b/>
          <w:bCs/>
        </w:rPr>
        <w:t xml:space="preserve"> </w:t>
      </w:r>
      <w:r>
        <w:rPr>
          <w:b/>
          <w:bCs/>
        </w:rPr>
        <w:t xml:space="preserve">“</w:t>
      </w:r>
      <w:r>
        <w:rPr>
          <w:b/>
          <w:bCs/>
        </w:rPr>
        <w:t xml:space="preserve">10.1</w:t>
      </w:r>
      <w:r>
        <w:rPr>
          <w:b/>
          <w:bCs/>
        </w:rPr>
        <w:t xml:space="preserve">”</w:t>
      </w:r>
      <w:r>
        <w:rPr>
          <w:b/>
          <w:bCs/>
        </w:rPr>
        <w:t xml:space="preserve"> </w:t>
      </w:r>
      <w:r>
        <w:rPr>
          <w:b/>
          <w:bCs/>
        </w:rPr>
        <w:t xml:space="preserve">and is a second-level threat.</w:t>
      </w:r>
    </w:p>
    <w:p>
      <w:pPr>
        <w:numPr>
          <w:ilvl w:val="0"/>
          <w:numId w:val="1014"/>
        </w:numPr>
      </w:pPr>
      <w:r>
        <w:rPr>
          <w:b/>
          <w:bCs/>
        </w:rPr>
        <w:t xml:space="preserve">DG - I suggest just citing the RES Docs instead of the SARs</w:t>
      </w:r>
    </w:p>
    <w:p>
      <w:pPr>
        <w:numPr>
          <w:ilvl w:val="0"/>
          <w:numId w:val="1014"/>
        </w:numPr>
      </w:pPr>
      <w:r>
        <w:rPr>
          <w:b/>
          <w:bCs/>
        </w:rPr>
        <w:t xml:space="preserve">DG - Are we referring to the DFO administrative area or is this a more generic term? If it’s more generic, perhaps something like middle/upper Fraser River area would be more precise for these DUs.</w:t>
      </w:r>
    </w:p>
    <w:p>
      <w:pPr>
        <w:pStyle w:val="TableCaption"/>
      </w:pPr>
      <w:bookmarkStart w:id="78" w:name="tab:cu-extreme-threat-table"/>
      <w:bookmarkEnd w:id="78"/>
      <w:r>
        <w:t xml:space="preserve">Table 6:</w:t>
      </w:r>
      <w:r>
        <w:t xml:space="preserve"> </w:t>
      </w:r>
      <w:r>
        <w:t xml:space="preserve">Conservation Units with Extreme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bl>
    <w:p>
      <w:pPr>
        <w:pStyle w:val="BodyText"/>
      </w:pPr>
      <w:r>
        <w:t xml:space="preserve">“</w:t>
      </w:r>
      <w:r>
        <w:t xml:space="preserve">10.1 Geological events</w:t>
      </w:r>
      <w:r>
        <w:t xml:space="preserve">”</w:t>
      </w:r>
      <w:r>
        <w:t xml:space="preserve"> </w:t>
      </w:r>
      <w:r>
        <w:t xml:space="preserve">is not a large category to be assigned to appropriate legislation (Figure</w:t>
      </w:r>
      <w:r>
        <w:t xml:space="preserve"> </w:t>
      </w:r>
      <w:r>
        <w:t xml:space="preserve">6</w:t>
      </w:r>
      <w:r>
        <w:t xml:space="preserve">). Aside from landscape-scale changes due to actions like forestry or mining, much of the nature of this category might not be viewed as human-caused or managed. Subsequently, this threat has a small proportion of keywords that match the relevant legislation. The</w:t>
      </w:r>
      <w:r>
        <w:t xml:space="preserve"> </w:t>
      </w:r>
      <w:r>
        <w:t xml:space="preserve">“</w:t>
      </w:r>
      <w:r>
        <w:t xml:space="preserve">Designation</w:t>
      </w:r>
      <w:r>
        <w:t xml:space="preserve">”</w:t>
      </w:r>
      <w:r>
        <w:t xml:space="preserve"> </w:t>
      </w:r>
      <w:r>
        <w:t xml:space="preserve">clause type category matched the largest proportion of clauses that also match</w:t>
      </w:r>
      <w:r>
        <w:t xml:space="preserve"> </w:t>
      </w:r>
      <w:r>
        <w:t xml:space="preserve">“</w:t>
      </w:r>
      <w:r>
        <w:t xml:space="preserve">10.1 Geological Events.</w:t>
      </w:r>
      <w:r>
        <w:t xml:space="preserve">”</w:t>
      </w:r>
      <w:r>
        <w:t xml:space="preserve"> </w:t>
      </w:r>
      <w:r>
        <w:t xml:space="preserve">This is largely due to the designation of avalanche and landslide areas.</w:t>
      </w:r>
      <w:r>
        <w:t xml:space="preserve"> </w:t>
      </w:r>
      <w:r>
        <w:t xml:space="preserve">“</w:t>
      </w:r>
      <w:r>
        <w:t xml:space="preserve">Instruction</w:t>
      </w:r>
      <w:r>
        <w:t xml:space="preserve">”</w:t>
      </w:r>
      <w:r>
        <w:t xml:space="preserve"> </w:t>
      </w:r>
      <w:r>
        <w:t xml:space="preserve">also had a large proportion of clause type matches due to the nature of forestry legislation and the prevalence of forestry actions to result in landslides.</w:t>
      </w:r>
      <w:r>
        <w:t xml:space="preserve"> </w:t>
      </w:r>
      <w:r>
        <w:t xml:space="preserve">“</w:t>
      </w:r>
      <w:r>
        <w:t xml:space="preserve">Prohibition, Restriction, or Limitation</w:t>
      </w:r>
      <w:r>
        <w:t xml:space="preserve">”</w:t>
      </w:r>
      <w:r>
        <w:t xml:space="preserve"> </w:t>
      </w:r>
      <w:r>
        <w:t xml:space="preserve">clause types matched the fewest clauses.</w:t>
      </w:r>
    </w:p>
    <w:p>
      <w:pPr>
        <w:pStyle w:val="CaptionedFigure"/>
      </w:pPr>
      <w:r>
        <w:drawing>
          <wp:inline>
            <wp:extent cx="5943600" cy="4245428"/>
            <wp:effectExtent b="0" l="0" r="0" t="0"/>
            <wp:docPr descr="Figure 10: Section counts by clause type for IUCN threat category 10.1 Geological Events." title="" id="80" name="Picture"/>
            <a:graphic>
              <a:graphicData uri="http://schemas.openxmlformats.org/drawingml/2006/picture">
                <pic:pic>
                  <pic:nvPicPr>
                    <pic:cNvPr descr="LAPSE_primary_publication_files/figure-docx/fig-clause-type-geological-events-1.png" id="81" name="Picture"/>
                    <pic:cNvPicPr>
                      <a:picLocks noChangeArrowheads="1" noChangeAspect="1"/>
                    </pic:cNvPicPr>
                  </pic:nvPicPr>
                  <pic:blipFill>
                    <a:blip r:embed="rId79"/>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2" w:name="fig:fig-clause-type-geological-events"/>
      <w:bookmarkEnd w:id="82"/>
      <w:r>
        <w:t xml:space="preserve">Figure 10: Section counts by clause type for IUCN threat category 10.1 Geological Events.</w:t>
      </w:r>
    </w:p>
    <w:p>
      <w:pPr>
        <w:numPr>
          <w:ilvl w:val="0"/>
          <w:numId w:val="1015"/>
        </w:numPr>
      </w:pPr>
      <w:r>
        <w:rPr>
          <w:b/>
          <w:bCs/>
        </w:rPr>
        <w:t xml:space="preserve">DG - Could be helpful to note the different values on the x-axis between this and the next figure</w:t>
      </w:r>
    </w:p>
    <w:p>
      <w:pPr>
        <w:numPr>
          <w:ilvl w:val="0"/>
          <w:numId w:val="1015"/>
        </w:numPr>
      </w:pPr>
      <w:r>
        <w:rPr>
          <w:b/>
          <w:bCs/>
        </w:rPr>
        <w:t xml:space="preserve">Add more description of Big Bar slide</w:t>
      </w:r>
    </w:p>
    <w:p>
      <w:pPr>
        <w:numPr>
          <w:ilvl w:val="0"/>
          <w:numId w:val="1015"/>
        </w:numPr>
      </w:pPr>
      <w:r>
        <w:rPr>
          <w:b/>
          <w:bCs/>
        </w:rPr>
        <w:t xml:space="preserve">Comment on the most relevant legislation and why</w:t>
      </w:r>
    </w:p>
    <w:bookmarkEnd w:id="83"/>
    <w:bookmarkStart w:id="89" w:name="X0845d6834917053ec444eadf52e64b0021c48a3"/>
    <w:p>
      <w:pPr>
        <w:pStyle w:val="Heading2"/>
      </w:pPr>
      <w:r>
        <w:t xml:space="preserve">Case Study: IUCN 7.2 Dams &amp; Water Management / Use</w:t>
      </w:r>
    </w:p>
    <w:p>
      <w:pPr>
        <w:pStyle w:val="FirstParagraph"/>
      </w:pPr>
      <w:r>
        <w:t xml:space="preserve">One IUCN threat was assessed as</w:t>
      </w:r>
      <w:r>
        <w:t xml:space="preserve"> </w:t>
      </w:r>
      <w:r>
        <w:t xml:space="preserve">“</w:t>
      </w:r>
      <w:r>
        <w:t xml:space="preserve">Extreme-High</w:t>
      </w:r>
      <w:r>
        <w:t xml:space="preserve">”</w:t>
      </w:r>
      <w:r>
        <w:t xml:space="preserve"> </w:t>
      </w:r>
      <w:r>
        <w:t xml:space="preserve">through DFO Recovery Potential Assessment processes, which was</w:t>
      </w:r>
      <w:r>
        <w:t xml:space="preserve"> </w:t>
      </w:r>
      <w:r>
        <w:t xml:space="preserve">“</w:t>
      </w:r>
      <w:r>
        <w:t xml:space="preserve">7.2 Dams &amp; Water Management / Use</w:t>
      </w:r>
      <w:r>
        <w:t xml:space="preserve">”</w:t>
      </w:r>
      <w:r>
        <w:t xml:space="preserve"> </w:t>
      </w:r>
      <w:r>
        <w:t xml:space="preserve">(DFO 2020)</w:t>
      </w:r>
      <w:r>
        <w:t xml:space="preserve">. Water extraction, including groundwater, for irrigation and domestic purposes is listed as the most significant concern</w:t>
      </w:r>
      <w:r>
        <w:t xml:space="preserve"> </w:t>
      </w:r>
      <w:r>
        <w:t xml:space="preserve">(DFO 2020)</w:t>
      </w:r>
      <w:r>
        <w:t xml:space="preserve">. This threat was assigned to one Chinook conservation unit in the Fraser Interior area (Table</w:t>
      </w:r>
      <w:r>
        <w:t xml:space="preserve"> </w:t>
      </w:r>
      <w:r>
        <w:t xml:space="preserve">7</w:t>
      </w:r>
      <w:r>
        <w:t xml:space="preserve">).</w:t>
      </w:r>
    </w:p>
    <w:p>
      <w:pPr>
        <w:numPr>
          <w:ilvl w:val="0"/>
          <w:numId w:val="1016"/>
        </w:numPr>
      </w:pPr>
      <w:r>
        <w:rPr>
          <w:b/>
          <w:bCs/>
        </w:rPr>
        <w:t xml:space="preserve">DG - And 7.3 Other ecosystem modifications</w:t>
      </w:r>
    </w:p>
    <w:p>
      <w:pPr>
        <w:numPr>
          <w:ilvl w:val="0"/>
          <w:numId w:val="1016"/>
        </w:numPr>
      </w:pPr>
      <w:r>
        <w:rPr>
          <w:b/>
          <w:bCs/>
        </w:rPr>
        <w:t xml:space="preserve">DG - Likewise, this DU spawns in the South Thompson River watershed, so there’s an opportunity to make this description a bit more precise if wanted.</w:t>
      </w:r>
    </w:p>
    <w:p>
      <w:pPr>
        <w:pStyle w:val="TableCaption"/>
      </w:pPr>
      <w:bookmarkStart w:id="84" w:name="tab:cu-extreme-high-threat-table"/>
      <w:bookmarkEnd w:id="84"/>
      <w:r>
        <w:t xml:space="preserve">Table 7:</w:t>
      </w:r>
      <w:r>
        <w:t xml:space="preserve"> </w:t>
      </w:r>
      <w:r>
        <w:t xml:space="preserve">Conservation Units with Extreme-High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bl>
    <w:p>
      <w:pPr>
        <w:pStyle w:val="BodyText"/>
      </w:pPr>
      <w:r>
        <w:br/>
      </w:r>
    </w:p>
    <w:p>
      <w:pPr>
        <w:pStyle w:val="BodyText"/>
      </w:pPr>
      <w:r>
        <w:t xml:space="preserve">“</w:t>
      </w:r>
      <w:r>
        <w:t xml:space="preserve">7.2 Dams and Water Management / Use</w:t>
      </w:r>
      <w:r>
        <w:t xml:space="preserve">”</w:t>
      </w:r>
      <w:r>
        <w:t xml:space="preserve"> </w:t>
      </w:r>
      <w:r>
        <w:t xml:space="preserve">is one of the largest categories matched with appropriate legislation (Figure</w:t>
      </w:r>
      <w:r>
        <w:t xml:space="preserve"> </w:t>
      </w:r>
      <w:r>
        <w:t xml:space="preserve">6</w:t>
      </w:r>
      <w:r>
        <w:t xml:space="preserve">). Aside from pollution and fisheries, watercourse alterations are recognized as one of the top human activities that require regulation. This threat also has a large proportion of keywords that match the relevant legislation.</w:t>
      </w:r>
    </w:p>
    <w:p>
      <w:pPr>
        <w:pStyle w:val="Compact"/>
        <w:numPr>
          <w:ilvl w:val="0"/>
          <w:numId w:val="1017"/>
        </w:numPr>
      </w:pPr>
      <w:r>
        <w:rPr>
          <w:b/>
          <w:bCs/>
        </w:rPr>
        <w:t xml:space="preserve">DG - This made me think that there was going to be a citation at the end of this sentence. Is this statement based on the present analysis? If so, then perhaps something to the effect of</w:t>
      </w:r>
      <w:r>
        <w:rPr>
          <w:b/>
          <w:bCs/>
        </w:rPr>
        <w:t xml:space="preserve"> </w:t>
      </w:r>
      <w:r>
        <w:rPr>
          <w:b/>
          <w:bCs/>
        </w:rPr>
        <w:t xml:space="preserve">“</w:t>
      </w:r>
      <w:r>
        <w:rPr>
          <w:b/>
          <w:bCs/>
        </w:rPr>
        <w:t xml:space="preserve">this analysis suggests that watercourse alternations are one of the top…</w:t>
      </w:r>
      <w:r>
        <w:rPr>
          <w:b/>
          <w:bCs/>
        </w:rPr>
        <w:t xml:space="preserve">”</w:t>
      </w:r>
    </w:p>
    <w:p>
      <w:pPr>
        <w:pStyle w:val="FirstParagraph"/>
      </w:pPr>
      <w:r>
        <w:t xml:space="preserve">The clause type matches for Dams and Water Management / Use were much more evenly distributed likely due to the large number of clause matches in total for that IUCN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4245428"/>
            <wp:effectExtent b="0" l="0" r="0" t="0"/>
            <wp:docPr descr="Figure 11: Section counts by clause type for IUCN threat category 7.2 Dams &amp; Water Management / Use." title="" id="86" name="Picture"/>
            <a:graphic>
              <a:graphicData uri="http://schemas.openxmlformats.org/drawingml/2006/picture">
                <pic:pic>
                  <pic:nvPicPr>
                    <pic:cNvPr descr="LAPSE_primary_publication_files/figure-docx/fig-clause-type-water-use-1.png" id="87" name="Picture"/>
                    <pic:cNvPicPr>
                      <a:picLocks noChangeArrowheads="1" noChangeAspect="1"/>
                    </pic:cNvPicPr>
                  </pic:nvPicPr>
                  <pic:blipFill>
                    <a:blip r:embed="rId85"/>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8" w:name="fig:fig-clause-type-water-use"/>
      <w:bookmarkEnd w:id="88"/>
      <w:r>
        <w:t xml:space="preserve">Figure 11: Section counts by clause type for IUCN threat category 7.2 Dams &amp; Water Management / Use.</w:t>
      </w:r>
    </w:p>
    <w:p>
      <w:pPr>
        <w:numPr>
          <w:ilvl w:val="0"/>
          <w:numId w:val="1018"/>
        </w:numPr>
      </w:pPr>
      <w:r>
        <w:rPr>
          <w:b/>
          <w:bCs/>
        </w:rPr>
        <w:t xml:space="preserve">add more description of Bessette Creek</w:t>
      </w:r>
    </w:p>
    <w:p>
      <w:pPr>
        <w:numPr>
          <w:ilvl w:val="0"/>
          <w:numId w:val="1018"/>
        </w:numPr>
      </w:pPr>
      <w:r>
        <w:rPr>
          <w:b/>
          <w:bCs/>
        </w:rPr>
        <w:t xml:space="preserve">Comment on the most relevant legislation and why</w:t>
      </w:r>
    </w:p>
    <w:bookmarkEnd w:id="89"/>
    <w:bookmarkEnd w:id="90"/>
    <w:bookmarkStart w:id="91" w:name="co-occurrence-of-management-domains"/>
    <w:p>
      <w:pPr>
        <w:pStyle w:val="Heading1"/>
      </w:pPr>
      <w:r>
        <w:t xml:space="preserve">Co-occurrence of management domains</w:t>
      </w:r>
    </w:p>
    <w:p>
      <w:pPr>
        <w:pStyle w:val="FirstParagraph"/>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91"/>
    <w:bookmarkStart w:id="93"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management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bookmarkStart w:id="92" w:name="conclusions"/>
    <w:p>
      <w:pPr>
        <w:pStyle w:val="Heading2"/>
      </w:pPr>
      <w:r>
        <w:t xml:space="preserve">Conclusions</w:t>
      </w:r>
    </w:p>
    <w:p>
      <w:pPr>
        <w:pStyle w:val="FirstParagraph"/>
      </w:pPr>
      <w:r>
        <w:t xml:space="preserve">Pacific salmon management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Compact"/>
        <w:numPr>
          <w:ilvl w:val="0"/>
          <w:numId w:val="1019"/>
        </w:numPr>
      </w:pPr>
      <w:r>
        <w:rPr>
          <w:b/>
          <w:bCs/>
        </w:rPr>
        <w:t xml:space="preserve">DG - I feel as though LAPSE provides practitioners with more than knowledge, but also accessibility and navigability of the legal landscape</w:t>
      </w:r>
    </w:p>
    <w:p>
      <w:pPr>
        <w:pStyle w:val="FirstParagraph"/>
      </w:pPr>
      <w:r>
        <w:t xml:space="preserve">The LAPSE tool provides a novel approach of linking legal language with salmon management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 an extensive list of legislation (acts, regulations, sections, and paragraphs) relevant to a human activity or salmon management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management decisions and administrative responsibility.</w:t>
      </w:r>
    </w:p>
    <w:bookmarkEnd w:id="92"/>
    <w:bookmarkEnd w:id="93"/>
    <w:bookmarkStart w:id="145" w:name="references"/>
    <w:p>
      <w:pPr>
        <w:pStyle w:val="Heading1"/>
      </w:pPr>
      <w:r>
        <w:t xml:space="preserve">References</w:t>
      </w:r>
    </w:p>
    <w:bookmarkStart w:id="144" w:name="refs"/>
    <w:bookmarkStart w:id="94"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p>
    <w:bookmarkEnd w:id="94"/>
    <w:bookmarkStart w:id="96"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95">
        <w:r>
          <w:rPr>
            <w:rStyle w:val="Hyperlink"/>
          </w:rPr>
          <w:t xml:space="preserve">10.1101/2024.12.01.626233</w:t>
        </w:r>
      </w:hyperlink>
      <w:r>
        <w:t xml:space="preserve">.</w:t>
      </w:r>
    </w:p>
    <w:bookmarkEnd w:id="96"/>
    <w:bookmarkStart w:id="98"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97">
        <w:r>
          <w:rPr>
            <w:rStyle w:val="Hyperlink"/>
          </w:rPr>
          <w:t xml:space="preserve">10.3390/su6096024</w:t>
        </w:r>
      </w:hyperlink>
      <w:r>
        <w:t xml:space="preserve">.</w:t>
      </w:r>
    </w:p>
    <w:bookmarkEnd w:id="98"/>
    <w:bookmarkStart w:id="99"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99"/>
    <w:bookmarkStart w:id="101"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100">
        <w:r>
          <w:rPr>
            <w:rStyle w:val="Hyperlink"/>
          </w:rPr>
          <w:t xml:space="preserve">10.5751/ES-02784-140145</w:t>
        </w:r>
      </w:hyperlink>
      <w:r>
        <w:t xml:space="preserve">.</w:t>
      </w:r>
    </w:p>
    <w:bookmarkEnd w:id="101"/>
    <w:bookmarkStart w:id="103"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102">
        <w:r>
          <w:rPr>
            <w:rStyle w:val="Hyperlink"/>
          </w:rPr>
          <w:t xml:space="preserve">10.1139/facets-2025-0031</w:t>
        </w:r>
      </w:hyperlink>
      <w:r>
        <w:t xml:space="preserve">.</w:t>
      </w:r>
    </w:p>
    <w:bookmarkEnd w:id="103"/>
    <w:bookmarkStart w:id="105"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104">
        <w:r>
          <w:rPr>
            <w:rStyle w:val="Hyperlink"/>
          </w:rPr>
          <w:t xml:space="preserve">10.3233/EPL-2002-32_5_13</w:t>
        </w:r>
      </w:hyperlink>
      <w:r>
        <w:t xml:space="preserve">.</w:t>
      </w:r>
    </w:p>
    <w:bookmarkEnd w:id="105"/>
    <w:bookmarkStart w:id="107"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06">
        <w:r>
          <w:rPr>
            <w:rStyle w:val="Hyperlink"/>
          </w:rPr>
          <w:t xml:space="preserve">https://www.canlii.org/</w:t>
        </w:r>
      </w:hyperlink>
      <w:r>
        <w:t xml:space="preserve"> </w:t>
      </w:r>
      <w:r>
        <w:t xml:space="preserve">[accessed 18 December 2025].</w:t>
      </w:r>
    </w:p>
    <w:bookmarkEnd w:id="107"/>
    <w:bookmarkStart w:id="109"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 pacific salmon populations in a large watershed under multiple stressors. Journal of Applied Ecology (November 2021): 2212–2226. doi:</w:t>
      </w:r>
      <w:hyperlink r:id="rId108">
        <w:r>
          <w:rPr>
            <w:rStyle w:val="Hyperlink"/>
          </w:rPr>
          <w:t xml:space="preserve">10.1111/1365-2664.14239</w:t>
        </w:r>
      </w:hyperlink>
      <w:r>
        <w:t xml:space="preserve">.</w:t>
      </w:r>
    </w:p>
    <w:bookmarkEnd w:id="109"/>
    <w:bookmarkStart w:id="110"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10"/>
    <w:bookmarkStart w:id="112"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11">
        <w:r>
          <w:rPr>
            <w:rStyle w:val="Hyperlink"/>
          </w:rPr>
          <w:t xml:space="preserve">10.1016/j.tree.2014.12.004</w:t>
        </w:r>
      </w:hyperlink>
      <w:r>
        <w:t xml:space="preserve">.</w:t>
      </w:r>
    </w:p>
    <w:bookmarkEnd w:id="112"/>
    <w:bookmarkStart w:id="114" w:name="ref-delvalle2024"/>
    <w:p>
      <w:pPr>
        <w:pStyle w:val="Bibliography"/>
      </w:pPr>
      <w:r>
        <w:t xml:space="preserve">Del Valle, E., Neal, B., Martínez-Candelas, I., Dann, P., Webb, D., and McClenachan, L. 2024. Fishing in turbulent waters: Resilience, risk, and trust in british columbia</w:t>
      </w:r>
      <w:r>
        <w:t xml:space="preserve">’</w:t>
      </w:r>
      <w:r>
        <w:t xml:space="preserve">s declining commercial salmon fishery. Facets</w:t>
      </w:r>
      <w:r>
        <w:t xml:space="preserve"> </w:t>
      </w:r>
      <w:r>
        <w:rPr>
          <w:b/>
          <w:bCs/>
        </w:rPr>
        <w:t xml:space="preserve">9</w:t>
      </w:r>
      <w:r>
        <w:t xml:space="preserve">(1): 1–17. doi:</w:t>
      </w:r>
      <w:hyperlink r:id="rId113">
        <w:r>
          <w:rPr>
            <w:rStyle w:val="Hyperlink"/>
          </w:rPr>
          <w:t xml:space="preserve">10.1139/facets-2023-0204</w:t>
        </w:r>
      </w:hyperlink>
      <w:r>
        <w:t xml:space="preserve">.</w:t>
      </w:r>
    </w:p>
    <w:bookmarkEnd w:id="114"/>
    <w:bookmarkStart w:id="116"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15">
        <w:r>
          <w:rPr>
            <w:rStyle w:val="Hyperlink"/>
          </w:rPr>
          <w:t xml:space="preserve">https://www.justice.gc.ca/eng/rp-pr/csj-sjc/legis-redact/legistics/p3p1.html</w:t>
        </w:r>
      </w:hyperlink>
      <w:r>
        <w:t xml:space="preserve"> </w:t>
      </w:r>
      <w:r>
        <w:t xml:space="preserve">[accessed 18 December 2025].</w:t>
      </w:r>
    </w:p>
    <w:bookmarkEnd w:id="116"/>
    <w:bookmarkStart w:id="117" w:name="ref-dfo2020"/>
    <w:p>
      <w:pPr>
        <w:pStyle w:val="Bibliography"/>
      </w:pPr>
      <w:r>
        <w:t xml:space="preserve">DFO. 2020.</w:t>
      </w:r>
      <w:r>
        <w:t xml:space="preserve"> </w:t>
      </w:r>
      <w:r>
        <w:t xml:space="preserve">RECOVERY POTENTIAL ASSESSMENT FOR</w:t>
      </w:r>
      <w:r>
        <w:t xml:space="preserve"> </w:t>
      </w:r>
      <w:r>
        <w:t xml:space="preserve">11</w:t>
      </w:r>
      <w:r>
        <w:t xml:space="preserve"> </w:t>
      </w:r>
      <w:r>
        <w:t xml:space="preserve">DESIGNATABLE UNITS OF FRASER RIVER CHINOOK SALMON</w:t>
      </w:r>
      <w:r>
        <w:t xml:space="preserve">,</w:t>
      </w:r>
      <w:r>
        <w:t xml:space="preserve"> </w:t>
      </w:r>
      <w:r>
        <w:t xml:space="preserve">ONCORHYNCHUSTSHAWYTCHA</w:t>
      </w:r>
      <w:r>
        <w:t xml:space="preserve">,</w:t>
      </w:r>
      <w:r>
        <w:t xml:space="preserve"> </w:t>
      </w:r>
      <w:r>
        <w:t xml:space="preserve">PART</w:t>
      </w:r>
      <w:r>
        <w:t xml:space="preserve"> </w:t>
      </w:r>
      <w:r>
        <w:t xml:space="preserve">1:</w:t>
      </w:r>
      <w:r>
        <w:t xml:space="preserve"> </w:t>
      </w:r>
      <w:r>
        <w:t xml:space="preserve">ELEMENTS</w:t>
      </w:r>
      <w:r>
        <w:t xml:space="preserve"> </w:t>
      </w:r>
      <w:r>
        <w:t xml:space="preserve">1</w:t>
      </w:r>
      <w:r>
        <w:t xml:space="preserve"> </w:t>
      </w:r>
      <w:r>
        <w:t xml:space="preserve">TO</w:t>
      </w:r>
      <w:r>
        <w:t xml:space="preserve"> </w:t>
      </w:r>
      <w:r>
        <w:t xml:space="preserve">11.</w:t>
      </w:r>
    </w:p>
    <w:bookmarkEnd w:id="117"/>
    <w:bookmarkStart w:id="118" w:name="ref-dfo2022"/>
    <w:p>
      <w:pPr>
        <w:pStyle w:val="Bibliography"/>
      </w:pPr>
      <w:r>
        <w:t xml:space="preserve">DFO. 2022. Recovery</w:t>
      </w:r>
      <w:r>
        <w:t xml:space="preserve"> </w:t>
      </w:r>
      <w:r>
        <w:t xml:space="preserve">Potential Assessment</w:t>
      </w:r>
      <w:r>
        <w:t xml:space="preserve"> </w:t>
      </w:r>
      <w:r>
        <w:t xml:space="preserve">for</w:t>
      </w:r>
      <w:r>
        <w:t xml:space="preserve"> </w:t>
      </w:r>
      <w:r>
        <w:t xml:space="preserve">Fraser River Sockeye Salmon</w:t>
      </w:r>
      <w:r>
        <w:t xml:space="preserve"> </w:t>
      </w:r>
      <w:r>
        <w:t xml:space="preserve">(</w:t>
      </w:r>
      <w:r>
        <w:t xml:space="preserve">Oncorhynchus</w:t>
      </w:r>
      <w:r>
        <w:t xml:space="preserve"> </w:t>
      </w:r>
      <w:r>
        <w:t xml:space="preserve">nerka) –</w:t>
      </w:r>
      <w:r>
        <w:t xml:space="preserve"> </w:t>
      </w:r>
      <w:r>
        <w:t xml:space="preserve">Nine Designatable Units</w:t>
      </w:r>
      <w:r>
        <w:t xml:space="preserve"> </w:t>
      </w:r>
      <w:r>
        <w:t xml:space="preserve">–</w:t>
      </w:r>
      <w:r>
        <w:t xml:space="preserve"> </w:t>
      </w:r>
      <w:r>
        <w:t xml:space="preserve">Part</w:t>
      </w:r>
      <w:r>
        <w:t xml:space="preserve"> </w:t>
      </w:r>
      <w:r>
        <w:t xml:space="preserve">2:</w:t>
      </w:r>
      <w:r>
        <w:t xml:space="preserve"> </w:t>
      </w:r>
      <w:r>
        <w:t xml:space="preserve">Habitat</w:t>
      </w:r>
      <w:r>
        <w:t xml:space="preserve">,</w:t>
      </w:r>
      <w:r>
        <w:t xml:space="preserve"> </w:t>
      </w:r>
      <w:r>
        <w:t xml:space="preserve">Threats Assessment</w:t>
      </w:r>
      <w:r>
        <w:t xml:space="preserve">,</w:t>
      </w:r>
      <w:r>
        <w:t xml:space="preserve"> </w:t>
      </w:r>
      <w:r>
        <w:t xml:space="preserve">Mitigation</w:t>
      </w:r>
      <w:r>
        <w:t xml:space="preserve">,</w:t>
      </w:r>
      <w:r>
        <w:t xml:space="preserve"> </w:t>
      </w:r>
      <w:r>
        <w:t xml:space="preserve">And Allowable Harm</w:t>
      </w:r>
      <w:r>
        <w:t xml:space="preserve">.</w:t>
      </w:r>
    </w:p>
    <w:bookmarkEnd w:id="118"/>
    <w:bookmarkStart w:id="119"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19"/>
    <w:bookmarkStart w:id="120" w:name="ref-doutaz2023"/>
    <w:p>
      <w:pPr>
        <w:pStyle w:val="Bibliography"/>
      </w:pPr>
      <w:r>
        <w:t xml:space="preserve">Doutaz, D., Huang, A., Decker, S., and Vivian, T. 2023. Recovery potential assessment for fraser river sockeye salmon (oncorhynchus nerka), nine designatable units part 2: Biology, habitat, threats, mitigations and allowable harm - elements 1-11, 14, 16-18, 22.</w:t>
      </w:r>
    </w:p>
    <w:bookmarkEnd w:id="120"/>
    <w:bookmarkStart w:id="121" w:name="ref-grant2019"/>
    <w:p>
      <w:pPr>
        <w:pStyle w:val="Bibliography"/>
      </w:pPr>
      <w:r>
        <w:t xml:space="preserve">Grant, S.C.H., MacDonald, B.L., and Winston, M.L. 2019. State of canadian pacific salmon: Responses to changing climate and habitats.</w:t>
      </w:r>
    </w:p>
    <w:bookmarkEnd w:id="121"/>
    <w:bookmarkStart w:id="123"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22">
        <w:r>
          <w:rPr>
            <w:rStyle w:val="Hyperlink"/>
          </w:rPr>
          <w:t xml:space="preserve">10.1139/facets-2020-0084</w:t>
        </w:r>
      </w:hyperlink>
      <w:r>
        <w:t xml:space="preserve">.</w:t>
      </w:r>
    </w:p>
    <w:bookmarkEnd w:id="123"/>
    <w:bookmarkStart w:id="124"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24"/>
    <w:bookmarkStart w:id="126"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25">
        <w:r>
          <w:rPr>
            <w:rStyle w:val="Hyperlink"/>
          </w:rPr>
          <w:t xml:space="preserve">10.1016/j.biocon.2013.07.006</w:t>
        </w:r>
      </w:hyperlink>
      <w:r>
        <w:t xml:space="preserve">.</w:t>
      </w:r>
    </w:p>
    <w:bookmarkEnd w:id="126"/>
    <w:bookmarkStart w:id="128" w:name="ref-moore2025"/>
    <w:p>
      <w:pPr>
        <w:pStyle w:val="Bibliography"/>
      </w:pPr>
      <w:r>
        <w:t xml:space="preserve">Moore, J.W., Ulaski, M.E., Wilson, K.L., Martin, T.G., Kuiper, S.D., Peacock, S.J., Braun, D.C., Naman, S.M., Pitman, K.J., Reid, A.J., Rosenfeld, J.S., Sainsbury, N.C., Wilson, S.M., and Zdasiuk, B.J. 2025. A Safe Operating Space for Salmon Watersheds Under Rapid Climate Change. Fish and Fisheries: faf.70027. doi:</w:t>
      </w:r>
      <w:hyperlink r:id="rId127">
        <w:r>
          <w:rPr>
            <w:rStyle w:val="Hyperlink"/>
          </w:rPr>
          <w:t xml:space="preserve">10.1111/faf.70027</w:t>
        </w:r>
      </w:hyperlink>
      <w:r>
        <w:t xml:space="preserve">.</w:t>
      </w:r>
    </w:p>
    <w:bookmarkEnd w:id="128"/>
    <w:bookmarkStart w:id="130"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29">
        <w:r>
          <w:rPr>
            <w:rStyle w:val="Hyperlink"/>
          </w:rPr>
          <w:t xml:space="preserve">10.1139/cjfas-2017-0127</w:t>
        </w:r>
      </w:hyperlink>
      <w:r>
        <w:t xml:space="preserve">.</w:t>
      </w:r>
    </w:p>
    <w:bookmarkEnd w:id="130"/>
    <w:bookmarkStart w:id="132"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31">
        <w:r>
          <w:rPr>
            <w:rStyle w:val="Hyperlink"/>
          </w:rPr>
          <w:t xml:space="preserve">10.1139/facets-2020-0075</w:t>
        </w:r>
      </w:hyperlink>
      <w:r>
        <w:t xml:space="preserve">.</w:t>
      </w:r>
    </w:p>
    <w:bookmarkEnd w:id="132"/>
    <w:bookmarkStart w:id="134" w:name="ref-salafsky2025"/>
    <w:p>
      <w:pPr>
        <w:pStyle w:val="Bibliography"/>
      </w:pPr>
      <w:r>
        <w:t xml:space="preserve">Salafsky, N., Relton, C., Young, B.E., Lamarre, P., Böhm, M., Chénier, M., Cochrane, E., Dionne, M., He, K.K., Hilton‐Taylor, C., Latrémouille, C., Morrison, J., Raymond, C.V., Seddon, M., and Suresh, V. 2025. Classification of direct threats to the conservation of ecosystems and species 4.0. Conservation Biology</w:t>
      </w:r>
      <w:r>
        <w:t xml:space="preserve"> </w:t>
      </w:r>
      <w:r>
        <w:rPr>
          <w:b/>
          <w:bCs/>
        </w:rPr>
        <w:t xml:space="preserve">39</w:t>
      </w:r>
      <w:r>
        <w:t xml:space="preserve">(3): e14434. doi:</w:t>
      </w:r>
      <w:hyperlink r:id="rId133">
        <w:r>
          <w:rPr>
            <w:rStyle w:val="Hyperlink"/>
          </w:rPr>
          <w:t xml:space="preserve">10.1111/cobi.14434</w:t>
        </w:r>
      </w:hyperlink>
      <w:r>
        <w:t xml:space="preserve">.</w:t>
      </w:r>
    </w:p>
    <w:bookmarkEnd w:id="134"/>
    <w:bookmarkStart w:id="136"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35">
        <w:r>
          <w:rPr>
            <w:rStyle w:val="Hyperlink"/>
          </w:rPr>
          <w:t xml:space="preserve">10.1111/j.1523-1739.2008.00937.x</w:t>
        </w:r>
      </w:hyperlink>
      <w:r>
        <w:t xml:space="preserve">.</w:t>
      </w:r>
    </w:p>
    <w:bookmarkEnd w:id="136"/>
    <w:bookmarkStart w:id="138"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37">
        <w:r>
          <w:rPr>
            <w:rStyle w:val="Hyperlink"/>
          </w:rPr>
          <w:t xml:space="preserve">10.1139/facets-2022-0095</w:t>
        </w:r>
      </w:hyperlink>
      <w:r>
        <w:t xml:space="preserve">.</w:t>
      </w:r>
    </w:p>
    <w:bookmarkEnd w:id="138"/>
    <w:bookmarkStart w:id="139"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w:t>
      </w:r>
    </w:p>
    <w:bookmarkEnd w:id="139"/>
    <w:bookmarkStart w:id="141"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40">
        <w:r>
          <w:rPr>
            <w:rStyle w:val="Hyperlink"/>
          </w:rPr>
          <w:t xml:space="preserve">10.1139/facets-2020-0064</w:t>
        </w:r>
      </w:hyperlink>
      <w:r>
        <w:t xml:space="preserve">.</w:t>
      </w:r>
    </w:p>
    <w:bookmarkEnd w:id="141"/>
    <w:bookmarkStart w:id="143"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42">
        <w:r>
          <w:rPr>
            <w:rStyle w:val="Hyperlink"/>
          </w:rPr>
          <w:t xml:space="preserve">10.1139/facets-2024-0348</w:t>
        </w:r>
      </w:hyperlink>
      <w:r>
        <w:t xml:space="preserve">.</w:t>
      </w:r>
    </w:p>
    <w:bookmarkEnd w:id="143"/>
    <w:bookmarkEnd w:id="144"/>
    <w:bookmarkEnd w:id="145"/>
    <w:bookmarkStart w:id="146" w:name="supplementary-material"/>
    <w:p>
      <w:pPr>
        <w:pStyle w:val="Heading1"/>
      </w:pPr>
      <w:r>
        <w:t xml:space="preserve">Supplementary material</w:t>
      </w:r>
    </w:p>
    <w:p>
      <w:pPr>
        <w:pStyle w:val="Compact"/>
        <w:numPr>
          <w:ilvl w:val="0"/>
          <w:numId w:val="1020"/>
        </w:numPr>
      </w:pPr>
      <w:r>
        <w:rPr>
          <w:b/>
          <w:bCs/>
        </w:rPr>
        <w:t xml:space="preserve">Links or downloads for the LAPSE tool materials (app etc.)</w:t>
      </w:r>
    </w:p>
    <w:bookmarkEnd w:id="146"/>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305C7B"/>
    <w:rsid w:val="003446D7"/>
    <w:rsid w:val="004C64ED"/>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6F10"/>
    <w:rsid w:val="00D40977"/>
    <w:rsid w:val="00D812E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305C7B"/>
    <w:pPr>
      <w:spacing w:after="200" w:line="240" w:lineRule="auto"/>
    </w:pPr>
    <w:rPr>
      <w:rFonts w:ascii="Montserrat" w:hAnsi="Montserrat"/>
      <w:i/>
      <w:iCs/>
      <w:color w:themeColor="background1" w:themeShade="A6" w:val="A6A6A6"/>
      <w:sz w:val="21"/>
      <w:szCs w:val="18"/>
    </w:rPr>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34" Target="media/rId34.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85" Target="media/rId85.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50" Target="media/rId50.png" /><Relationship Type="http://schemas.openxmlformats.org/officeDocument/2006/relationships/image" Id="rId64" Target="media/rId64.png" /><Relationship Type="http://schemas.openxmlformats.org/officeDocument/2006/relationships/hyperlink" Id="rId33" Target="https://conbio.onlinelibrary.wiley.com/doi/full/10.1111/j.1523-1739.2008.00937.x" TargetMode="External" /><Relationship Type="http://schemas.openxmlformats.org/officeDocument/2006/relationships/hyperlink" Id="rId72" Target="https://cosewic.ca/index.php/en/reports/preparing-status-reports/guidelines-recognizing-designatable-units.html" TargetMode="External" /><Relationship Type="http://schemas.openxmlformats.org/officeDocument/2006/relationships/hyperlink" Id="rId125" Target="https://doi.org/10.1016/j.biocon.2013.07.006" TargetMode="External" /><Relationship Type="http://schemas.openxmlformats.org/officeDocument/2006/relationships/hyperlink" Id="rId111" Target="https://doi.org/10.1016/j.tree.2014.12.004" TargetMode="External" /><Relationship Type="http://schemas.openxmlformats.org/officeDocument/2006/relationships/hyperlink" Id="rId95" Target="https://doi.org/10.1101/2024.12.01.626233" TargetMode="External" /><Relationship Type="http://schemas.openxmlformats.org/officeDocument/2006/relationships/hyperlink" Id="rId108" Target="https://doi.org/10.1111/1365-2664.14239" TargetMode="External" /><Relationship Type="http://schemas.openxmlformats.org/officeDocument/2006/relationships/hyperlink" Id="rId133" Target="https://doi.org/10.1111/cobi.14434" TargetMode="External" /><Relationship Type="http://schemas.openxmlformats.org/officeDocument/2006/relationships/hyperlink" Id="rId127" Target="https://doi.org/10.1111/faf.70027" TargetMode="External" /><Relationship Type="http://schemas.openxmlformats.org/officeDocument/2006/relationships/hyperlink" Id="rId135" Target="https://doi.org/10.1111/j.1523-1739.2008.00937.x" TargetMode="External" /><Relationship Type="http://schemas.openxmlformats.org/officeDocument/2006/relationships/hyperlink" Id="rId129" Target="https://doi.org/10.1139/cjfas-2017-0127" TargetMode="External" /><Relationship Type="http://schemas.openxmlformats.org/officeDocument/2006/relationships/hyperlink" Id="rId140" Target="https://doi.org/10.1139/facets-2020-0064" TargetMode="External" /><Relationship Type="http://schemas.openxmlformats.org/officeDocument/2006/relationships/hyperlink" Id="rId131" Target="https://doi.org/10.1139/facets-2020-0075" TargetMode="External" /><Relationship Type="http://schemas.openxmlformats.org/officeDocument/2006/relationships/hyperlink" Id="rId122" Target="https://doi.org/10.1139/facets-2020-0084" TargetMode="External" /><Relationship Type="http://schemas.openxmlformats.org/officeDocument/2006/relationships/hyperlink" Id="rId137" Target="https://doi.org/10.1139/facets-2022-0095" TargetMode="External" /><Relationship Type="http://schemas.openxmlformats.org/officeDocument/2006/relationships/hyperlink" Id="rId113" Target="https://doi.org/10.1139/facets-2023-0204" TargetMode="External" /><Relationship Type="http://schemas.openxmlformats.org/officeDocument/2006/relationships/hyperlink" Id="rId142" Target="https://doi.org/10.1139/facets-2024-0348" TargetMode="External" /><Relationship Type="http://schemas.openxmlformats.org/officeDocument/2006/relationships/hyperlink" Id="rId102" Target="https://doi.org/10.1139/facets-2025-0031" TargetMode="External" /><Relationship Type="http://schemas.openxmlformats.org/officeDocument/2006/relationships/hyperlink" Id="rId104" Target="https://doi.org/10.3233/EPL-2002-32_5_13" TargetMode="External" /><Relationship Type="http://schemas.openxmlformats.org/officeDocument/2006/relationships/hyperlink" Id="rId97" Target="https://doi.org/10.3390/su6096024" TargetMode="External" /><Relationship Type="http://schemas.openxmlformats.org/officeDocument/2006/relationships/hyperlink" Id="rId100" Target="https://doi.org/10.5751/ES-02784-140145" TargetMode="External" /><Relationship Type="http://schemas.openxmlformats.org/officeDocument/2006/relationships/hyperlink" Id="rId106" Target="https://www.canlii.org/" TargetMode="External" /><Relationship Type="http://schemas.openxmlformats.org/officeDocument/2006/relationships/hyperlink" Id="rId115" Target="https://www.justice.gc.ca/eng/rp-pr/csj-sjc/legis-redact/legistics/p3p1.html" TargetMode="External" /><Relationship Type="http://schemas.openxmlformats.org/officeDocument/2006/relationships/hyperlink" Id="rId30" Target="https://www.pac.dfo-mpo.gc.ca/fm-gp/salmon-saumon/docs/trilat-agreement-accord/index-eng.html" TargetMode="External" /></Relationships>
</file>

<file path=word/_rels/footnotes.xml.rels><?xml version="1.0" encoding="UTF-8"?><Relationships xmlns="http://schemas.openxmlformats.org/package/2006/relationships"><Relationship Type="http://schemas.openxmlformats.org/officeDocument/2006/relationships/hyperlink" Id="rId33" Target="https://conbio.onlinelibrary.wiley.com/doi/full/10.1111/j.1523-1739.2008.00937.x" TargetMode="External" /><Relationship Type="http://schemas.openxmlformats.org/officeDocument/2006/relationships/hyperlink" Id="rId72" Target="https://cosewic.ca/index.php/en/reports/preparing-status-reports/guidelines-recognizing-designatable-units.html" TargetMode="External" /><Relationship Type="http://schemas.openxmlformats.org/officeDocument/2006/relationships/hyperlink" Id="rId125" Target="https://doi.org/10.1016/j.biocon.2013.07.006" TargetMode="External" /><Relationship Type="http://schemas.openxmlformats.org/officeDocument/2006/relationships/hyperlink" Id="rId111" Target="https://doi.org/10.1016/j.tree.2014.12.004" TargetMode="External" /><Relationship Type="http://schemas.openxmlformats.org/officeDocument/2006/relationships/hyperlink" Id="rId95" Target="https://doi.org/10.1101/2024.12.01.626233" TargetMode="External" /><Relationship Type="http://schemas.openxmlformats.org/officeDocument/2006/relationships/hyperlink" Id="rId108" Target="https://doi.org/10.1111/1365-2664.14239" TargetMode="External" /><Relationship Type="http://schemas.openxmlformats.org/officeDocument/2006/relationships/hyperlink" Id="rId133" Target="https://doi.org/10.1111/cobi.14434" TargetMode="External" /><Relationship Type="http://schemas.openxmlformats.org/officeDocument/2006/relationships/hyperlink" Id="rId127" Target="https://doi.org/10.1111/faf.70027" TargetMode="External" /><Relationship Type="http://schemas.openxmlformats.org/officeDocument/2006/relationships/hyperlink" Id="rId135" Target="https://doi.org/10.1111/j.1523-1739.2008.00937.x" TargetMode="External" /><Relationship Type="http://schemas.openxmlformats.org/officeDocument/2006/relationships/hyperlink" Id="rId129" Target="https://doi.org/10.1139/cjfas-2017-0127" TargetMode="External" /><Relationship Type="http://schemas.openxmlformats.org/officeDocument/2006/relationships/hyperlink" Id="rId140" Target="https://doi.org/10.1139/facets-2020-0064" TargetMode="External" /><Relationship Type="http://schemas.openxmlformats.org/officeDocument/2006/relationships/hyperlink" Id="rId131" Target="https://doi.org/10.1139/facets-2020-0075" TargetMode="External" /><Relationship Type="http://schemas.openxmlformats.org/officeDocument/2006/relationships/hyperlink" Id="rId122" Target="https://doi.org/10.1139/facets-2020-0084" TargetMode="External" /><Relationship Type="http://schemas.openxmlformats.org/officeDocument/2006/relationships/hyperlink" Id="rId137" Target="https://doi.org/10.1139/facets-2022-0095" TargetMode="External" /><Relationship Type="http://schemas.openxmlformats.org/officeDocument/2006/relationships/hyperlink" Id="rId113" Target="https://doi.org/10.1139/facets-2023-0204" TargetMode="External" /><Relationship Type="http://schemas.openxmlformats.org/officeDocument/2006/relationships/hyperlink" Id="rId142" Target="https://doi.org/10.1139/facets-2024-0348" TargetMode="External" /><Relationship Type="http://schemas.openxmlformats.org/officeDocument/2006/relationships/hyperlink" Id="rId102" Target="https://doi.org/10.1139/facets-2025-0031" TargetMode="External" /><Relationship Type="http://schemas.openxmlformats.org/officeDocument/2006/relationships/hyperlink" Id="rId104" Target="https://doi.org/10.3233/EPL-2002-32_5_13" TargetMode="External" /><Relationship Type="http://schemas.openxmlformats.org/officeDocument/2006/relationships/hyperlink" Id="rId97" Target="https://doi.org/10.3390/su6096024" TargetMode="External" /><Relationship Type="http://schemas.openxmlformats.org/officeDocument/2006/relationships/hyperlink" Id="rId100" Target="https://doi.org/10.5751/ES-02784-140145" TargetMode="External" /><Relationship Type="http://schemas.openxmlformats.org/officeDocument/2006/relationships/hyperlink" Id="rId106" Target="https://www.canlii.org/" TargetMode="External" /><Relationship Type="http://schemas.openxmlformats.org/officeDocument/2006/relationships/hyperlink" Id="rId115" Target="https://www.justice.gc.ca/eng/rp-pr/csj-sjc/legis-redact/legistics/p3p1.html" TargetMode="External" /><Relationship Type="http://schemas.openxmlformats.org/officeDocument/2006/relationships/hyperlink" Id="rId30" Target="https://www.pac.dfo-mpo.gc.ca/fm-gp/salmon-saumon/docs/trilat-agreement-accord/index-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dc:creator>
  <cp:keywords/>
  <dcterms:created xsi:type="dcterms:W3CDTF">2026-01-08T17:55:17Z</dcterms:created>
  <dcterms:modified xsi:type="dcterms:W3CDTF">2026-01-08T17:55:17Z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2026-01-08</vt:lpwstr>
  </property>
  <property fmtid="{D5CDD505-2E9C-101B-9397-08002B2CF9AE}" pid="5" name="language">
    <vt:lpwstr/>
  </property>
  <property fmtid="{D5CDD505-2E9C-101B-9397-08002B2CF9AE}" pid="6" name="output">
    <vt:lpwstr/>
  </property>
</Properties>
</file>