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4.png" ContentType="image/png"/>
  <Override PartName="/word/media/rId68.png" ContentType="image/png"/>
  <Override PartName="/word/media/rId77.png" ContentType="image/png"/>
  <Override PartName="/word/media/rId87.png" ContentType="image/png"/>
  <Override PartName="/word/media/rId30.png" ContentType="image/png"/>
  <Override PartName="/word/media/rId34.png" ContentType="image/png"/>
  <Override PartName="/word/media/rId53.png" ContentType="image/png"/>
  <Override PartName="/word/media/rId48.png" ContentType="image/png"/>
  <Override PartName="/word/media/rId83.png" ContentType="image/png"/>
  <Override PartName="/word/media/rId7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 International Union for Conservation of Nature (IUCN) and Conservation Measures Partnership (CMP)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also focused this study and tools around human activity, employing the hierarchical categorization structure developed by the IUCN-CMP. However, not all aspects of salmon management are specific to threats from human activity. Topics such as restoration, species status, spatial designation (parks), and overall governance administration may not connect to a direct human threat, or may encompass all the threats. In order to capture all these threat and non-threat related categories in our legislation-salmonscape interface, we created a schema of</w:t>
      </w:r>
      <w:r>
        <w:t xml:space="preserve"> </w:t>
      </w:r>
      <w:r>
        <w:t xml:space="preserve">“</w:t>
      </w:r>
      <w:r>
        <w:t xml:space="preserve">management domains</w:t>
      </w:r>
      <w:r>
        <w:t xml:space="preserve">”</w:t>
      </w:r>
      <w:r>
        <w:t xml:space="preserve"> </w:t>
      </w:r>
      <w:r>
        <w:t xml:space="preserve">that we define as</w:t>
      </w:r>
      <w:r>
        <w:t xml:space="preserve"> </w:t>
      </w:r>
      <w:r>
        <w:t xml:space="preserve">“</w:t>
      </w:r>
      <w:r>
        <w:t xml:space="preserve">discrete areas of administrative concern.</w:t>
      </w:r>
      <w:r>
        <w:t xml:space="preserve">”</w:t>
      </w:r>
    </w:p>
    <w:p>
      <w:pPr>
        <w:pStyle w:val="BodyText"/>
      </w:pPr>
      <w:r>
        <w:t xml:space="preserve">We developed and outlined the</w:t>
      </w:r>
      <w:r>
        <w:t xml:space="preserve"> </w:t>
      </w:r>
      <w:r>
        <w:rPr>
          <w:i/>
          <w:iCs/>
        </w:rPr>
        <w:t xml:space="preserve">Legislation Applicable to Pacific Salmon and their Ecosystems</w:t>
      </w:r>
      <w:r>
        <w:t xml:space="preserve"> </w:t>
      </w:r>
      <w:r>
        <w:t xml:space="preserve">(LAPSE) as a process and tool to parse Canadian federal and British Columbian provincial acts and regulations relevant to Pacific salmon, then use keyword phrase relationships to match clauses (paragraphs) to our management domains and corresponding IUCN-CMP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0e4b3e83adf7a71edb64b195b106e432211924e"/>
    <w:p>
      <w:pPr>
        <w:pStyle w:val="Heading1"/>
      </w:pPr>
      <w:r>
        <w:t xml:space="preserve">Management domains and the International Union for Conservation of Nature- Conservation Measures Partnership threat categories</w:t>
      </w:r>
    </w:p>
    <w:p>
      <w:pPr>
        <w:pStyle w:val="FirstParagraph"/>
      </w:pPr>
      <w:r>
        <w:t xml:space="preserve">Salafsky et al. (2008)</w:t>
      </w:r>
      <w:r>
        <w:t xml:space="preserve"> </w:t>
      </w:r>
      <w:r>
        <w:t xml:space="preserve">recognized that using a common language and a standard lexicon is essential for conservation science. Threats are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Legislated recovery planning also relies on a description of identified threats</w:t>
      </w:r>
      <w:r>
        <w:t xml:space="preserve"> </w:t>
      </w:r>
      <w:r>
        <w:t xml:space="preserve">(McCune et al. 2013)</w:t>
      </w:r>
      <w:r>
        <w:t xml:space="preserve">. The IUCN and the CMP began developing classifications of direct threats in the early 2000s, which were then compiled and developed further through an iterative process resulting in the</w:t>
      </w:r>
      <w:r>
        <w:t xml:space="preserve"> </w:t>
      </w:r>
      <w:r>
        <w:rPr>
          <w:i/>
          <w:iCs/>
        </w:rPr>
        <w:t xml:space="preserve">IUCN – CMP Direct Threats Classification Version 4.0</w:t>
      </w:r>
      <w:r>
        <w:t xml:space="preserve"> </w:t>
      </w:r>
      <w:r>
        <w:t xml:space="preserve">(Salafsky et al. 2024)</w:t>
      </w:r>
      <w:r>
        <w:t xml:space="preserve"> </w:t>
      </w:r>
      <w:r>
        <w:t xml:space="preserve">used for this exercise. The IUCN Direct Threats Classification uses a hierarchical, exclusive, comprehensive, and expandable structure of three levels similar to the Linnean system of grouping by family, genera, and species</w:t>
      </w:r>
      <w:r>
        <w:t xml:space="preserve"> </w:t>
      </w:r>
      <w:r>
        <w:t xml:space="preserve">(Salafsky et al. 2008)</w:t>
      </w:r>
      <w:r>
        <w:t xml:space="preserve">. First-level categories (Level 1) are the broadest, and are subdivided into second-level categories (Level 2), which are further subdivided into the most specific, third-level categories (Level 3).</w:t>
      </w:r>
    </w:p>
    <w:p>
      <w:pPr>
        <w:pStyle w:val="BodyText"/>
      </w:pPr>
      <w:r>
        <w:t xml:space="preserve">Canadian and British Columbian legislation has been enacted on a sector-by-sector basis, which doesn’t exactly align well with the IUCN-CMP Level 1 categories. The IUCN-CMP Level 2 categories fit well with corresponding management domains and legislative categories; however, could be grouped for simplicity and to be more intuitive (Figure</w:t>
      </w:r>
      <w:r>
        <w:t xml:space="preserve"> </w:t>
      </w:r>
      <w:r>
        <w:t xml:space="preserve">1</w:t>
      </w:r>
      <w:r>
        <w:t xml:space="preserve">). IUCN-CMP Level 3 categories were not used in this assessment.</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5" name="Picture"/>
            <a:graphic>
              <a:graphicData uri="http://schemas.openxmlformats.org/drawingml/2006/picture">
                <pic:pic>
                  <pic:nvPicPr>
                    <pic:cNvPr descr="../assets/Management%20Domain%20Flowchart.png" id="26" name="Picture"/>
                    <pic:cNvPicPr>
                      <a:picLocks noChangeArrowheads="1" noChangeAspect="1"/>
                    </pic:cNvPicPr>
                  </pic:nvPicPr>
                  <pic:blipFill>
                    <a:blip r:embed="rId2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7" w:name="fig:fig-flowchart-image"/>
      <w:bookmarkEnd w:id="27"/>
      <w:r>
        <w:t xml:space="preserve">Figure 1: Flowchart showing alignment of IUCN Level 2 threat categories with Management Domain in relation to legislation and jurisdiction.</w:t>
      </w:r>
    </w:p>
    <w:p>
      <w:pPr>
        <w:pStyle w:val="BodyText"/>
      </w:pPr>
      <w:r>
        <w:t xml:space="preserve">Lumping and splitting between IUCN-CMP Levels 1 and 2 categories was required to match threats with legislation (Table</w:t>
      </w:r>
      <w:r>
        <w:t xml:space="preserve"> </w:t>
      </w:r>
      <w:r>
        <w:t xml:space="preserve">1</w:t>
      </w:r>
      <w:r>
        <w:t xml:space="preserve">), which is why the management domain categories were required. For example, aquaculture and hatcheries are important aspects that impact Pacific salmon populations. This topic spans two IUCN-CMP Level 1 categories:</w:t>
      </w:r>
      <w:r>
        <w:t xml:space="preserve"> </w:t>
      </w:r>
      <w:r>
        <w:t xml:space="preserve">“</w:t>
      </w:r>
      <w:r>
        <w:t xml:space="preserve">2. Agriculture &amp; Aquaculture</w:t>
      </w:r>
      <w:r>
        <w:t xml:space="preserve">”</w:t>
      </w:r>
      <w:r>
        <w:t xml:space="preserve"> </w:t>
      </w:r>
      <w:r>
        <w:t xml:space="preserve">and</w:t>
      </w:r>
      <w:r>
        <w:t xml:space="preserve"> </w:t>
      </w:r>
      <w:r>
        <w:t xml:space="preserve">“</w:t>
      </w:r>
      <w:r>
        <w:t xml:space="preserve">8. Invasive / Other Problematic Species, Genes &amp; Pathogens</w:t>
      </w:r>
      <w:r>
        <w:t xml:space="preserve">”</w:t>
      </w:r>
      <w:r>
        <w:t xml:space="preserve">, but would be more specifically aligned with the IUCN-CMP Level 2 categories:</w:t>
      </w:r>
      <w:r>
        <w:t xml:space="preserve"> </w:t>
      </w:r>
      <w:r>
        <w:t xml:space="preserve">“</w:t>
      </w:r>
      <w:r>
        <w:t xml:space="preserve">2.4 Marine &amp; Freshwater Aquaculture</w:t>
      </w:r>
      <w:r>
        <w:t xml:space="preserve">”</w:t>
      </w:r>
      <w:r>
        <w:t xml:space="preserve"> </w:t>
      </w:r>
      <w:r>
        <w:t xml:space="preserve">and</w:t>
      </w:r>
      <w:r>
        <w:t xml:space="preserve"> </w:t>
      </w:r>
      <w:r>
        <w:t xml:space="preserve">“</w:t>
      </w:r>
      <w:r>
        <w:t xml:space="preserve">8.3 Introduced Genetic Material.</w:t>
      </w:r>
      <w:r>
        <w:t xml:space="preserve">”</w:t>
      </w:r>
      <w:r>
        <w:t xml:space="preserve"> </w:t>
      </w:r>
      <w:r>
        <w:t xml:space="preserve">For clarity and better alignment, we created a management domain called</w:t>
      </w:r>
      <w:r>
        <w:t xml:space="preserve"> </w:t>
      </w:r>
      <w:r>
        <w:t xml:space="preserve">“</w:t>
      </w:r>
      <w:r>
        <w:t xml:space="preserve">Aquaculture and Hatcheries.</w:t>
      </w:r>
      <w:r>
        <w:t xml:space="preserve">”</w:t>
      </w:r>
      <w:r>
        <w:t xml:space="preserve"> </w:t>
      </w:r>
      <w:r>
        <w:t xml:space="preserve">A similar misalignment occurs when assessing the provincial</w:t>
      </w:r>
      <w:r>
        <w:t xml:space="preserve"> </w:t>
      </w:r>
      <w:r>
        <w:t xml:space="preserve">“</w:t>
      </w:r>
      <w:r>
        <w:rPr>
          <w:i/>
          <w:iCs/>
        </w:rPr>
        <w:t xml:space="preserve">Forest And Range Practices Act</w:t>
      </w:r>
      <w:r>
        <w:t xml:space="preserve">.</w:t>
      </w:r>
      <w:r>
        <w:t xml:space="preserve">”</w:t>
      </w:r>
      <w:r>
        <w:t xml:space="preserve"> </w:t>
      </w:r>
      <w:r>
        <w:t xml:space="preserve">Since the management domain categories were derived as close as possible to the IUCN-CMP threat categories (a mix of Level 1 and Level 2), most can be viewed as equivalent.</w:t>
      </w:r>
    </w:p>
    <w:p>
      <w:pPr>
        <w:pStyle w:val="TableCaption"/>
      </w:pPr>
      <w:bookmarkStart w:id="28" w:name="tab:management-domain-threat-table"/>
      <w:bookmarkEnd w:id="28"/>
      <w:r>
        <w:t xml:space="preserve">Table 1:</w:t>
      </w:r>
      <w:r>
        <w:t xml:space="preserve"> </w:t>
      </w:r>
      <w:r>
        <w:t xml:space="preserve">Management domains and corresponding IUCN threat categories.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3600"/>
        <w:gridCol w:w="331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Annual &amp; Perennial Non-Timber Crops</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 Marine &amp; Freshwater Aquaculture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 Introduced Genetic Material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 Geological Events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Natural Disasters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 Changes in Temperature Regimes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Climate Change</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Changes in Precipitation &amp; Hydrological Regimes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 Fishing, Harvesting &amp; Controlling Aquatic Species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Wood &amp; Pulp Plantations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Agriculture &amp; Aquaculture</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Terrestrial Animal Farming, Ranching &amp; Herding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Logging, Harvesting &amp; Controlling Trees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Biological Resource Use &amp; Control</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Other Human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Human Intrusions &amp;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 Invasive Non-Native / Alien Species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Invasive / Other Problematic Species, Genes &amp; Pathogens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 Problematic Native Species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 Pathogens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 Oil &amp; Gas Exploration &amp; Extraction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Energy Production &amp; Mining</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Mining &amp; Quarrying</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 Renewable Energy</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 Water-Borne &amp; Other Effluent 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 Garbage &amp; Solid Waste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 Roads, Trails &amp; Railroads</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Transportation, Service &amp; Security Corridors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 Utility &amp; Service Lines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 Shipping Lanes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Residential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Residential, Commercial &amp; Recreation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 Dams &amp; Water Management / Use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Natural System Management &amp; Modifications</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 Earth &amp; Sediment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 Biological System Management</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body28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r>
        <w:trPr>
          <w:trHeight w:val="360" w:hRule="auto"/>
        </w:trPr>
        body29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r>
    </w:tbl>
    <w:bookmarkEnd w:id="29"/>
    <w:bookmarkStart w:id="47" w:name="X25cb83c7e66e5d117ad3fc9de6fd64368fb47a3"/>
    <w:p>
      <w:pPr>
        <w:pStyle w:val="Heading1"/>
      </w:pPr>
      <w:r>
        <w:t xml:space="preserve">Parsing legislation: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1) accumulate and review legislation (CanLii); 2) parse legislation by clause (paragraph), section, and heading; 3) match management domain and IUCN-CMP threat keywords to clauses; 4) assign salmon-specific scope categories; 5)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Pacific salmon and habitat stewardship. For this study, the term legislation (or statutes)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is a better indicator of a jurisdiction’s long-term commitment to natural resource stewardship</w:t>
      </w:r>
      <w:r>
        <w:t xml:space="preserve"> </w:t>
      </w:r>
      <w:r>
        <w:t xml:space="preserve">(Bogetti and Mason 2025)</w:t>
      </w:r>
      <w:r>
        <w:t xml:space="preserve"> </w:t>
      </w:r>
      <w:r>
        <w:t xml:space="preserve">than policies because policies are more prone to changes in the political, administrative, and budgetary landscape, while legislation is subject to due process or a parliamentary vote. Specific departmental policy frameworks and processes were not assessed within this exercise. This study also does not verify the implementation or enforcement in practice of the accumulated statutes by the responsible officials. The accumulated legislation is simply shown as it is written.</w:t>
      </w:r>
    </w:p>
    <w:p>
      <w:pPr>
        <w:pStyle w:val="BodyText"/>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 However, some of these other conventions may overlap with federal or provincial legislation in their governance. For example, the provincial</w:t>
      </w:r>
      <w:r>
        <w:t xml:space="preserve"> </w:t>
      </w:r>
      <w:r>
        <w:rPr>
          <w:i/>
          <w:iCs/>
        </w:rPr>
        <w:t xml:space="preserve">Spheres of Concurrent Jurisdiction — Environment and Wildlife Regulation</w:t>
      </w:r>
      <w:r>
        <w:t xml:space="preserve"> </w:t>
      </w:r>
      <w:r>
        <w:t xml:space="preserve">under the</w:t>
      </w:r>
      <w:r>
        <w:t xml:space="preserve"> </w:t>
      </w:r>
      <w:r>
        <w:rPr>
          <w:i/>
          <w:iCs/>
        </w:rPr>
        <w:t xml:space="preserve">Community Charter</w:t>
      </w:r>
      <w:r>
        <w:t xml:space="preserve"> </w:t>
      </w:r>
      <w:r>
        <w:t xml:space="preserve">references municipal jurisdiction in relation to the environment and wildlife.</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salmon-specific terms (salmon, Chinook, sockeye, etc.). Often, popular language and phrasing used by practitioners may not appear in legal language due to the age and generality of the documents. In order to capture salmon-specific language that actually occurs in the legal language, we extracted other adjacent keywords and phrases from the salmon-specific legislation using a word frequency analysis with the</w:t>
      </w:r>
      <w:r>
        <w:t xml:space="preserve"> </w:t>
      </w:r>
      <w:r>
        <w:t xml:space="preserve">“</w:t>
      </w:r>
      <w:r>
        <w:t xml:space="preserve">udpipe</w:t>
      </w:r>
      <w:r>
        <w:t xml:space="preserve">”</w:t>
      </w:r>
      <w:r>
        <w:t xml:space="preserve"> </w:t>
      </w:r>
      <w:r>
        <w:t xml:space="preserve">R package</w:t>
      </w:r>
      <w:r>
        <w:t xml:space="preserve"> </w:t>
      </w:r>
      <w:r>
        <w:t xml:space="preserve">(Wijffels 2025)</w:t>
      </w:r>
      <w:r>
        <w:t xml:space="preserve">. A list of extracted adjacent keywords and phrases were combined with the IUCN threat description wordings, which were then queried in CanLII. The user may quickly view each individual keyword within the chosen statute through the CanLII website. This allows the user to assess the context of the word in the legislation and determine if the section might be relevant to Pacific salmon. Legislation was filtered by region (excluding provinces other than BC), and the statutes’ HTML files were downloaded directly from government websites. The number of statutes collected for inclusion in this study is shown in Table</w:t>
      </w:r>
      <w:r>
        <w:t xml:space="preserve"> </w:t>
      </w:r>
      <w:r>
        <w:t xml:space="preserve">2</w:t>
      </w:r>
      <w:r>
        <w:t xml:space="preserve">.</w:t>
      </w:r>
    </w:p>
    <w:p>
      <w:pPr>
        <w:pStyle w:val="TableCaption"/>
      </w:pPr>
      <w:bookmarkStart w:id="38" w:name="tab:legislation-summary-table"/>
      <w:bookmarkEnd w:id="38"/>
      <w:r>
        <w:t xml:space="preserve">Table 2:</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39"/>
    <w:bookmarkStart w:id="44"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topic.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Example of HTML code paragraph parsing structure for Section 29 of the Canadian federal Fisheries Act."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Example of HTML code paragraph parsing structure for Section 29 of the Canadian federal</w:t>
      </w:r>
      <w:r>
        <w:t xml:space="preserve"> </w:t>
      </w:r>
      <w:r>
        <w:rPr>
          <w:i/>
          <w:iCs/>
        </w:rPr>
        <w:t xml:space="preserve">Fisheries Act</w:t>
      </w:r>
      <w:r>
        <w:rPr>
          <w:i/>
          <w:iCs/>
        </w:rPr>
        <w:t xml:space="preserv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w:t>
      </w:r>
      <w:r>
        <w:t xml:space="preserve"> </w:t>
      </w:r>
      <w:r>
        <w:t xml:space="preserve">(Wickham 2025)</w:t>
      </w:r>
      <w:r>
        <w:t xml:space="preserve">, extracting the text of each clause, then grouping by section and heading.</w:t>
      </w:r>
    </w:p>
    <w:bookmarkEnd w:id="44"/>
    <w:bookmarkStart w:id="45" w:name="the-lapse-process-and-tool-development"/>
    <w:p>
      <w:pPr>
        <w:pStyle w:val="Heading2"/>
      </w:pPr>
      <w:r>
        <w:t xml:space="preserve">The LAPSE process and tool development</w:t>
      </w:r>
    </w:p>
    <w:p>
      <w:pPr>
        <w:pStyle w:val="FirstParagraph"/>
      </w:pPr>
      <w:r>
        <w:t xml:space="preserve">The parsed legislation was stored in a SQLite database with datatables including jurisdiction, act name, legislation name, legislation type, paragraph content, section, heading, management domain, IUCN-CMP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IUCN-CMP threat matching process pivoted around an established list of keywords and phrases relevant to Pacific salmon stewardship. Keywords act as the language link between categorization and the legislative clauses. Keywords must be specific enough to match an IUCN-CMP threat, yet general enough to appear in multiple acts and regulations that span many decades of legal language. 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w:t>
      </w:r>
    </w:p>
    <w:p>
      <w:pPr>
        <w:pStyle w:val="BodyText"/>
      </w:pPr>
      <w:r>
        <w:t xml:space="preserve">The keyword and keyphrase development process required an iterative researcher revision step because of the varied context of language. While the words used in the IUCN-CMP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IUCN-CMP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IUCN-CMP threat examples or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bookmarkEnd w:id="46"/>
    <w:bookmarkEnd w:id="47"/>
    <w:bookmarkStart w:id="66" w:name="results"/>
    <w:p>
      <w:pPr>
        <w:pStyle w:val="Heading1"/>
      </w:pPr>
      <w:r>
        <w:t xml:space="preserve">Results</w:t>
      </w:r>
    </w:p>
    <w:bookmarkStart w:id="52" w:name="management-domains"/>
    <w:p>
      <w:pPr>
        <w:pStyle w:val="Heading2"/>
      </w:pPr>
      <w:r>
        <w:t xml:space="preserve">Management domains</w:t>
      </w:r>
    </w:p>
    <w:p>
      <w:pPr>
        <w:pStyle w:val="FirstParagraph"/>
      </w:pPr>
      <w:r>
        <w:t xml:space="preserve">While the number of statutes, sections, or clauses is not a measure of the quality or effectiveness of the legislation</w:t>
      </w:r>
      <w:r>
        <w:t xml:space="preserve"> </w:t>
      </w:r>
      <w:r>
        <w:t xml:space="preserve">(Ray et al. 2021)</w:t>
      </w:r>
      <w:r>
        <w:t xml:space="preserve">, the LAPSE process and tool can be used by practitioners to view the existing acts, regulations, orders, and codes when considering actions or proposals. 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(specifically, 6.3 Other Human Disturbances, as in species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49" name="Picture"/>
            <a:graphic>
              <a:graphicData uri="http://schemas.openxmlformats.org/drawingml/2006/picture">
                <pic:pic>
                  <pic:nvPicPr>
                    <pic:cNvPr descr="LAPSE_primary_publication_files/figure-docx/section-count-by-management-domain-1.png" id="50" name="Picture"/>
                    <pic:cNvPicPr>
                      <a:picLocks noChangeArrowheads="1" noChangeAspect="1"/>
                    </pic:cNvPicPr>
                  </pic:nvPicPr>
                  <pic:blipFill>
                    <a:blip r:embed="rId4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1" w:name="fig:section-count-by-management-domain"/>
      <w:bookmarkEnd w:id="51"/>
      <w:r>
        <w:t xml:space="preserve">Figure 5: Count of sections matched by management domain, stacked by jurisdiction.</w:t>
      </w:r>
    </w:p>
    <w:bookmarkEnd w:id="52"/>
    <w:bookmarkStart w:id="57" w:name="iucn-cmp-level-2-threats"/>
    <w:p>
      <w:pPr>
        <w:pStyle w:val="Heading2"/>
      </w:pPr>
      <w:r>
        <w:t xml:space="preserve">IUCN-CMP Level 2 threats</w:t>
      </w:r>
    </w:p>
    <w:p>
      <w:pPr>
        <w:pStyle w:val="FirstParagraph"/>
      </w:pPr>
      <w:r>
        <w:t xml:space="preserve">IUCN-CMP Level 2 categories are more specific, and the categorization process matched to 25 categories (Figure</w:t>
      </w:r>
      <w:r>
        <w:t xml:space="preserve"> </w:t>
      </w:r>
      <w:r>
        <w:t xml:space="preserve">6</w:t>
      </w:r>
      <w:r>
        <w:t xml:space="preserve">) that parallel the management domain categories. Multiple IUCN-CMP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IUCN-CMP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CMP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IUCN-CMP threat category, separated by jurisdiction.</w:t>
      </w:r>
    </w:p>
    <w:bookmarkEnd w:id="57"/>
    <w:bookmarkStart w:id="63" w:name="salmon-specific-scope"/>
    <w:p>
      <w:pPr>
        <w:pStyle w:val="Heading2"/>
      </w:pPr>
      <w:r>
        <w:t xml:space="preserve">Salmon-specific scope</w:t>
      </w:r>
    </w:p>
    <w:p>
      <w:pPr>
        <w:pStyle w:val="FirstParagraph"/>
      </w:pPr>
      <w:r>
        <w:t xml:space="preserve">Regulatory language that can be matched to management domain and IUCN-CMP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keywords and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BodyText"/>
      </w:pPr>
      <w:r>
        <w:t xml:space="preserve">The scope assignment process was linked, but occurred independent of the management domain and IUCN-CMP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IUCN-CMP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IUCN-CMP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58" w:name="tab:scope-tally"/>
      <w:bookmarkEnd w:id="58"/>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7</w:t>
      </w:r>
      <w:r>
        <w:t xml:space="preserve">, specifically, the</w:t>
      </w:r>
      <w:r>
        <w:t xml:space="preserve"> </w:t>
      </w:r>
      <w:r>
        <w:rPr>
          <w:i/>
          <w:iCs/>
        </w:rPr>
        <w:t xml:space="preserve">British Columbia Sport Fishing Regulations, 1996</w:t>
      </w:r>
      <w:r>
        <w:t xml:space="preserve">;</w:t>
      </w:r>
      <w:r>
        <w:t xml:space="preserve"> </w:t>
      </w:r>
      <w:r>
        <w:rPr>
          <w:i/>
          <w:iCs/>
        </w:rPr>
        <w:t xml:space="preserve">National Parks of Canada Fishing Regulations</w:t>
      </w:r>
      <w:r>
        <w:t xml:space="preserve">; and</w:t>
      </w:r>
      <w:r>
        <w:t xml:space="preserve"> </w:t>
      </w:r>
      <w:r>
        <w:rPr>
          <w:i/>
          <w:iCs/>
        </w:rPr>
        <w:t xml:space="preserve">Pacific Fishery Regulations 1993</w:t>
      </w:r>
      <w:r>
        <w:t xml:space="preserve">. The federal</w:t>
      </w:r>
      <w:r>
        <w:t xml:space="preserve"> </w:t>
      </w:r>
      <w:r>
        <w:rPr>
          <w:i/>
          <w:iCs/>
        </w:rPr>
        <w:t xml:space="preserve">Fisheries Act</w:t>
      </w:r>
      <w:r>
        <w:t xml:space="preserve"> </w:t>
      </w:r>
      <w:r>
        <w:t xml:space="preserve">does not use the word</w:t>
      </w:r>
      <w:r>
        <w:t xml:space="preserve"> </w:t>
      </w:r>
      <w:r>
        <w:t xml:space="preserve">“</w:t>
      </w:r>
      <w:r>
        <w:t xml:space="preserve">salmon</w:t>
      </w:r>
      <w:r>
        <w:t xml:space="preserve">”</w:t>
      </w:r>
      <w:r>
        <w:t xml:space="preserve"> </w:t>
      </w:r>
      <w:r>
        <w:t xml:space="preserve">or any salmon-specific keywords at all, only the regulations made under the</w:t>
      </w:r>
      <w:r>
        <w:t xml:space="preserve"> </w:t>
      </w:r>
      <w:r>
        <w:rPr>
          <w:i/>
          <w:iCs/>
        </w:rPr>
        <w:t xml:space="preserve">Fisheries Act</w:t>
      </w:r>
      <w:r>
        <w:t xml:space="preserve">.</w:t>
      </w:r>
    </w:p>
    <w:p>
      <w:pPr>
        <w:pStyle w:val="CaptionedFigure"/>
      </w:pPr>
      <w:r>
        <w:drawing>
          <wp:inline>
            <wp:extent cx="5943600" cy="4457699"/>
            <wp:effectExtent b="0" l="0" r="0" t="0"/>
            <wp:docPr descr="Figure 7: Count of sections by legislation for scope category ‘1 - Salmon’, coloured by jurisdiction." title="" id="60" name="Picture"/>
            <a:graphic>
              <a:graphicData uri="http://schemas.openxmlformats.org/drawingml/2006/picture">
                <pic:pic>
                  <pic:nvPicPr>
                    <pic:cNvPr descr="LAPSE_primary_publication_files/figure-docx/section-count-salmon-scope-1.png" id="61" name="Picture"/>
                    <pic:cNvPicPr>
                      <a:picLocks noChangeArrowheads="1" noChangeAspect="1"/>
                    </pic:cNvPicPr>
                  </pic:nvPicPr>
                  <pic:blipFill>
                    <a:blip r:embed="rId5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2" w:name="fig:section-count-salmon-scope"/>
      <w:bookmarkEnd w:id="62"/>
      <w:r>
        <w:t xml:space="preserve">Figure 7: Count of sections by legislation for scope category</w:t>
      </w:r>
      <w:r>
        <w:t xml:space="preserve"> </w:t>
      </w:r>
      <w:r>
        <w:t xml:space="preserve">‘</w:t>
      </w:r>
      <w:r>
        <w:t xml:space="preserve">1 - Salmon</w:t>
      </w:r>
      <w:r>
        <w:t xml:space="preserve">’</w:t>
      </w:r>
      <w:r>
        <w:t xml:space="preserve">, coloured by jurisdiction.</w:t>
      </w:r>
    </w:p>
    <w:bookmarkEnd w:id="63"/>
    <w:bookmarkStart w:id="65" w:name="clause-types-as-legislative-factors"/>
    <w:p>
      <w:pPr>
        <w:pStyle w:val="Heading2"/>
      </w:pPr>
      <w:r>
        <w:t xml:space="preserve">Clause types as legislative factors</w:t>
      </w:r>
    </w:p>
    <w:p>
      <w:pPr>
        <w:pStyle w:val="FirstParagraph"/>
      </w:pPr>
      <w:r>
        <w:t xml:space="preserve">The process of parsing legislation by clause and section, then matching categories by keywords also allows for other possible categorizations. Similar to management domains and IUCN-CMP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4" w:name="tab:clause-type-with-domain-tally"/>
      <w:bookmarkEnd w:id="64"/>
      <w:r>
        <w:t xml:space="preserve">Table 4:</w:t>
      </w:r>
      <w:r>
        <w:t xml:space="preserve"> </w:t>
      </w:r>
      <w:r>
        <w:t xml:space="preserve">Section counts by management domain and clause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Abbreviations: Admin. = Administration, Application, &amp; Structure; Auth. = Authorization &amp; Mandate; Desig. = Designation; Instr. = Instruction; Interp. = Interpretation &amp; Purpose; Licence = Licence, Permitting, &amp; Exemptions; Prohib. = Prohibition, Restriction, or Limitation.</w:t>
            </w:r>
          </w:p>
        </w:tc>
      </w:tr>
    </w:tbl>
    <w:bookmarkEnd w:id="65"/>
    <w:bookmarkEnd w:id="66"/>
    <w:bookmarkStart w:id="93"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a population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w:t>
      </w:r>
      <w:r>
        <w:t xml:space="preserve">(COSEWIC 2023)</w:t>
      </w:r>
      <w:r>
        <w:t xml:space="preserve">. COSEWIC outlines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often includes a threat assessment using the same IUCN-CMP threat classification used in this legislative assessment.</w:t>
      </w:r>
    </w:p>
    <w:p>
      <w:pPr>
        <w:pStyle w:val="BodyText"/>
      </w:pPr>
      <w:r>
        <w:t xml:space="preserve">DFO’s</w:t>
      </w:r>
      <w:r>
        <w:t xml:space="preserve"> </w:t>
      </w:r>
      <w:r>
        <w:rPr>
          <w:i/>
          <w:iCs/>
        </w:rPr>
        <w:t xml:space="preserve">Wild Salmon Policy</w:t>
      </w:r>
      <w:r>
        <w:t xml:space="preserve"> </w:t>
      </w:r>
      <w:r>
        <w:t xml:space="preserve">(WSP) outlines salmon management delineated by Conservation Units (CU), which are defined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(DFO 2005)</w:t>
      </w:r>
      <w:r>
        <w:t xml:space="preserve">. In most cases, DUs and CUs are equivalent with some lumping and splitting for specific populations. Any differences are explained within the RPA documents</w:t>
      </w:r>
      <w:r>
        <w:t xml:space="preserve"> </w:t>
      </w:r>
      <w:r>
        <w:t xml:space="preserve">(DFO 2019, 2020; Mahony et al. 2019; Arbeider et al. 2020; Dionne 2023; Doutaz et al. 2023)</w:t>
      </w:r>
      <w:r>
        <w:t xml:space="preserve">.</w:t>
      </w:r>
    </w:p>
    <w:p>
      <w:pPr>
        <w:pStyle w:val="BodyText"/>
      </w:pPr>
      <w:r>
        <w:t xml:space="preserve">Since the RPA population and habitat descriptions, and corresponding threats, are conducted in the context of DUs, we incorporated DUs for the purpose of this study. We only included salmon populations with published RPAs (Table</w:t>
      </w:r>
      <w:r>
        <w:t xml:space="preserve"> </w:t>
      </w:r>
      <w:r>
        <w:t xml:space="preserve">5</w:t>
      </w:r>
      <w:r>
        <w:t xml:space="preserve">), and only RPA processes that used comparable IUCN-CMP threat categories. For example, Sakinaw Lake sockeye had an RPA published in 2019, but used a</w:t>
      </w:r>
      <w:r>
        <w:t xml:space="preserve"> </w:t>
      </w:r>
      <w:r>
        <w:t xml:space="preserve">“</w:t>
      </w:r>
      <w:r>
        <w:t xml:space="preserve">limiting factor</w:t>
      </w:r>
      <w:r>
        <w:t xml:space="preserve">”</w:t>
      </w:r>
      <w:r>
        <w:t xml:space="preserve"> </w:t>
      </w:r>
      <w:r>
        <w:t xml:space="preserve">analysis</w:t>
      </w:r>
      <w:r>
        <w:t xml:space="preserve"> </w:t>
      </w:r>
      <w:r>
        <w:t xml:space="preserve">(Ramshaw et al. 2019)</w:t>
      </w:r>
      <w:r>
        <w:t xml:space="preserve">, which did not align with this analysis.</w:t>
      </w:r>
    </w:p>
    <w:p>
      <w:pPr>
        <w:pStyle w:val="TableCaption"/>
      </w:pPr>
      <w:bookmarkStart w:id="67" w:name="tab:du-species-du-name-table"/>
      <w:bookmarkEnd w:id="67"/>
      <w:r>
        <w:t xml:space="preserve">Table 5:</w:t>
      </w:r>
      <w:r>
        <w:t xml:space="preserve"> </w:t>
      </w:r>
      <w:r>
        <w:t xml:space="preserve">Designatable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RPA Reference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Southern Mainland Boundary Bay, Ocean, Fall 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Fall (Harrison)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(Upper Pitt)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Stream, Summer (Lillooet)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Ocean, Summer (Maria Slough)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(FRCanyon)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Fall (Portage)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Dionne et al. 2023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Spring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 Stream,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2020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 River,Ocean, Summer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Mahony et al. 2021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Interior Fraser 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Arbeider et al. 2020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DFO 2019</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 (U/S)-L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Barriere-ES population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Taseko-ES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r>
        <w:trPr>
          <w:trHeight w:val="360" w:hRule="auto"/>
        </w:trPr>
        body27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 (River-Type) 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Doutaz et al. 2023</w:t>
            </w:r>
          </w:p>
        </w:tc>
      </w:tr>
    </w:tbl>
    <w:p>
      <w:pPr>
        <w:pStyle w:val="BodyText"/>
      </w:pPr>
    </w:p>
    <w:p>
      <w:pPr>
        <w:pStyle w:val="BodyText"/>
      </w:pPr>
      <w:r>
        <w:t xml:space="preserve">The RPA process identified two IUCN-CMP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8</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 These two categories were chosen to assess the categories as case studies.</w:t>
      </w:r>
    </w:p>
    <w:p>
      <w:pPr>
        <w:pStyle w:val="Compact"/>
        <w:numPr>
          <w:ilvl w:val="0"/>
          <w:numId w:val="1003"/>
        </w:numPr>
      </w:pPr>
      <w:r>
        <w:rPr>
          <w:b/>
          <w:bCs/>
        </w:rPr>
        <w:t xml:space="preserve">Dan - thanks for pointing out DU14 and</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This confused me for a bit. So… the table in DFO 2020 shows an</w:t>
      </w:r>
      <w:r>
        <w:rPr>
          <w:b/>
          <w:bCs/>
        </w:rPr>
        <w:t xml:space="preserve"> </w:t>
      </w:r>
      <w:r>
        <w:rPr>
          <w:b/>
          <w:bCs/>
        </w:rPr>
        <w:t xml:space="preserve">“</w:t>
      </w:r>
      <w:r>
        <w:rPr>
          <w:b/>
          <w:bCs/>
        </w:rPr>
        <w:t xml:space="preserve">Extreme-High</w:t>
      </w:r>
      <w:r>
        <w:rPr>
          <w:b/>
          <w:bCs/>
        </w:rPr>
        <w:t xml:space="preserve">”</w:t>
      </w:r>
      <w:r>
        <w:rPr>
          <w:b/>
          <w:bCs/>
        </w:rPr>
        <w:t xml:space="preserve"> </w:t>
      </w:r>
      <w:r>
        <w:rPr>
          <w:b/>
          <w:bCs/>
        </w:rPr>
        <w:t xml:space="preserve">ranking for</w:t>
      </w:r>
      <w:r>
        <w:rPr>
          <w:b/>
          <w:bCs/>
        </w:rPr>
        <w:t xml:space="preserve"> </w:t>
      </w:r>
      <w:r>
        <w:rPr>
          <w:b/>
          <w:bCs/>
        </w:rPr>
        <w:t xml:space="preserve">“</w:t>
      </w:r>
      <w:r>
        <w:rPr>
          <w:b/>
          <w:bCs/>
        </w:rPr>
        <w:t xml:space="preserve">Natural systems modifications (Water management, ecosystems modifications).</w:t>
      </w:r>
      <w:r>
        <w:rPr>
          <w:b/>
          <w:bCs/>
        </w:rPr>
        <w:t xml:space="preserve">”</w:t>
      </w:r>
      <w:r>
        <w:rPr>
          <w:b/>
          <w:bCs/>
        </w:rPr>
        <w:t xml:space="preserve"> </w:t>
      </w:r>
      <w:r>
        <w:rPr>
          <w:b/>
          <w:bCs/>
        </w:rPr>
        <w:t xml:space="preserve">That’s the only place I could figure out where the</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might have come from.</w:t>
      </w:r>
    </w:p>
    <w:p>
      <w:pPr>
        <w:pStyle w:val="Compact"/>
        <w:numPr>
          <w:ilvl w:val="0"/>
          <w:numId w:val="1003"/>
        </w:numPr>
      </w:pPr>
      <w:r>
        <w:rPr>
          <w:b/>
          <w:bCs/>
        </w:rPr>
        <w:t xml:space="preserve">In that same report the</w:t>
      </w:r>
      <w:r>
        <w:rPr>
          <w:b/>
          <w:bCs/>
        </w:rPr>
        <w:t xml:space="preserve"> </w:t>
      </w:r>
      <w:r>
        <w:rPr>
          <w:b/>
          <w:bCs/>
        </w:rPr>
        <w:t xml:space="preserve">“</w:t>
      </w:r>
      <w:r>
        <w:rPr>
          <w:b/>
          <w:bCs/>
        </w:rPr>
        <w:t xml:space="preserve">Ecosystems Modifications</w:t>
      </w:r>
      <w:r>
        <w:rPr>
          <w:b/>
          <w:bCs/>
        </w:rPr>
        <w:t xml:space="preserve">”</w:t>
      </w:r>
      <w:r>
        <w:rPr>
          <w:b/>
          <w:bCs/>
        </w:rPr>
        <w:t xml:space="preserve"> </w:t>
      </w:r>
      <w:r>
        <w:rPr>
          <w:b/>
          <w:bCs/>
        </w:rPr>
        <w:t xml:space="preserve">section says,</w:t>
      </w:r>
      <w:r>
        <w:rPr>
          <w:b/>
          <w:bCs/>
        </w:rPr>
        <w:t xml:space="preserve"> </w:t>
      </w:r>
      <w:r>
        <w:rPr>
          <w:b/>
          <w:bCs/>
        </w:rPr>
        <w:t xml:space="preserve">“</w:t>
      </w:r>
      <w:r>
        <w:rPr>
          <w:b/>
          <w:bCs/>
        </w:rPr>
        <w:t xml:space="preserve">Ecosystems modifications that alter catchment surfaces or increase impervious surfaces can have significant effects on stream temperatures and flow regimes. These activities include water extraction, forestry, wildfires, and development from agricultural, industrial, and residential sectors. Impacts of wildfires are similar to forestry as they alter flow and temperature regimes…</w:t>
      </w:r>
      <w:r>
        <w:rPr>
          <w:b/>
          <w:bCs/>
        </w:rPr>
        <w:t xml:space="preserve">”</w:t>
      </w:r>
    </w:p>
    <w:p>
      <w:pPr>
        <w:pStyle w:val="Compact"/>
        <w:numPr>
          <w:ilvl w:val="0"/>
          <w:numId w:val="1003"/>
        </w:numPr>
      </w:pPr>
      <w:r>
        <w:rPr>
          <w:b/>
          <w:bCs/>
        </w:rPr>
        <w:t xml:space="preserve">In the Water Extraction section it says,</w:t>
      </w:r>
      <w:r>
        <w:rPr>
          <w:b/>
          <w:bCs/>
        </w:rPr>
        <w:t xml:space="preserve"> </w:t>
      </w:r>
      <w:r>
        <w:rPr>
          <w:b/>
          <w:bCs/>
        </w:rPr>
        <w:t xml:space="preserve">“</w:t>
      </w:r>
      <w:r>
        <w:rPr>
          <w:b/>
          <w:bCs/>
        </w:rPr>
        <w:t xml:space="preserve">Water extraction for irrigation and livestock can impact FRC through reduced flows in streams, limiting the wetted area of streams, and potentially increasing water temperatures. Groundwater extraction is of particular concern to… Water extraction is of particular concern for DU14 (STh-Bessette), which spawn in a drought-sensitive system in an area of extensive water extraction. Agricultural water use creates low summer flows and high stream temperatures to the point where fish kills have been recorded. The town of Lumby is a large contributor to groundwater extraction for the surrounding area, and water demands are expected to increase in the future. Due to the deficit of water caused by anthropogenic activities this threat was deemed to have a high to extreme level of impact on this population.</w:t>
      </w:r>
      <w:r>
        <w:rPr>
          <w:b/>
          <w:bCs/>
        </w:rPr>
        <w:t xml:space="preserve">”</w:t>
      </w:r>
    </w:p>
    <w:p>
      <w:pPr>
        <w:pStyle w:val="Compact"/>
        <w:numPr>
          <w:ilvl w:val="0"/>
          <w:numId w:val="1003"/>
        </w:numPr>
      </w:pPr>
      <w:r>
        <w:rPr>
          <w:b/>
          <w:bCs/>
        </w:rPr>
        <w:t xml:space="preserve">But the IUCN - CMP Direct Threats Classification 4.0 doesn’t have a</w:t>
      </w:r>
      <w:r>
        <w:rPr>
          <w:b/>
          <w:bCs/>
        </w:rPr>
        <w:t xml:space="preserve"> </w:t>
      </w:r>
      <w:r>
        <w:rPr>
          <w:b/>
          <w:bCs/>
        </w:rPr>
        <w:t xml:space="preserve">“</w:t>
      </w:r>
      <w:r>
        <w:rPr>
          <w:b/>
          <w:bCs/>
        </w:rPr>
        <w:t xml:space="preserve">7.3 Other ecosystem modifications,</w:t>
      </w:r>
      <w:r>
        <w:rPr>
          <w:b/>
          <w:bCs/>
        </w:rPr>
        <w:t xml:space="preserve">”</w:t>
      </w:r>
      <w:r>
        <w:rPr>
          <w:b/>
          <w:bCs/>
        </w:rPr>
        <w:t xml:space="preserve"> </w:t>
      </w:r>
      <w:r>
        <w:rPr>
          <w:b/>
          <w:bCs/>
        </w:rPr>
        <w:t xml:space="preserve">that category is now split. Although,</w:t>
      </w:r>
      <w:r>
        <w:rPr>
          <w:b/>
          <w:bCs/>
        </w:rPr>
        <w:t xml:space="preserve"> </w:t>
      </w:r>
      <w:r>
        <w:rPr>
          <w:b/>
          <w:bCs/>
        </w:rPr>
        <w:t xml:space="preserve">“</w:t>
      </w:r>
      <w:r>
        <w:rPr>
          <w:b/>
          <w:bCs/>
        </w:rPr>
        <w:t xml:space="preserve">7.3 Earth &amp; Sediment Management</w:t>
      </w:r>
      <w:r>
        <w:rPr>
          <w:b/>
          <w:bCs/>
        </w:rPr>
        <w:t xml:space="preserve">”</w:t>
      </w:r>
      <w:r>
        <w:rPr>
          <w:b/>
          <w:bCs/>
        </w:rPr>
        <w:t xml:space="preserve"> </w:t>
      </w:r>
      <w:r>
        <w:rPr>
          <w:b/>
          <w:bCs/>
        </w:rPr>
        <w:t xml:space="preserve">could apply to Bessette. This is why I thought that this threat assessment applied more to</w:t>
      </w:r>
      <w:r>
        <w:rPr>
          <w:b/>
          <w:bCs/>
        </w:rPr>
        <w:t xml:space="preserve"> </w:t>
      </w:r>
      <w:r>
        <w:rPr>
          <w:b/>
          <w:bCs/>
        </w:rPr>
        <w:t xml:space="preserve">“</w:t>
      </w:r>
      <w:r>
        <w:rPr>
          <w:b/>
          <w:bCs/>
        </w:rPr>
        <w:t xml:space="preserve">7.2 Dams &amp; Water Management / Use,</w:t>
      </w:r>
      <w:r>
        <w:rPr>
          <w:b/>
          <w:bCs/>
        </w:rPr>
        <w:t xml:space="preserve">”</w:t>
      </w:r>
      <w:r>
        <w:rPr>
          <w:b/>
          <w:bCs/>
        </w:rPr>
        <w:t xml:space="preserve"> </w:t>
      </w:r>
      <w:r>
        <w:rPr>
          <w:b/>
          <w:bCs/>
        </w:rPr>
        <w:t xml:space="preserve">which includes</w:t>
      </w:r>
      <w:r>
        <w:rPr>
          <w:b/>
          <w:bCs/>
        </w:rPr>
        <w:t xml:space="preserve"> </w:t>
      </w:r>
      <w:r>
        <w:rPr>
          <w:b/>
          <w:bCs/>
        </w:rPr>
        <w:t xml:space="preserve">“</w:t>
      </w:r>
      <w:r>
        <w:rPr>
          <w:b/>
          <w:bCs/>
        </w:rPr>
        <w:t xml:space="preserve">dam construction, dam operations, levees and dikes, channelization, highway culverts… surface water withdrawals, groundwater pumping…</w:t>
      </w:r>
      <w:r>
        <w:rPr>
          <w:b/>
          <w:bCs/>
        </w:rPr>
        <w:t xml:space="preserve">”</w:t>
      </w:r>
    </w:p>
    <w:p>
      <w:pPr>
        <w:pStyle w:val="Compact"/>
        <w:numPr>
          <w:ilvl w:val="0"/>
          <w:numId w:val="1003"/>
        </w:numPr>
      </w:pPr>
      <w:r>
        <w:rPr>
          <w:b/>
          <w:bCs/>
        </w:rPr>
        <w:t xml:space="preserve">I’ve also done juvenile Chinook surveys in Bessette years ago, and this description matches my experience of Bessette Creek.</w:t>
      </w:r>
    </w:p>
    <w:p>
      <w:pPr>
        <w:pStyle w:val="Compact"/>
        <w:numPr>
          <w:ilvl w:val="0"/>
          <w:numId w:val="1003"/>
        </w:numPr>
      </w:pPr>
      <w:r>
        <w:rPr>
          <w:b/>
          <w:bCs/>
        </w:rPr>
        <w:t xml:space="preserve">Does that sound correct? Did I miss something, or is there another document I’m missing? It’s great that I double-check these specifics! Thanks for reading more deeply into this!</w:t>
      </w:r>
    </w:p>
    <w:p>
      <w:pPr>
        <w:pStyle w:val="CaptionedFigure"/>
      </w:pPr>
      <w:r>
        <w:drawing>
          <wp:inline>
            <wp:extent cx="5943600" cy="4457699"/>
            <wp:effectExtent b="0" l="0" r="0" t="0"/>
            <wp:docPr descr="Figure 8: Threat ranking categories assigned by IUCN-CMP threat categories for Designatable Units of Pacific salmon assessed through the Recovery Potential Assessment process." title="" id="69" name="Picture"/>
            <a:graphic>
              <a:graphicData uri="http://schemas.openxmlformats.org/drawingml/2006/picture">
                <pic:pic>
                  <pic:nvPicPr>
                    <pic:cNvPr descr="LAPSE_primary_publication_files/figure-docx/du-ranking-heatmap-1.png" id="70" name="Picture"/>
                    <pic:cNvPicPr>
                      <a:picLocks noChangeArrowheads="1" noChangeAspect="1"/>
                    </pic:cNvPicPr>
                  </pic:nvPicPr>
                  <pic:blipFill>
                    <a:blip r:embed="rId68"/>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1" w:name="fig:du-ranking-heatmap"/>
      <w:bookmarkEnd w:id="71"/>
      <w:r>
        <w:t xml:space="preserve">Figure 8: Threat ranking categories assigned by IUCN-CMP threat categories for Designatable Units of Pacific salmon assessed through the Recovery Potential Assessment process.</w:t>
      </w:r>
    </w:p>
    <w:p>
      <w:pPr>
        <w:pStyle w:val="Compact"/>
        <w:numPr>
          <w:ilvl w:val="0"/>
          <w:numId w:val="1004"/>
        </w:numPr>
      </w:pPr>
      <w:r>
        <w:rPr>
          <w:b/>
          <w:bCs/>
        </w:rPr>
        <w:t xml:space="preserve">Dan - the heatmap chart no longer shows a count for the number of DUs, it just lists the threat rankings available. I think that should help with the bias. I don’t list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in this graphic, I’m making that an assumed category. But I could add the</w:t>
      </w:r>
      <w:r>
        <w:rPr>
          <w:b/>
          <w:bCs/>
        </w:rPr>
        <w:t xml:space="preserve"> </w:t>
      </w:r>
      <w:r>
        <w:rPr>
          <w:b/>
          <w:bCs/>
        </w:rPr>
        <w:t xml:space="preserve">“</w:t>
      </w:r>
      <w:r>
        <w:rPr>
          <w:b/>
          <w:bCs/>
        </w:rPr>
        <w:t xml:space="preserve">Unknown</w:t>
      </w:r>
      <w:r>
        <w:rPr>
          <w:b/>
          <w:bCs/>
        </w:rPr>
        <w:t xml:space="preserve">”</w:t>
      </w:r>
      <w:r>
        <w:rPr>
          <w:b/>
          <w:bCs/>
        </w:rPr>
        <w:t xml:space="preserve"> </w:t>
      </w:r>
      <w:r>
        <w:rPr>
          <w:b/>
          <w:bCs/>
        </w:rPr>
        <w:t xml:space="preserve">values and treat missing values like Pathogens as an</w:t>
      </w:r>
      <w:r>
        <w:rPr>
          <w:b/>
          <w:bCs/>
        </w:rPr>
        <w:t xml:space="preserve"> </w:t>
      </w:r>
      <w:r>
        <w:rPr>
          <w:b/>
          <w:bCs/>
        </w:rPr>
        <w:t xml:space="preserve">“</w:t>
      </w:r>
      <w:r>
        <w:rPr>
          <w:b/>
          <w:bCs/>
        </w:rPr>
        <w:t xml:space="preserve">Unknown</w:t>
      </w:r>
      <w:r>
        <w:rPr>
          <w:b/>
          <w:bCs/>
        </w:rPr>
        <w:t xml:space="preserve">”</w:t>
      </w:r>
      <w:r>
        <w:rPr>
          <w:b/>
          <w:bCs/>
        </w:rPr>
        <w:t xml:space="preserve">? Let me know what you think.</w:t>
      </w:r>
    </w:p>
    <w:bookmarkStart w:id="81" w:name="X3856333e90bd91383dfc840e5ad71f8d7a91bc0"/>
    <w:p>
      <w:pPr>
        <w:pStyle w:val="Heading2"/>
      </w:pPr>
      <w:r>
        <w:t xml:space="preserve">Case Study: IUCN-CMP</w:t>
      </w:r>
      <w:r>
        <w:t xml:space="preserve"> </w:t>
      </w:r>
      <w:r>
        <w:t xml:space="preserve">“</w:t>
      </w:r>
      <w:r>
        <w:t xml:space="preserve">10.1 Geological Events</w:t>
      </w:r>
      <w:r>
        <w:t xml:space="preserve">”</w:t>
      </w:r>
    </w:p>
    <w:p>
      <w:pPr>
        <w:pStyle w:val="FirstParagraph"/>
      </w:pPr>
      <w:r>
        <w:t xml:space="preserve">Geologic events, specifically landslides, were rated as</w:t>
      </w:r>
      <w:r>
        <w:t xml:space="preserve"> </w:t>
      </w:r>
      <w:r>
        <w:t xml:space="preserve">“</w:t>
      </w:r>
      <w:r>
        <w:t xml:space="preserve">Extreme</w:t>
      </w:r>
      <w:r>
        <w:t xml:space="preserve">”</w:t>
      </w:r>
      <w:r>
        <w:t xml:space="preserve"> </w:t>
      </w:r>
      <w:r>
        <w:t xml:space="preserve">for three DUs of Fraser River Chinook and one DU of Fraser sockeye (Table</w:t>
      </w:r>
      <w:r>
        <w:t xml:space="preserve"> </w:t>
      </w:r>
      <w:r>
        <w:t xml:space="preserve">??</w:t>
      </w:r>
      <w:r>
        <w:t xml:space="preserve">;</w:t>
      </w:r>
      <w:r>
        <w:t xml:space="preserve"> </w:t>
      </w:r>
      <w:r>
        <w:t xml:space="preserve">DFO (2020)</w:t>
      </w:r>
      <w:r>
        <w:t xml:space="preserve">;</w:t>
      </w:r>
      <w:r>
        <w:t xml:space="preserve"> </w:t>
      </w:r>
      <w:r>
        <w:t xml:space="preserve">Doutaz et al. (2023)</w:t>
      </w:r>
      <w:r>
        <w:t xml:space="preserve">). This ranking was largely due to a monumental landslide on the Fraser River near Big Bar, British Columbia in late 2018 that blocked adult salmon upstream migration</w:t>
      </w:r>
      <w:r>
        <w:t xml:space="preserve"> </w:t>
      </w:r>
      <w:r>
        <w:t xml:space="preserve">(DFO 2020; Doutaz et al. 2023)</w:t>
      </w:r>
      <w:r>
        <w:t xml:space="preserve">. The published RPAs for these populations refer to this threat category as</w:t>
      </w:r>
      <w:r>
        <w:t xml:space="preserve"> </w:t>
      </w:r>
      <w:r>
        <w:t xml:space="preserve">“</w:t>
      </w:r>
      <w:r>
        <w:t xml:space="preserve">Avalanches and Landslides</w:t>
      </w:r>
      <w:r>
        <w:t xml:space="preserve">”</w:t>
      </w:r>
      <w:r>
        <w:t xml:space="preserve"> </w:t>
      </w:r>
      <w:r>
        <w:t xml:space="preserve">or</w:t>
      </w:r>
      <w:r>
        <w:t xml:space="preserve"> </w:t>
      </w:r>
      <w:r>
        <w:t xml:space="preserve">“</w:t>
      </w:r>
      <w:r>
        <w:t xml:space="preserve">Geological events (Landslides).</w:t>
      </w:r>
      <w:r>
        <w:t xml:space="preserve">”</w:t>
      </w:r>
      <w:r>
        <w:t xml:space="preserve"> </w:t>
      </w:r>
      <w:r>
        <w:t xml:space="preserve">Dionne (2023)</w:t>
      </w:r>
      <w:r>
        <w:t xml:space="preserve"> </w:t>
      </w:r>
      <w:r>
        <w:t xml:space="preserve">references</w:t>
      </w:r>
      <w:r>
        <w:t xml:space="preserve"> </w:t>
      </w:r>
      <w:r>
        <w:t xml:space="preserve">“</w:t>
      </w:r>
      <w:r>
        <w:t xml:space="preserve">IUCN-CMP threat category 10.2.</w:t>
      </w:r>
      <w:r>
        <w:t xml:space="preserve">”</w:t>
      </w:r>
      <w:r>
        <w:t xml:space="preserve"> </w:t>
      </w:r>
      <w:r>
        <w:t xml:space="preserve">However, the most current</w:t>
      </w:r>
      <w:r>
        <w:t xml:space="preserve"> </w:t>
      </w:r>
      <w:r>
        <w:rPr>
          <w:i/>
          <w:iCs/>
        </w:rPr>
        <w:t xml:space="preserve">IUCN-CMP Direct Threats Classification version 4.0</w:t>
      </w:r>
      <w:r>
        <w:t xml:space="preserve"> </w:t>
      </w:r>
      <w:r>
        <w:t xml:space="preserve">uses a slightly altered structure</w:t>
      </w:r>
      <w:r>
        <w:t xml:space="preserve"> </w:t>
      </w:r>
      <w:r>
        <w:t xml:space="preserve">(Salafsky et al. 2024)</w:t>
      </w:r>
      <w:r>
        <w:t xml:space="preserve"> </w:t>
      </w:r>
      <w:r>
        <w:t xml:space="preserve">where the the Level 2 threat is called</w:t>
      </w:r>
      <w:r>
        <w:t xml:space="preserve"> </w:t>
      </w:r>
      <w:r>
        <w:t xml:space="preserve">“</w:t>
      </w:r>
      <w:r>
        <w:t xml:space="preserve">10.1 Geological Events,</w:t>
      </w:r>
      <w:r>
        <w:t xml:space="preserve">”</w:t>
      </w:r>
      <w:r>
        <w:t xml:space="preserve"> </w:t>
      </w:r>
      <w:r>
        <w:t xml:space="preserve">and avalanches and landslides are listed as examples of these events. We modified the classification of these assessments to fit the newest IUCN-CMP version for consistency.</w:t>
      </w:r>
    </w:p>
    <w:p>
      <w:pPr>
        <w:pStyle w:val="TableCaption"/>
      </w:pPr>
      <w:bookmarkStart w:id="72" w:name="tab:du-extreme-threat-table"/>
      <w:bookmarkEnd w:id="72"/>
      <w:r>
        <w:t xml:space="preserve">Table 6:</w:t>
      </w:r>
      <w:r>
        <w:t xml:space="preserve"> </w:t>
      </w:r>
      <w:r>
        <w:t xml:space="preserve">List of Pacific salmon Designatable Units where an 'Extreme' rating was assigned to the '10.1 Geological Events' IUCN-CMP threat category through the RPA process.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Stream, Spring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Fraser,Stream, Summer</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Stream, Spring</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Takla-Trembleur-EStu population</w:t>
            </w:r>
          </w:p>
        </w:tc>
      </w:tr>
    </w:tbl>
    <w:p>
      <w:pPr>
        <w:pStyle w:val="BodyText"/>
      </w:pPr>
    </w:p>
    <w:p>
      <w:pPr>
        <w:pStyle w:val="BodyText"/>
      </w:pPr>
      <w:r>
        <w:t xml:space="preserve">The Big Bar landslide on the Fraser River in 2018 was a significant event that impacted approximately 80% of the Fraser salmon stocks</w:t>
      </w:r>
      <w:r>
        <w:t xml:space="preserve"> </w:t>
      </w:r>
      <w:r>
        <w:t xml:space="preserve">(Doutaz et al. 2023)</w:t>
      </w:r>
      <w:r>
        <w:t xml:space="preserve">. The blockage created a massive impediment to returning adult salmon, and occurred in a narrow and remote reach of the Fraser River where few options for mitigation were available. Landslides, in general, can occur naturally, but the severity and frequency can also be exacerbated by human activities such as landscape-scale changes and climate change</w:t>
      </w:r>
      <w:r>
        <w:t xml:space="preserve"> </w:t>
      </w:r>
      <w:r>
        <w:t xml:space="preserve">(Doutaz et al. 2023)</w:t>
      </w:r>
      <w:r>
        <w:t xml:space="preserve">. This indirect connection to human activities means that</w:t>
      </w:r>
      <w:r>
        <w:t xml:space="preserve"> </w:t>
      </w:r>
      <w:r>
        <w:t xml:space="preserve">“</w:t>
      </w:r>
      <w:r>
        <w:t xml:space="preserve">10.1 Geological Events</w:t>
      </w:r>
      <w:r>
        <w:t xml:space="preserve">”</w:t>
      </w:r>
      <w:r>
        <w:t xml:space="preserve"> </w:t>
      </w:r>
      <w:r>
        <w:t xml:space="preserve">is not a large category to be matched with regulation. The LAPSE process and tool matched eight pieces of federal and provincial legislation specific to</w:t>
      </w:r>
      <w:r>
        <w:t xml:space="preserve"> </w:t>
      </w:r>
      <w:r>
        <w:t xml:space="preserve">“</w:t>
      </w:r>
      <w:r>
        <w:t xml:space="preserve">10.1 Geological Events</w:t>
      </w:r>
      <w:r>
        <w:t xml:space="preserve">”</w:t>
      </w:r>
      <w:r>
        <w:t xml:space="preserve"> </w:t>
      </w:r>
      <w:r>
        <w:t xml:space="preserve">(Figure</w:t>
      </w:r>
      <w:r>
        <w:t xml:space="preserve"> </w:t>
      </w:r>
      <w:r>
        <w:t xml:space="preserve">6</w:t>
      </w:r>
      <w:r>
        <w:t xml:space="preserve">), largely related to forestry.</w:t>
      </w:r>
    </w:p>
    <w:p>
      <w:pPr>
        <w:pStyle w:val="CaptionedFigure"/>
      </w:pPr>
      <w:r>
        <w:drawing>
          <wp:inline>
            <wp:extent cx="5943600" cy="4457699"/>
            <wp:effectExtent b="0" l="0" r="0" t="0"/>
            <wp:docPr descr="Figure 9: Count of sections by legislation for IUCN threat category ‘10.1 Geological Events’, coloured by jurisdiction." title="" id="74" name="Picture"/>
            <a:graphic>
              <a:graphicData uri="http://schemas.openxmlformats.org/drawingml/2006/picture">
                <pic:pic>
                  <pic:nvPicPr>
                    <pic:cNvPr descr="LAPSE_primary_publication_files/figure-docx/section-count-iucn-geological-1.png" id="75" name="Picture"/>
                    <pic:cNvPicPr>
                      <a:picLocks noChangeArrowheads="1" noChangeAspect="1"/>
                    </pic:cNvPicPr>
                  </pic:nvPicPr>
                  <pic:blipFill>
                    <a:blip r:embed="rId7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6" w:name="fig:section-count-iucn-geological"/>
      <w:bookmarkEnd w:id="76"/>
      <w:r>
        <w:t xml:space="preserve">Figure 9: Count of sections by legislation for IUCN threat category</w:t>
      </w:r>
      <w:r>
        <w:t xml:space="preserve"> </w:t>
      </w:r>
      <w:r>
        <w:t xml:space="preserve">‘</w:t>
      </w:r>
      <w:r>
        <w:t xml:space="preserve">10.1 Geological Events</w:t>
      </w:r>
      <w:r>
        <w:t xml:space="preserve">’</w:t>
      </w:r>
      <w:r>
        <w:t xml:space="preserve">, coloured by jurisdiction.</w:t>
      </w:r>
    </w:p>
    <w:p>
      <w:pPr>
        <w:pStyle w:val="BodyText"/>
      </w:pPr>
      <w:r>
        <w:t xml:space="preserve">Users of the LAPSE process and tool who might be researching geological events such as landslides can get a list of possibly relevant legislation and will see that this legislation is tied to forestry in British Columbia. As well, the user can see that the nature of the clauses are mostly</w:t>
      </w:r>
      <w:r>
        <w:t xml:space="preserve"> </w:t>
      </w:r>
      <w:r>
        <w:t xml:space="preserve">“</w:t>
      </w:r>
      <w:r>
        <w:t xml:space="preserve">Instruction</w:t>
      </w:r>
      <w:r>
        <w:t xml:space="preserve">”</w:t>
      </w:r>
      <w:r>
        <w:t xml:space="preserve"> </w:t>
      </w:r>
      <w:r>
        <w:t xml:space="preserve">and</w:t>
      </w:r>
      <w:r>
        <w:t xml:space="preserve"> </w:t>
      </w:r>
      <w:r>
        <w:t xml:space="preserve">“</w:t>
      </w:r>
      <w:r>
        <w:t xml:space="preserve">Designation</w:t>
      </w:r>
      <w:r>
        <w:t xml:space="preserve">”</w:t>
      </w:r>
      <w:r>
        <w:t xml:space="preserve"> </w:t>
      </w:r>
      <w:r>
        <w:t xml:space="preserve">(Figure</w:t>
      </w:r>
      <w:r>
        <w:t xml:space="preserve"> </w:t>
      </w:r>
      <w:r>
        <w:t xml:space="preserve">10</w:t>
      </w:r>
      <w:r>
        <w:t xml:space="preserve">). The provincial</w:t>
      </w:r>
      <w:r>
        <w:t xml:space="preserve"> </w:t>
      </w:r>
      <w:r>
        <w:rPr>
          <w:i/>
          <w:iCs/>
        </w:rPr>
        <w:t xml:space="preserve">Forest Planning and Practices Regulation</w:t>
      </w:r>
      <w:r>
        <w:t xml:space="preserve"> </w:t>
      </w:r>
      <w:r>
        <w:t xml:space="preserve">under the</w:t>
      </w:r>
      <w:r>
        <w:t xml:space="preserve"> </w:t>
      </w:r>
      <w:r>
        <w:rPr>
          <w:i/>
          <w:iCs/>
        </w:rPr>
        <w:t xml:space="preserve">Forest and Range Practices Act</w:t>
      </w:r>
      <w:r>
        <w:t xml:space="preserve"> </w:t>
      </w:r>
      <w:r>
        <w:t xml:space="preserve">appears as one of the most relevant statutes specific to landslides. Examples of matched sections include Section 3, Damage to the environment, which states</w:t>
      </w:r>
      <w:r>
        <w:t xml:space="preserve"> </w:t>
      </w:r>
      <w:r>
        <w:t xml:space="preserve">“</w:t>
      </w:r>
      <w:r>
        <w:t xml:space="preserve">(1)For the purpose of section 46 (1) and (1.1)</w:t>
      </w:r>
      <w:r>
        <w:t xml:space="preserve"> </w:t>
      </w:r>
      <w:r>
        <w:rPr>
          <w:i/>
          <w:iCs/>
        </w:rPr>
        <w:t xml:space="preserve">[protection of the environment]</w:t>
      </w:r>
      <w:r>
        <w:t xml:space="preserve"> </w:t>
      </w:r>
      <w:r>
        <w:t xml:space="preserve">of the Act,</w:t>
      </w:r>
      <w:r>
        <w:t xml:space="preserve">”</w:t>
      </w:r>
      <w:r>
        <w:t xml:space="preserve">damage” means any of the following that adversely alters an ecosystem: (a)a landslide…” Section 37, Landslides, states,</w:t>
      </w:r>
      <w:r>
        <w:t xml:space="preserve"> </w:t>
      </w:r>
      <w:r>
        <w:t xml:space="preserve">“</w:t>
      </w:r>
      <w:r>
        <w:t xml:space="preserve">An authorized person who carries out a primary forest activity must ensure that the primary forest activity does not cause a landslide that has a material adverse effect in relation to one or more of the subjects listed in section 149 (1) of the Act.</w:t>
      </w:r>
      <w:r>
        <w:t xml:space="preserve">”</w:t>
      </w:r>
    </w:p>
    <w:p>
      <w:pPr>
        <w:pStyle w:val="CaptionedFigure"/>
      </w:pPr>
      <w:r>
        <w:drawing>
          <wp:inline>
            <wp:extent cx="5943600" cy="2701636"/>
            <wp:effectExtent b="0" l="0" r="0" t="0"/>
            <wp:docPr descr="Figure 10: Section counts by clause type and legislation for IUCN-CMP threat category 10.1 Geological Events. Dot size represents section count." title="" id="78" name="Picture"/>
            <a:graphic>
              <a:graphicData uri="http://schemas.openxmlformats.org/drawingml/2006/picture">
                <pic:pic>
                  <pic:nvPicPr>
                    <pic:cNvPr descr="LAPSE_primary_publication_files/figure-docx/fig-clause-type-geological-events-1.png" id="79" name="Picture"/>
                    <pic:cNvPicPr>
                      <a:picLocks noChangeArrowheads="1" noChangeAspect="1"/>
                    </pic:cNvPicPr>
                  </pic:nvPicPr>
                  <pic:blipFill>
                    <a:blip r:embed="rId7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80" w:name="fig:fig-clause-type-geological-events"/>
      <w:bookmarkEnd w:id="80"/>
      <w:r>
        <w:t xml:space="preserve">Figure 10: Section counts by clause type and legislation for IUCN-CMP threat category 10.1 Geological Events. Dot size represents section count.</w:t>
      </w:r>
    </w:p>
    <w:bookmarkEnd w:id="81"/>
    <w:bookmarkStart w:id="92" w:name="X15485f2d7aa370fe8bb44ad6615478afca66336"/>
    <w:p>
      <w:pPr>
        <w:pStyle w:val="Heading2"/>
      </w:pPr>
      <w:r>
        <w:t xml:space="preserve">Case Study: IUCN-CMP</w:t>
      </w:r>
      <w:r>
        <w:t xml:space="preserve"> </w:t>
      </w:r>
      <w:r>
        <w:t xml:space="preserve">“</w:t>
      </w:r>
      <w:r>
        <w:t xml:space="preserve">7.2 Dams &amp; Water Management / Use</w:t>
      </w:r>
      <w:r>
        <w:t xml:space="preserve">”</w:t>
      </w:r>
    </w:p>
    <w:p>
      <w:pPr>
        <w:pStyle w:val="FirstParagraph"/>
      </w:pPr>
      <w:r>
        <w:t xml:space="preserve">One IUCN-CMP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w:t>
      </w:r>
      <w:r>
        <w:t xml:space="preserve">).</w:t>
      </w:r>
    </w:p>
    <w:p>
      <w:pPr>
        <w:numPr>
          <w:ilvl w:val="0"/>
          <w:numId w:val="1005"/>
        </w:numPr>
      </w:pPr>
      <w:r>
        <w:rPr>
          <w:b/>
          <w:bCs/>
        </w:rPr>
        <w:t xml:space="preserve">DG - And 7.3 Other ecosystem modifications</w:t>
      </w:r>
    </w:p>
    <w:p>
      <w:pPr>
        <w:numPr>
          <w:ilvl w:val="0"/>
          <w:numId w:val="1005"/>
        </w:numPr>
      </w:pPr>
      <w:r>
        <w:rPr>
          <w:b/>
          <w:bCs/>
        </w:rPr>
        <w:t xml:space="preserve">DG - Likewise, this DU spawns in the South Thompson River watershed, so there’s an opportunity to make this description a bit more precise if wanted.</w:t>
      </w:r>
    </w:p>
    <w:p>
      <w:pPr>
        <w:pStyle w:val="TableCaption"/>
      </w:pPr>
      <w:bookmarkStart w:id="82" w:name="tab:du-extreme-high-threat-table"/>
      <w:bookmarkEnd w:id="82"/>
      <w:r>
        <w:t xml:space="preserve">Table 7:</w:t>
      </w:r>
      <w:r>
        <w:t xml:space="preserve"> </w:t>
      </w:r>
      <w:r>
        <w:t xml:space="preserve">Designatable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DU Number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Designatable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 Stream, Summer (Bessette)</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06"/>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CaptionedFigure"/>
      </w:pPr>
      <w:r>
        <w:drawing>
          <wp:inline>
            <wp:extent cx="5943600" cy="4457699"/>
            <wp:effectExtent b="0" l="0" r="0" t="0"/>
            <wp:docPr descr="Figure 11: Count of sections by legislation for IUCN threat category ‘7.2 Dams &amp; Water Management / Use’, coloured by jurisdiction. Top 15 legislation shown." title="" id="84" name="Picture"/>
            <a:graphic>
              <a:graphicData uri="http://schemas.openxmlformats.org/drawingml/2006/picture">
                <pic:pic>
                  <pic:nvPicPr>
                    <pic:cNvPr descr="LAPSE_primary_publication_files/figure-docx/section-count-iucn-dams-water-1.png" id="85" name="Picture"/>
                    <pic:cNvPicPr>
                      <a:picLocks noChangeArrowheads="1" noChangeAspect="1"/>
                    </pic:cNvPicPr>
                  </pic:nvPicPr>
                  <pic:blipFill>
                    <a:blip r:embed="rId8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86" w:name="fig:section-count-iucn-dams-water"/>
      <w:bookmarkEnd w:id="86"/>
      <w:r>
        <w:t xml:space="preserve">Figure 11: Count of sections by legislation for IUCN threat category</w:t>
      </w:r>
      <w:r>
        <w:t xml:space="preserve"> </w:t>
      </w:r>
      <w:r>
        <w:t xml:space="preserve">‘</w:t>
      </w:r>
      <w:r>
        <w:t xml:space="preserve">7.2 Dams &amp; Water Management / Use</w:t>
      </w:r>
      <w:r>
        <w:t xml:space="preserve">’</w:t>
      </w:r>
      <w:r>
        <w:t xml:space="preserve">, coloured by jurisdiction. Top 15 legislation shown.</w:t>
      </w:r>
    </w:p>
    <w:p>
      <w:pPr>
        <w:pStyle w:val="BodyText"/>
      </w:pPr>
      <w:r>
        <w:t xml:space="preserve">The clause type matches for Dams and Water Management / Use were much more evenly distributed likely due to the large number of clause matches in total for that IUCN-CMP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2701636"/>
            <wp:effectExtent b="0" l="0" r="0" t="0"/>
            <wp:docPr descr="Figure 12: Section counts by clause type and legislation for IUCN-CMP threat category 7.2 Dams &amp; Water Management / Use. Dot size represents section count. Top 15 legislation shown." title="" id="88" name="Picture"/>
            <a:graphic>
              <a:graphicData uri="http://schemas.openxmlformats.org/drawingml/2006/picture">
                <pic:pic>
                  <pic:nvPicPr>
                    <pic:cNvPr descr="LAPSE_primary_publication_files/figure-docx/fig-clause-type-water-use-1.png" id="89" name="Picture"/>
                    <pic:cNvPicPr>
                      <a:picLocks noChangeArrowheads="1" noChangeAspect="1"/>
                    </pic:cNvPicPr>
                  </pic:nvPicPr>
                  <pic:blipFill>
                    <a:blip r:embed="rId8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bookmarkStart w:id="90" w:name="fig:fig-clause-type-water-use"/>
      <w:bookmarkEnd w:id="90"/>
      <w:r>
        <w:t xml:space="preserve">Figure 12: Section counts by clause type and legislation for IUCN-CMP threat category 7.2 Dams &amp; Water Management / Use. Dot size represents section count. Top 15 legislation shown.</w:t>
      </w:r>
    </w:p>
    <w:p>
      <w:pPr>
        <w:numPr>
          <w:ilvl w:val="0"/>
          <w:numId w:val="1007"/>
        </w:numPr>
      </w:pPr>
      <w:r>
        <w:rPr>
          <w:b/>
          <w:bCs/>
        </w:rPr>
        <w:t xml:space="preserve">add more description of Bessette Creek</w:t>
      </w:r>
    </w:p>
    <w:p>
      <w:pPr>
        <w:numPr>
          <w:ilvl w:val="0"/>
          <w:numId w:val="1007"/>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91">
        <w:r>
          <w:rPr>
            <w:rStyle w:val="Hyperlink"/>
            <w:b/>
            <w:bCs/>
          </w:rPr>
          <w:t xml:space="preserve">Aquatic Report Catalogue</w:t>
        </w:r>
      </w:hyperlink>
    </w:p>
    <w:p>
      <w:pPr>
        <w:numPr>
          <w:ilvl w:val="0"/>
          <w:numId w:val="1007"/>
        </w:numPr>
      </w:pPr>
      <w:r>
        <w:rPr>
          <w:b/>
          <w:bCs/>
        </w:rPr>
        <w:t xml:space="preserve">Comment on the most relevant legislation and why</w:t>
      </w:r>
    </w:p>
    <w:p>
      <w:pPr>
        <w:numPr>
          <w:ilvl w:val="0"/>
          <w:numId w:val="1007"/>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08"/>
        </w:numPr>
      </w:pPr>
      <w:r>
        <w:rPr>
          <w:b/>
          <w:bCs/>
        </w:rPr>
        <w:t xml:space="preserve">The decision maker must consider the environmental flow needs of the stream (as outlined in the EFN Policy).</w:t>
      </w:r>
    </w:p>
    <w:p>
      <w:pPr>
        <w:numPr>
          <w:ilvl w:val="1"/>
          <w:numId w:val="1008"/>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2"/>
    <w:bookmarkEnd w:id="93"/>
    <w:bookmarkStart w:id="94"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IUCN-CMP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4"/>
    <w:bookmarkStart w:id="96"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5"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09"/>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(IUCN-CMP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5"/>
    <w:bookmarkEnd w:id="96"/>
    <w:bookmarkStart w:id="182" w:name="references"/>
    <w:p>
      <w:pPr>
        <w:pStyle w:val="Heading1"/>
      </w:pPr>
      <w:r>
        <w:t xml:space="preserve">References</w:t>
      </w:r>
    </w:p>
    <w:bookmarkStart w:id="181" w:name="refs"/>
    <w:bookmarkStart w:id="97"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7"/>
    <w:bookmarkStart w:id="99"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8">
        <w:r>
          <w:rPr>
            <w:rStyle w:val="Hyperlink"/>
          </w:rPr>
          <w:t xml:space="preserve">10.1101/2024.12.01.626233</w:t>
        </w:r>
      </w:hyperlink>
      <w:r>
        <w:t xml:space="preserve">.</w:t>
      </w:r>
    </w:p>
    <w:bookmarkEnd w:id="99"/>
    <w:bookmarkStart w:id="101"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100">
        <w:r>
          <w:rPr>
            <w:rStyle w:val="Hyperlink"/>
          </w:rPr>
          <w:t xml:space="preserve">10.3390/su6096024</w:t>
        </w:r>
      </w:hyperlink>
      <w:r>
        <w:t xml:space="preserve">.</w:t>
      </w:r>
    </w:p>
    <w:bookmarkEnd w:id="101"/>
    <w:bookmarkStart w:id="102"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2"/>
    <w:bookmarkStart w:id="104"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3">
        <w:r>
          <w:rPr>
            <w:rStyle w:val="Hyperlink"/>
          </w:rPr>
          <w:t xml:space="preserve">10.5751/ES-02784-140145</w:t>
        </w:r>
      </w:hyperlink>
      <w:r>
        <w:t xml:space="preserve">.</w:t>
      </w:r>
    </w:p>
    <w:bookmarkEnd w:id="104"/>
    <w:bookmarkStart w:id="106"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5">
        <w:r>
          <w:rPr>
            <w:rStyle w:val="Hyperlink"/>
          </w:rPr>
          <w:t xml:space="preserve">10.1139/facets-2025-0031</w:t>
        </w:r>
      </w:hyperlink>
      <w:r>
        <w:t xml:space="preserve">.</w:t>
      </w:r>
    </w:p>
    <w:bookmarkEnd w:id="106"/>
    <w:bookmarkStart w:id="108"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7">
        <w:r>
          <w:rPr>
            <w:rStyle w:val="Hyperlink"/>
          </w:rPr>
          <w:t xml:space="preserve">10.3233/EPL-2002-32_5_13</w:t>
        </w:r>
      </w:hyperlink>
      <w:r>
        <w:t xml:space="preserve">.</w:t>
      </w:r>
    </w:p>
    <w:bookmarkEnd w:id="108"/>
    <w:bookmarkStart w:id="110"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9">
        <w:r>
          <w:rPr>
            <w:rStyle w:val="Hyperlink"/>
          </w:rPr>
          <w:t xml:space="preserve">https://www.canlii.org/</w:t>
        </w:r>
      </w:hyperlink>
      <w:r>
        <w:t xml:space="preserve"> </w:t>
      </w:r>
      <w:r>
        <w:t xml:space="preserve">[accessed 18 December 2025].</w:t>
      </w:r>
    </w:p>
    <w:bookmarkEnd w:id="110"/>
    <w:bookmarkStart w:id="112"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11">
        <w:r>
          <w:rPr>
            <w:rStyle w:val="Hyperlink"/>
          </w:rPr>
          <w:t xml:space="preserve">10.1111/1365-2664.14239</w:t>
        </w:r>
      </w:hyperlink>
      <w:r>
        <w:t xml:space="preserve">.</w:t>
      </w:r>
    </w:p>
    <w:bookmarkEnd w:id="112"/>
    <w:bookmarkStart w:id="114"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3">
        <w:r>
          <w:rPr>
            <w:rStyle w:val="Hyperlink"/>
          </w:rPr>
          <w:t xml:space="preserve">https://publications.gc.ca/collections/collection_2012/bcp-pco/CP32-93-2012-3-eng.pdf</w:t>
        </w:r>
      </w:hyperlink>
      <w:r>
        <w:t xml:space="preserve">.</w:t>
      </w:r>
    </w:p>
    <w:bookmarkEnd w:id="114"/>
    <w:bookmarkStart w:id="115"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5"/>
    <w:bookmarkStart w:id="117" w:name="ref-cosewic2023"/>
    <w:p>
      <w:pPr>
        <w:pStyle w:val="Bibliography"/>
      </w:pPr>
      <w:r>
        <w:t xml:space="preserve">COSEWIC. 2023.</w:t>
      </w:r>
      <w:r>
        <w:t xml:space="preserve"> </w:t>
      </w:r>
      <w:r>
        <w:t xml:space="preserve">COSEWIC</w:t>
      </w:r>
      <w:r>
        <w:t xml:space="preserve"> </w:t>
      </w:r>
      <w:r>
        <w:t xml:space="preserve">guidelines for recognizing designatable units. COSEWIC guidelines for recognizing designatable units;</w:t>
      </w:r>
      <w:r>
        <w:t xml:space="preserve"> </w:t>
      </w:r>
      <w:r>
        <w:t xml:space="preserve">Canadian Wildlife Service, Environment and Climate Change Canada</w:t>
      </w:r>
      <w:r>
        <w:t xml:space="preserve">, Gatineau, QC. Available from</w:t>
      </w:r>
      <w:r>
        <w:t xml:space="preserve"> </w:t>
      </w:r>
      <w:hyperlink r:id="rId116">
        <w:r>
          <w:rPr>
            <w:rStyle w:val="Hyperlink"/>
          </w:rPr>
          <w:t xml:space="preserve">https://cosewic.ca/index.php/en/reports/preparing-status-reports/guidelines-recognizing-designatable-units.html</w:t>
        </w:r>
      </w:hyperlink>
      <w:r>
        <w:t xml:space="preserve">.</w:t>
      </w:r>
    </w:p>
    <w:bookmarkEnd w:id="117"/>
    <w:bookmarkStart w:id="119"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8">
        <w:r>
          <w:rPr>
            <w:rStyle w:val="Hyperlink"/>
          </w:rPr>
          <w:t xml:space="preserve">10.1016/j.tree.2014.12.004</w:t>
        </w:r>
      </w:hyperlink>
      <w:r>
        <w:t xml:space="preserve">.</w:t>
      </w:r>
    </w:p>
    <w:bookmarkEnd w:id="119"/>
    <w:bookmarkStart w:id="121"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20">
        <w:r>
          <w:rPr>
            <w:rStyle w:val="Hyperlink"/>
          </w:rPr>
          <w:t xml:space="preserve">10.1139/facets-2023-0204</w:t>
        </w:r>
      </w:hyperlink>
      <w:r>
        <w:t xml:space="preserve">.</w:t>
      </w:r>
    </w:p>
    <w:bookmarkEnd w:id="121"/>
    <w:bookmarkStart w:id="123"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22">
        <w:r>
          <w:rPr>
            <w:rStyle w:val="Hyperlink"/>
          </w:rPr>
          <w:t xml:space="preserve">https://www.justice.gc.ca/eng/rp-pr/csj-sjc/legis-redact/legistics/p3p1.html</w:t>
        </w:r>
      </w:hyperlink>
      <w:r>
        <w:t xml:space="preserve"> </w:t>
      </w:r>
      <w:r>
        <w:t xml:space="preserve">[accessed 18 December 2025].</w:t>
      </w:r>
    </w:p>
    <w:bookmarkEnd w:id="123"/>
    <w:bookmarkStart w:id="125"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4">
        <w:r>
          <w:rPr>
            <w:rStyle w:val="Hyperlink"/>
          </w:rPr>
          <w:t xml:space="preserve">https://laws-lois.justice.gc.ca/PDF/tops/eng/TOPS.pdf</w:t>
        </w:r>
      </w:hyperlink>
      <w:r>
        <w:t xml:space="preserve"> </w:t>
      </w:r>
      <w:r>
        <w:t xml:space="preserve">[accessed 13 January 2026].</w:t>
      </w:r>
    </w:p>
    <w:bookmarkEnd w:id="125"/>
    <w:bookmarkStart w:id="127"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6">
        <w:r>
          <w:rPr>
            <w:rStyle w:val="Hyperlink"/>
          </w:rPr>
          <w:t xml:space="preserve">https://waves-vagues.dfo-mpo.gc.ca/library-bibliotheque/315577.pdf</w:t>
        </w:r>
      </w:hyperlink>
      <w:r>
        <w:t xml:space="preserve">.</w:t>
      </w:r>
    </w:p>
    <w:bookmarkEnd w:id="127"/>
    <w:bookmarkStart w:id="128" w:name="ref-dfo2019"/>
    <w:p>
      <w:pPr>
        <w:pStyle w:val="Bibliography"/>
      </w:pPr>
      <w:r>
        <w:t xml:space="preserve">DFO. 2019. Recovery</w:t>
      </w:r>
      <w:r>
        <w:t xml:space="preserve"> </w:t>
      </w:r>
      <w:r>
        <w:t xml:space="preserve">Potential Assessment</w:t>
      </w:r>
      <w:r>
        <w:t xml:space="preserve"> </w:t>
      </w:r>
      <w:r>
        <w:t xml:space="preserve">–</w:t>
      </w:r>
      <w:r>
        <w:t xml:space="preserve"> </w:t>
      </w:r>
      <w:r>
        <w:t xml:space="preserve">Cultus Lake Sockeye Salmon</w:t>
      </w:r>
      <w:r>
        <w:t xml:space="preserve"> </w:t>
      </w:r>
      <w:r>
        <w:t xml:space="preserve">(</w:t>
      </w:r>
      <w:r>
        <w:t xml:space="preserve">Oncorhynchus</w:t>
      </w:r>
      <w:r>
        <w:t xml:space="preserve"> </w:t>
      </w:r>
      <w:r>
        <w:t xml:space="preserve">nerka). Science Advisory Report</w:t>
      </w:r>
      <w:r>
        <w:t xml:space="preserve"> </w:t>
      </w:r>
      <w:r>
        <w:rPr>
          <w:b/>
          <w:bCs/>
        </w:rPr>
        <w:t xml:space="preserve">2020/011</w:t>
      </w:r>
      <w:r>
        <w:t xml:space="preserve">. Canadian Science Advisory Secretariat.</w:t>
      </w:r>
    </w:p>
    <w:bookmarkEnd w:id="128"/>
    <w:bookmarkStart w:id="130" w:name="ref-dfo2020"/>
    <w:p>
      <w:pPr>
        <w:pStyle w:val="Bibliography"/>
      </w:pPr>
      <w:r>
        <w:t xml:space="preserve">DFO. 2020. Recovery</w:t>
      </w:r>
      <w:r>
        <w:t xml:space="preserve"> </w:t>
      </w:r>
      <w:r>
        <w:t xml:space="preserve">Potentail Assessment</w:t>
      </w:r>
      <w:r>
        <w:t xml:space="preserve"> </w:t>
      </w:r>
      <w:r>
        <w:t xml:space="preserve">for 11</w:t>
      </w:r>
      <w:r>
        <w:t xml:space="preserve"> </w:t>
      </w:r>
      <w:r>
        <w:t xml:space="preserve">Designatable Uits</w:t>
      </w:r>
      <w:r>
        <w:t xml:space="preserve"> </w:t>
      </w:r>
      <w:r>
        <w:t xml:space="preserve">of</w:t>
      </w:r>
      <w:r>
        <w:t xml:space="preserve"> </w:t>
      </w:r>
      <w:r>
        <w:t xml:space="preserve">Fraser River Chinook</w:t>
      </w:r>
      <w:r>
        <w:t xml:space="preserve"> </w:t>
      </w:r>
      <w:r>
        <w:t xml:space="preserve">salmon,</w:t>
      </w:r>
      <w:r>
        <w:t xml:space="preserve"> </w:t>
      </w:r>
      <w:r>
        <w:t xml:space="preserve">Oncorhynchus 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 to 11. DFO Can. Sci. Advis. Sec. Sci. Advis. Rep. Available from</w:t>
      </w:r>
      <w:r>
        <w:t xml:space="preserve"> </w:t>
      </w:r>
      <w:hyperlink r:id="rId129">
        <w:r>
          <w:rPr>
            <w:rStyle w:val="Hyperlink"/>
          </w:rPr>
          <w:t xml:space="preserve">https://publications.gc.ca/collections/collection_2020/mpo-dfo/fs70-6/Fs70-6-2020-023-eng.pdf</w:t>
        </w:r>
      </w:hyperlink>
      <w:r>
        <w:t xml:space="preserve">.</w:t>
      </w:r>
    </w:p>
    <w:bookmarkEnd w:id="130"/>
    <w:bookmarkStart w:id="132"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31">
        <w:r>
          <w:rPr>
            <w:rStyle w:val="Hyperlink"/>
          </w:rPr>
          <w:t xml:space="preserve">https://waves-vagues.dfo-mpo.gc.ca/library-bibliotheque/41031209.pdf</w:t>
        </w:r>
      </w:hyperlink>
      <w:r>
        <w:t xml:space="preserve">.</w:t>
      </w:r>
    </w:p>
    <w:bookmarkEnd w:id="132"/>
    <w:bookmarkStart w:id="134"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33">
        <w:r>
          <w:rPr>
            <w:rStyle w:val="Hyperlink"/>
          </w:rPr>
          <w:t xml:space="preserve">https://www.dfo-mpo.gc.ca/fisheries-peches/ifmp-gmp/salmon-saumon/2024/okanagan-2024-eng.html</w:t>
        </w:r>
      </w:hyperlink>
      <w:r>
        <w:t xml:space="preserve">.</w:t>
      </w:r>
    </w:p>
    <w:bookmarkEnd w:id="134"/>
    <w:bookmarkStart w:id="136"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35">
        <w:r>
          <w:rPr>
            <w:rStyle w:val="Hyperlink"/>
          </w:rPr>
          <w:t xml:space="preserve">https://www.dfo-mpo.gc.ca/reports-rapports/regs/sff-cpd/precautionary-precaution-eng.htm</w:t>
        </w:r>
      </w:hyperlink>
      <w:r>
        <w:t xml:space="preserve">.</w:t>
      </w:r>
    </w:p>
    <w:bookmarkEnd w:id="136"/>
    <w:bookmarkStart w:id="138"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37">
        <w:r>
          <w:rPr>
            <w:rStyle w:val="Hyperlink"/>
          </w:rPr>
          <w:t xml:space="preserve">https://www.pac.dfo-mpo.gc.ca/fm-gp/salmon-saumon/docs/trilat-agreement-accord/declaration-eng.html</w:t>
        </w:r>
      </w:hyperlink>
      <w:r>
        <w:t xml:space="preserve">.</w:t>
      </w:r>
    </w:p>
    <w:bookmarkEnd w:id="138"/>
    <w:bookmarkStart w:id="139"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9"/>
    <w:bookmarkStart w:id="140"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40"/>
    <w:bookmarkStart w:id="141"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41"/>
    <w:bookmarkStart w:id="143"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42">
        <w:r>
          <w:rPr>
            <w:rStyle w:val="Hyperlink"/>
          </w:rPr>
          <w:t xml:space="preserve">https://www.bclaws.gov.bc.ca/civix/document/id/complete/statreg/02069_01</w:t>
        </w:r>
      </w:hyperlink>
      <w:r>
        <w:t xml:space="preserve">.</w:t>
      </w:r>
    </w:p>
    <w:bookmarkEnd w:id="143"/>
    <w:bookmarkStart w:id="145"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44">
        <w:r>
          <w:rPr>
            <w:rStyle w:val="Hyperlink"/>
          </w:rPr>
          <w:t xml:space="preserve">https://waves-vagues.dfo-mpo.gc.ca/library-bibliotheque/40807071.pdf</w:t>
        </w:r>
      </w:hyperlink>
      <w:r>
        <w:t xml:space="preserve">.</w:t>
      </w:r>
    </w:p>
    <w:bookmarkEnd w:id="145"/>
    <w:bookmarkStart w:id="147"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46">
        <w:r>
          <w:rPr>
            <w:rStyle w:val="Hyperlink"/>
          </w:rPr>
          <w:t xml:space="preserve">10.1139/facets-2020-0084</w:t>
        </w:r>
      </w:hyperlink>
      <w:r>
        <w:t xml:space="preserve">.</w:t>
      </w:r>
    </w:p>
    <w:bookmarkEnd w:id="147"/>
    <w:bookmarkStart w:id="148" w:name="ref-mahony2019"/>
    <w:p>
      <w:pPr>
        <w:pStyle w:val="Bibliography"/>
      </w:pPr>
      <w:r>
        <w:t xml:space="preserve">Mahony, A., Challenger, W., Robichaud, D., Wright, H., Bussanich, R., Sharma, R., and Enns, J. 2019. Recovery</w:t>
      </w:r>
      <w:r>
        <w:t xml:space="preserve"> </w:t>
      </w:r>
      <w:r>
        <w:t xml:space="preserve">Potential Assessment</w:t>
      </w:r>
      <w:r>
        <w:t xml:space="preserve"> </w:t>
      </w:r>
      <w:r>
        <w:t xml:space="preserve">for the</w:t>
      </w:r>
      <w:r>
        <w:t xml:space="preserve"> </w:t>
      </w:r>
      <w:r>
        <w:t xml:space="preserve">Okanagan Chinook Salmon</w:t>
      </w:r>
      <w:r>
        <w:t xml:space="preserve"> </w:t>
      </w:r>
      <w:r>
        <w:t xml:space="preserve">(</w:t>
      </w:r>
      <w:r>
        <w:t xml:space="preserve">Oncorhynchus</w:t>
      </w:r>
      <w:r>
        <w:t xml:space="preserve"> </w:t>
      </w:r>
      <w:r>
        <w:t xml:space="preserve">tshawytscha) (2019).</w:t>
      </w:r>
    </w:p>
    <w:bookmarkEnd w:id="148"/>
    <w:bookmarkStart w:id="149"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9"/>
    <w:bookmarkStart w:id="151"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50">
        <w:r>
          <w:rPr>
            <w:rStyle w:val="Hyperlink"/>
          </w:rPr>
          <w:t xml:space="preserve">10.1016/j.biocon.2013.07.006</w:t>
        </w:r>
      </w:hyperlink>
      <w:r>
        <w:t xml:space="preserve">.</w:t>
      </w:r>
    </w:p>
    <w:bookmarkEnd w:id="151"/>
    <w:bookmarkStart w:id="153"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52">
        <w:r>
          <w:rPr>
            <w:rStyle w:val="Hyperlink"/>
          </w:rPr>
          <w:t xml:space="preserve">https://publications.gc.ca/collections/collection_2021/parl/xc51-1/XC51-1-1-432-5-eng.pdf</w:t>
        </w:r>
      </w:hyperlink>
      <w:r>
        <w:t xml:space="preserve">.</w:t>
      </w:r>
    </w:p>
    <w:bookmarkEnd w:id="153"/>
    <w:bookmarkStart w:id="155"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54">
        <w:r>
          <w:rPr>
            <w:rStyle w:val="Hyperlink"/>
          </w:rPr>
          <w:t xml:space="preserve">https://laws-lois.justice.gc.ca/PDF/F-14.pdf</w:t>
        </w:r>
      </w:hyperlink>
      <w:r>
        <w:t xml:space="preserve">.</w:t>
      </w:r>
    </w:p>
    <w:bookmarkEnd w:id="155"/>
    <w:bookmarkStart w:id="157"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56">
        <w:r>
          <w:rPr>
            <w:rStyle w:val="Hyperlink"/>
          </w:rPr>
          <w:t xml:space="preserve">10.1111/faf.70027</w:t>
        </w:r>
      </w:hyperlink>
      <w:r>
        <w:t xml:space="preserve">.</w:t>
      </w:r>
    </w:p>
    <w:bookmarkEnd w:id="157"/>
    <w:bookmarkStart w:id="159"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8">
        <w:r>
          <w:rPr>
            <w:rStyle w:val="Hyperlink"/>
          </w:rPr>
          <w:t xml:space="preserve">10.1139/cjfas-2017-0127</w:t>
        </w:r>
      </w:hyperlink>
      <w:r>
        <w:t xml:space="preserve">.</w:t>
      </w:r>
    </w:p>
    <w:bookmarkEnd w:id="159"/>
    <w:bookmarkStart w:id="161"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60">
        <w:r>
          <w:rPr>
            <w:rStyle w:val="Hyperlink"/>
          </w:rPr>
          <w:t xml:space="preserve">https://www.bclaws.gov.bc.ca/civix/content/amr/amr/2067365574/?xsl=/templates/browse.xsl</w:t>
        </w:r>
      </w:hyperlink>
      <w:r>
        <w:t xml:space="preserve">.</w:t>
      </w:r>
    </w:p>
    <w:bookmarkEnd w:id="161"/>
    <w:bookmarkStart w:id="163" w:name="ref-ramshaw2019"/>
    <w:p>
      <w:pPr>
        <w:pStyle w:val="Bibliography"/>
      </w:pPr>
      <w:r>
        <w:t xml:space="preserve">Ramshaw, B., Luedke, W., and Korman, J. 2019. Recovery</w:t>
      </w:r>
      <w:r>
        <w:t xml:space="preserve"> </w:t>
      </w:r>
      <w:r>
        <w:t xml:space="preserve">Potential Assessment</w:t>
      </w:r>
      <w:r>
        <w:t xml:space="preserve"> </w:t>
      </w:r>
      <w:r>
        <w:t xml:space="preserve">for the</w:t>
      </w:r>
      <w:r>
        <w:t xml:space="preserve"> </w:t>
      </w:r>
      <w:r>
        <w:t xml:space="preserve">Sakinaw Lake Sockeye Salmon</w:t>
      </w:r>
      <w:r>
        <w:t xml:space="preserve"> </w:t>
      </w:r>
      <w:r>
        <w:t xml:space="preserve">(</w:t>
      </w:r>
      <w:r>
        <w:t xml:space="preserve">Oncorhynchus</w:t>
      </w:r>
      <w:r>
        <w:t xml:space="preserve"> </w:t>
      </w:r>
      <w:r>
        <w:t xml:space="preserve">nerka) (2017).</w:t>
      </w:r>
      <w:r>
        <w:t xml:space="preserve"> </w:t>
      </w:r>
      <w:r>
        <w:rPr>
          <w:i/>
          <w:iCs/>
        </w:rPr>
        <w:t xml:space="preserve">In</w:t>
      </w:r>
      <w:r>
        <w:t xml:space="preserve"> </w:t>
      </w:r>
      <w:r>
        <w:t xml:space="preserve">ix. DFO Can. Sci. Advis. Sec. Res. Doc. Available from</w:t>
      </w:r>
      <w:r>
        <w:t xml:space="preserve"> </w:t>
      </w:r>
      <w:hyperlink r:id="rId162">
        <w:r>
          <w:rPr>
            <w:rStyle w:val="Hyperlink"/>
          </w:rPr>
          <w:t xml:space="preserve">https://publications.gc.ca/collections/collection_2018/mpo-dfo/fs70-6/Fs70-6-2018-042-eng.pdf</w:t>
        </w:r>
      </w:hyperlink>
      <w:r>
        <w:t xml:space="preserve">.</w:t>
      </w:r>
    </w:p>
    <w:bookmarkEnd w:id="163"/>
    <w:bookmarkStart w:id="165"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64">
        <w:r>
          <w:rPr>
            <w:rStyle w:val="Hyperlink"/>
          </w:rPr>
          <w:t xml:space="preserve">10.1139/facets-2020-0075</w:t>
        </w:r>
      </w:hyperlink>
      <w:r>
        <w:t xml:space="preserve">.</w:t>
      </w:r>
    </w:p>
    <w:bookmarkEnd w:id="165"/>
    <w:bookmarkStart w:id="167"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66">
        <w:r>
          <w:rPr>
            <w:rStyle w:val="Hyperlink"/>
          </w:rPr>
          <w:t xml:space="preserve">10.1111/cobi.14434</w:t>
        </w:r>
      </w:hyperlink>
      <w:r>
        <w:t xml:space="preserve">.</w:t>
      </w:r>
    </w:p>
    <w:bookmarkEnd w:id="167"/>
    <w:bookmarkStart w:id="169"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68">
        <w:r>
          <w:rPr>
            <w:rStyle w:val="Hyperlink"/>
          </w:rPr>
          <w:t xml:space="preserve">10.1111/j.1523-1739.2008.00937.x</w:t>
        </w:r>
      </w:hyperlink>
      <w:r>
        <w:t xml:space="preserve">.</w:t>
      </w:r>
    </w:p>
    <w:bookmarkEnd w:id="169"/>
    <w:bookmarkStart w:id="171"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70">
        <w:r>
          <w:rPr>
            <w:rStyle w:val="Hyperlink"/>
          </w:rPr>
          <w:t xml:space="preserve">10.1139/facets-2022-0095</w:t>
        </w:r>
      </w:hyperlink>
      <w:r>
        <w:t xml:space="preserve">.</w:t>
      </w:r>
    </w:p>
    <w:bookmarkEnd w:id="171"/>
    <w:bookmarkStart w:id="172"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72"/>
    <w:bookmarkStart w:id="174"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73">
        <w:r>
          <w:rPr>
            <w:rStyle w:val="Hyperlink"/>
          </w:rPr>
          <w:t xml:space="preserve">10.1139/facets-2020-0064</w:t>
        </w:r>
      </w:hyperlink>
      <w:r>
        <w:t xml:space="preserve">.</w:t>
      </w:r>
    </w:p>
    <w:bookmarkEnd w:id="174"/>
    <w:bookmarkStart w:id="176"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75">
        <w:r>
          <w:rPr>
            <w:rStyle w:val="Hyperlink"/>
          </w:rPr>
          <w:t xml:space="preserve">10.1139/facets-2024-0348</w:t>
        </w:r>
      </w:hyperlink>
      <w:r>
        <w:t xml:space="preserve">.</w:t>
      </w:r>
    </w:p>
    <w:bookmarkEnd w:id="176"/>
    <w:bookmarkStart w:id="178" w:name="ref-wickham2025"/>
    <w:p>
      <w:pPr>
        <w:pStyle w:val="Bibliography"/>
      </w:pPr>
      <w:r>
        <w:t xml:space="preserve">Wickham, H. 2025. Rvest:</w:t>
      </w:r>
      <w:r>
        <w:t xml:space="preserve"> </w:t>
      </w:r>
      <w:r>
        <w:t xml:space="preserve">Easily Harvest</w:t>
      </w:r>
      <w:r>
        <w:t xml:space="preserve"> </w:t>
      </w:r>
      <w:r>
        <w:t xml:space="preserve">(</w:t>
      </w:r>
      <w:r>
        <w:t xml:space="preserve">Scrape</w:t>
      </w:r>
      <w:r>
        <w:t xml:space="preserve">)</w:t>
      </w:r>
      <w:r>
        <w:t xml:space="preserve"> </w:t>
      </w:r>
      <w:r>
        <w:t xml:space="preserve">Web Pages</w:t>
      </w:r>
      <w:r>
        <w:t xml:space="preserve">. doi:</w:t>
      </w:r>
      <w:hyperlink r:id="rId177">
        <w:r>
          <w:rPr>
            <w:rStyle w:val="Hyperlink"/>
          </w:rPr>
          <w:t xml:space="preserve">10.32614/CRAN.package.rvest</w:t>
        </w:r>
      </w:hyperlink>
      <w:r>
        <w:t xml:space="preserve">.</w:t>
      </w:r>
    </w:p>
    <w:bookmarkEnd w:id="178"/>
    <w:bookmarkStart w:id="180" w:name="ref-wijffels2025"/>
    <w:p>
      <w:pPr>
        <w:pStyle w:val="Bibliography"/>
      </w:pPr>
      <w:r>
        <w:t xml:space="preserve">Wijffels, J. 2025. Udpipe:</w:t>
      </w:r>
      <w:r>
        <w:t xml:space="preserve"> </w:t>
      </w:r>
      <w:r>
        <w:t xml:space="preserve">Tokenization</w:t>
      </w:r>
      <w:r>
        <w:t xml:space="preserve">,</w:t>
      </w:r>
      <w:r>
        <w:t xml:space="preserve"> </w:t>
      </w:r>
      <w:r>
        <w:t xml:space="preserve">Parts</w:t>
      </w:r>
      <w:r>
        <w:t xml:space="preserve"> </w:t>
      </w:r>
      <w:r>
        <w:t xml:space="preserve">of</w:t>
      </w:r>
      <w:r>
        <w:t xml:space="preserve"> </w:t>
      </w:r>
      <w:r>
        <w:t xml:space="preserve">Speech Tagging</w:t>
      </w:r>
      <w:r>
        <w:t xml:space="preserve">,</w:t>
      </w:r>
      <w:r>
        <w:t xml:space="preserve"> </w:t>
      </w:r>
      <w:r>
        <w:t xml:space="preserve">Lemmatization</w:t>
      </w:r>
      <w:r>
        <w:t xml:space="preserve"> </w:t>
      </w:r>
      <w:r>
        <w:t xml:space="preserve">and</w:t>
      </w:r>
      <w:r>
        <w:t xml:space="preserve"> </w:t>
      </w:r>
      <w:r>
        <w:t xml:space="preserve">Dependency Parsing</w:t>
      </w:r>
      <w:r>
        <w:t xml:space="preserve"> </w:t>
      </w:r>
      <w:r>
        <w:t xml:space="preserve">with the ’</w:t>
      </w:r>
      <w:r>
        <w:t xml:space="preserve">UDPipe</w:t>
      </w:r>
      <w:r>
        <w:t xml:space="preserve">’ ’</w:t>
      </w:r>
      <w:r>
        <w:t xml:space="preserve">NLP</w:t>
      </w:r>
      <w:r>
        <w:t xml:space="preserve">’</w:t>
      </w:r>
      <w:r>
        <w:t xml:space="preserve"> </w:t>
      </w:r>
      <w:r>
        <w:t xml:space="preserve">Toolkit</w:t>
      </w:r>
      <w:r>
        <w:t xml:space="preserve">. doi:</w:t>
      </w:r>
      <w:hyperlink r:id="rId179">
        <w:r>
          <w:rPr>
            <w:rStyle w:val="Hyperlink"/>
          </w:rPr>
          <w:t xml:space="preserve">10.32614/CRAN.package.udpipe</w:t>
        </w:r>
      </w:hyperlink>
      <w:r>
        <w:t xml:space="preserve">.</w:t>
      </w:r>
    </w:p>
    <w:bookmarkEnd w:id="180"/>
    <w:bookmarkEnd w:id="181"/>
    <w:bookmarkEnd w:id="182"/>
    <w:bookmarkStart w:id="183" w:name="supplementary-material"/>
    <w:p>
      <w:pPr>
        <w:pStyle w:val="Heading1"/>
      </w:pPr>
      <w:r>
        <w:t xml:space="preserve">Supplementary material</w:t>
      </w:r>
    </w:p>
    <w:p>
      <w:pPr>
        <w:pStyle w:val="Compact"/>
        <w:numPr>
          <w:ilvl w:val="0"/>
          <w:numId w:val="1010"/>
        </w:numPr>
      </w:pPr>
      <w:r>
        <w:rPr>
          <w:b/>
          <w:bCs/>
        </w:rPr>
        <w:t xml:space="preserve">Links or downloads for the LAPSE tool materials (app etc.)</w:t>
      </w:r>
    </w:p>
    <w:bookmarkEnd w:id="18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87" Target="media/rId8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59" Target="media/rId59.png" /><Relationship Type="http://schemas.openxmlformats.org/officeDocument/2006/relationships/hyperlink" Id="rId91" Target="https://a100.gov.bc.ca/pub/acat/public/viewReport.do?reportId=59109" TargetMode="External" /><Relationship Type="http://schemas.openxmlformats.org/officeDocument/2006/relationships/hyperlink" Id="rId116" Target="https://cosewic.ca/index.php/en/reports/preparing-status-reports/guidelines-recognizing-designatable-units.html" TargetMode="External" /><Relationship Type="http://schemas.openxmlformats.org/officeDocument/2006/relationships/hyperlink" Id="rId150" Target="https://doi.org/10.1016/j.biocon.2013.07.006" TargetMode="External" /><Relationship Type="http://schemas.openxmlformats.org/officeDocument/2006/relationships/hyperlink" Id="rId118" Target="https://doi.org/10.1016/j.tree.2014.12.004" TargetMode="External" /><Relationship Type="http://schemas.openxmlformats.org/officeDocument/2006/relationships/hyperlink" Id="rId98" Target="https://doi.org/10.1101/2024.12.01.626233" TargetMode="External" /><Relationship Type="http://schemas.openxmlformats.org/officeDocument/2006/relationships/hyperlink" Id="rId111" Target="https://doi.org/10.1111/1365-2664.14239" TargetMode="External" /><Relationship Type="http://schemas.openxmlformats.org/officeDocument/2006/relationships/hyperlink" Id="rId166" Target="https://doi.org/10.1111/cobi.14434" TargetMode="External" /><Relationship Type="http://schemas.openxmlformats.org/officeDocument/2006/relationships/hyperlink" Id="rId156" Target="https://doi.org/10.1111/faf.70027" TargetMode="External" /><Relationship Type="http://schemas.openxmlformats.org/officeDocument/2006/relationships/hyperlink" Id="rId168" Target="https://doi.org/10.1111/j.1523-1739.2008.00937.x" TargetMode="External" /><Relationship Type="http://schemas.openxmlformats.org/officeDocument/2006/relationships/hyperlink" Id="rId158" Target="https://doi.org/10.1139/cjfas-2017-0127" TargetMode="External" /><Relationship Type="http://schemas.openxmlformats.org/officeDocument/2006/relationships/hyperlink" Id="rId173" Target="https://doi.org/10.1139/facets-2020-0064" TargetMode="External" /><Relationship Type="http://schemas.openxmlformats.org/officeDocument/2006/relationships/hyperlink" Id="rId164" Target="https://doi.org/10.1139/facets-2020-0075" TargetMode="External" /><Relationship Type="http://schemas.openxmlformats.org/officeDocument/2006/relationships/hyperlink" Id="rId146" Target="https://doi.org/10.1139/facets-2020-0084" TargetMode="External" /><Relationship Type="http://schemas.openxmlformats.org/officeDocument/2006/relationships/hyperlink" Id="rId170" Target="https://doi.org/10.1139/facets-2022-0095" TargetMode="External" /><Relationship Type="http://schemas.openxmlformats.org/officeDocument/2006/relationships/hyperlink" Id="rId120" Target="https://doi.org/10.1139/facets-2023-0204" TargetMode="External" /><Relationship Type="http://schemas.openxmlformats.org/officeDocument/2006/relationships/hyperlink" Id="rId175" Target="https://doi.org/10.1139/facets-2024-0348" TargetMode="External" /><Relationship Type="http://schemas.openxmlformats.org/officeDocument/2006/relationships/hyperlink" Id="rId105" Target="https://doi.org/10.1139/facets-2025-0031" TargetMode="External" /><Relationship Type="http://schemas.openxmlformats.org/officeDocument/2006/relationships/hyperlink" Id="rId107" Target="https://doi.org/10.3233/EPL-2002-32_5_13" TargetMode="External" /><Relationship Type="http://schemas.openxmlformats.org/officeDocument/2006/relationships/hyperlink" Id="rId177" Target="https://doi.org/10.32614/CRAN.package.rvest" TargetMode="External" /><Relationship Type="http://schemas.openxmlformats.org/officeDocument/2006/relationships/hyperlink" Id="rId179" Target="https://doi.org/10.32614/CRAN.package.udpipe" TargetMode="External" /><Relationship Type="http://schemas.openxmlformats.org/officeDocument/2006/relationships/hyperlink" Id="rId100" Target="https://doi.org/10.3390/su6096024" TargetMode="External" /><Relationship Type="http://schemas.openxmlformats.org/officeDocument/2006/relationships/hyperlink" Id="rId103" Target="https://doi.org/10.5751/ES-02784-140145" TargetMode="External" /><Relationship Type="http://schemas.openxmlformats.org/officeDocument/2006/relationships/hyperlink" Id="rId154" Target="https://laws-lois.justice.gc.ca/PDF/F-14.pdf" TargetMode="External" /><Relationship Type="http://schemas.openxmlformats.org/officeDocument/2006/relationships/hyperlink" Id="rId124" Target="https://laws-lois.justice.gc.ca/PDF/tops/eng/TOPS.pdf" TargetMode="External" /><Relationship Type="http://schemas.openxmlformats.org/officeDocument/2006/relationships/hyperlink" Id="rId113" Target="https://publications.gc.ca/collections/collection_2012/bcp-pco/CP32-93-2012-3-eng.pdf" TargetMode="External" /><Relationship Type="http://schemas.openxmlformats.org/officeDocument/2006/relationships/hyperlink" Id="rId162" Target="https://publications.gc.ca/collections/collection_2018/mpo-dfo/fs70-6/Fs70-6-2018-042-eng.pdf" TargetMode="External" /><Relationship Type="http://schemas.openxmlformats.org/officeDocument/2006/relationships/hyperlink" Id="rId129" Target="https://publications.gc.ca/collections/collection_2020/mpo-dfo/fs70-6/Fs70-6-2020-023-eng.pdf" TargetMode="External" /><Relationship Type="http://schemas.openxmlformats.org/officeDocument/2006/relationships/hyperlink" Id="rId152" Target="https://publications.gc.ca/collections/collection_2021/parl/xc51-1/XC51-1-1-432-5-eng.pdf" TargetMode="External" /><Relationship Type="http://schemas.openxmlformats.org/officeDocument/2006/relationships/hyperlink" Id="rId126" Target="https://waves-vagues.dfo-mpo.gc.ca/library-bibliotheque/315577.pdf" TargetMode="External" /><Relationship Type="http://schemas.openxmlformats.org/officeDocument/2006/relationships/hyperlink" Id="rId144" Target="https://waves-vagues.dfo-mpo.gc.ca/library-bibliotheque/40807071.pdf" TargetMode="External" /><Relationship Type="http://schemas.openxmlformats.org/officeDocument/2006/relationships/hyperlink" Id="rId131" Target="https://waves-vagues.dfo-mpo.gc.ca/library-bibliotheque/41031209.pdf" TargetMode="External" /><Relationship Type="http://schemas.openxmlformats.org/officeDocument/2006/relationships/hyperlink" Id="rId160" Target="https://www.bclaws.gov.bc.ca/civix/content/amr/amr/2067365574/?xsl=/templates/browse.xsl" TargetMode="External" /><Relationship Type="http://schemas.openxmlformats.org/officeDocument/2006/relationships/hyperlink" Id="rId142" Target="https://www.bclaws.gov.bc.ca/civix/document/id/complete/statreg/02069_01" TargetMode="External" /><Relationship Type="http://schemas.openxmlformats.org/officeDocument/2006/relationships/hyperlink" Id="rId109" Target="https://www.canlii.org/" TargetMode="External" /><Relationship Type="http://schemas.openxmlformats.org/officeDocument/2006/relationships/hyperlink" Id="rId133" Target="https://www.dfo-mpo.gc.ca/fisheries-peches/ifmp-gmp/salmon-saumon/2024/okanagan-2024-eng.html" TargetMode="External" /><Relationship Type="http://schemas.openxmlformats.org/officeDocument/2006/relationships/hyperlink" Id="rId135" Target="https://www.dfo-mpo.gc.ca/reports-rapports/regs/sff-cpd/precautionary-precaution-eng.htm" TargetMode="External" /><Relationship Type="http://schemas.openxmlformats.org/officeDocument/2006/relationships/hyperlink" Id="rId122" Target="https://www.justice.gc.ca/eng/rp-pr/csj-sjc/legis-redact/legistics/p3p1.html" TargetMode="External" /><Relationship Type="http://schemas.openxmlformats.org/officeDocument/2006/relationships/hyperlink" Id="rId137"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91" Target="https://a100.gov.bc.ca/pub/acat/public/viewReport.do?reportId=59109" TargetMode="External" /><Relationship Type="http://schemas.openxmlformats.org/officeDocument/2006/relationships/hyperlink" Id="rId116" Target="https://cosewic.ca/index.php/en/reports/preparing-status-reports/guidelines-recognizing-designatable-units.html" TargetMode="External" /><Relationship Type="http://schemas.openxmlformats.org/officeDocument/2006/relationships/hyperlink" Id="rId150" Target="https://doi.org/10.1016/j.biocon.2013.07.006" TargetMode="External" /><Relationship Type="http://schemas.openxmlformats.org/officeDocument/2006/relationships/hyperlink" Id="rId118" Target="https://doi.org/10.1016/j.tree.2014.12.004" TargetMode="External" /><Relationship Type="http://schemas.openxmlformats.org/officeDocument/2006/relationships/hyperlink" Id="rId98" Target="https://doi.org/10.1101/2024.12.01.626233" TargetMode="External" /><Relationship Type="http://schemas.openxmlformats.org/officeDocument/2006/relationships/hyperlink" Id="rId111" Target="https://doi.org/10.1111/1365-2664.14239" TargetMode="External" /><Relationship Type="http://schemas.openxmlformats.org/officeDocument/2006/relationships/hyperlink" Id="rId166" Target="https://doi.org/10.1111/cobi.14434" TargetMode="External" /><Relationship Type="http://schemas.openxmlformats.org/officeDocument/2006/relationships/hyperlink" Id="rId156" Target="https://doi.org/10.1111/faf.70027" TargetMode="External" /><Relationship Type="http://schemas.openxmlformats.org/officeDocument/2006/relationships/hyperlink" Id="rId168" Target="https://doi.org/10.1111/j.1523-1739.2008.00937.x" TargetMode="External" /><Relationship Type="http://schemas.openxmlformats.org/officeDocument/2006/relationships/hyperlink" Id="rId158" Target="https://doi.org/10.1139/cjfas-2017-0127" TargetMode="External" /><Relationship Type="http://schemas.openxmlformats.org/officeDocument/2006/relationships/hyperlink" Id="rId173" Target="https://doi.org/10.1139/facets-2020-0064" TargetMode="External" /><Relationship Type="http://schemas.openxmlformats.org/officeDocument/2006/relationships/hyperlink" Id="rId164" Target="https://doi.org/10.1139/facets-2020-0075" TargetMode="External" /><Relationship Type="http://schemas.openxmlformats.org/officeDocument/2006/relationships/hyperlink" Id="rId146" Target="https://doi.org/10.1139/facets-2020-0084" TargetMode="External" /><Relationship Type="http://schemas.openxmlformats.org/officeDocument/2006/relationships/hyperlink" Id="rId170" Target="https://doi.org/10.1139/facets-2022-0095" TargetMode="External" /><Relationship Type="http://schemas.openxmlformats.org/officeDocument/2006/relationships/hyperlink" Id="rId120" Target="https://doi.org/10.1139/facets-2023-0204" TargetMode="External" /><Relationship Type="http://schemas.openxmlformats.org/officeDocument/2006/relationships/hyperlink" Id="rId175" Target="https://doi.org/10.1139/facets-2024-0348" TargetMode="External" /><Relationship Type="http://schemas.openxmlformats.org/officeDocument/2006/relationships/hyperlink" Id="rId105" Target="https://doi.org/10.1139/facets-2025-0031" TargetMode="External" /><Relationship Type="http://schemas.openxmlformats.org/officeDocument/2006/relationships/hyperlink" Id="rId107" Target="https://doi.org/10.3233/EPL-2002-32_5_13" TargetMode="External" /><Relationship Type="http://schemas.openxmlformats.org/officeDocument/2006/relationships/hyperlink" Id="rId177" Target="https://doi.org/10.32614/CRAN.package.rvest" TargetMode="External" /><Relationship Type="http://schemas.openxmlformats.org/officeDocument/2006/relationships/hyperlink" Id="rId179" Target="https://doi.org/10.32614/CRAN.package.udpipe" TargetMode="External" /><Relationship Type="http://schemas.openxmlformats.org/officeDocument/2006/relationships/hyperlink" Id="rId100" Target="https://doi.org/10.3390/su6096024" TargetMode="External" /><Relationship Type="http://schemas.openxmlformats.org/officeDocument/2006/relationships/hyperlink" Id="rId103" Target="https://doi.org/10.5751/ES-02784-140145" TargetMode="External" /><Relationship Type="http://schemas.openxmlformats.org/officeDocument/2006/relationships/hyperlink" Id="rId154" Target="https://laws-lois.justice.gc.ca/PDF/F-14.pdf" TargetMode="External" /><Relationship Type="http://schemas.openxmlformats.org/officeDocument/2006/relationships/hyperlink" Id="rId124" Target="https://laws-lois.justice.gc.ca/PDF/tops/eng/TOPS.pdf" TargetMode="External" /><Relationship Type="http://schemas.openxmlformats.org/officeDocument/2006/relationships/hyperlink" Id="rId113" Target="https://publications.gc.ca/collections/collection_2012/bcp-pco/CP32-93-2012-3-eng.pdf" TargetMode="External" /><Relationship Type="http://schemas.openxmlformats.org/officeDocument/2006/relationships/hyperlink" Id="rId162" Target="https://publications.gc.ca/collections/collection_2018/mpo-dfo/fs70-6/Fs70-6-2018-042-eng.pdf" TargetMode="External" /><Relationship Type="http://schemas.openxmlformats.org/officeDocument/2006/relationships/hyperlink" Id="rId129" Target="https://publications.gc.ca/collections/collection_2020/mpo-dfo/fs70-6/Fs70-6-2020-023-eng.pdf" TargetMode="External" /><Relationship Type="http://schemas.openxmlformats.org/officeDocument/2006/relationships/hyperlink" Id="rId152" Target="https://publications.gc.ca/collections/collection_2021/parl/xc51-1/XC51-1-1-432-5-eng.pdf" TargetMode="External" /><Relationship Type="http://schemas.openxmlformats.org/officeDocument/2006/relationships/hyperlink" Id="rId126" Target="https://waves-vagues.dfo-mpo.gc.ca/library-bibliotheque/315577.pdf" TargetMode="External" /><Relationship Type="http://schemas.openxmlformats.org/officeDocument/2006/relationships/hyperlink" Id="rId144" Target="https://waves-vagues.dfo-mpo.gc.ca/library-bibliotheque/40807071.pdf" TargetMode="External" /><Relationship Type="http://schemas.openxmlformats.org/officeDocument/2006/relationships/hyperlink" Id="rId131" Target="https://waves-vagues.dfo-mpo.gc.ca/library-bibliotheque/41031209.pdf" TargetMode="External" /><Relationship Type="http://schemas.openxmlformats.org/officeDocument/2006/relationships/hyperlink" Id="rId160" Target="https://www.bclaws.gov.bc.ca/civix/content/amr/amr/2067365574/?xsl=/templates/browse.xsl" TargetMode="External" /><Relationship Type="http://schemas.openxmlformats.org/officeDocument/2006/relationships/hyperlink" Id="rId142" Target="https://www.bclaws.gov.bc.ca/civix/document/id/complete/statreg/02069_01" TargetMode="External" /><Relationship Type="http://schemas.openxmlformats.org/officeDocument/2006/relationships/hyperlink" Id="rId109" Target="https://www.canlii.org/" TargetMode="External" /><Relationship Type="http://schemas.openxmlformats.org/officeDocument/2006/relationships/hyperlink" Id="rId133" Target="https://www.dfo-mpo.gc.ca/fisheries-peches/ifmp-gmp/salmon-saumon/2024/okanagan-2024-eng.html" TargetMode="External" /><Relationship Type="http://schemas.openxmlformats.org/officeDocument/2006/relationships/hyperlink" Id="rId135" Target="https://www.dfo-mpo.gc.ca/reports-rapports/regs/sff-cpd/precautionary-precaution-eng.htm" TargetMode="External" /><Relationship Type="http://schemas.openxmlformats.org/officeDocument/2006/relationships/hyperlink" Id="rId122" Target="https://www.justice.gc.ca/eng/rp-pr/csj-sjc/legis-redact/legistics/p3p1.html" TargetMode="External" /><Relationship Type="http://schemas.openxmlformats.org/officeDocument/2006/relationships/hyperlink" Id="rId137"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2026-01-29T22:44:42Z</dcterms:created>
  <dcterms:modified xsi:type="dcterms:W3CDTF">2026-01-29T22:44:42Z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2026-01-29</vt:lpwstr>
  </property>
  <property fmtid="{D5CDD505-2E9C-101B-9397-08002B2CF9AE}" pid="5" name="language">
    <vt:lpwstr/>
  </property>
  <property fmtid="{D5CDD505-2E9C-101B-9397-08002B2CF9AE}" pid="6" name="output">
    <vt:lpwstr/>
  </property>
</Properties>
</file>