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2171"/>
        <w:gridCol w:w="3492"/>
        <w:gridCol w:w="839"/>
        <w:gridCol w:w="839"/>
        <w:gridCol w:w="839"/>
        <w:gridCol w:w="961"/>
        <w:gridCol w:w="839"/>
        <w:gridCol w:w="839"/>
        <w:gridCol w:w="839"/>
        <w:gridCol w:w="839"/>
      </w:tblGrid>
      <w:tr>
        <w:trPr>
          <w:trHeight w:val="62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Lengths of stay in years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 (Williams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 (Proposed method)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Progression-free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0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Progression-free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LE, life expectancy; FC, fludarabine and cyclophosphamide; RFC, rituximab, fludarabine, and cyclophosphamide; SPMs, standard parametric models; FPMs, flexible parametric models; ASF, all-cause survival framework; RSF, relative survival framework; OS, overall survival.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2024-08-09T20:03:49Z</dcterms:modified>
  <cp:category/>
</cp:coreProperties>
</file>