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206"/>
        <w:gridCol w:w="1206"/>
        <w:gridCol w:w="1560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Incremental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life years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</w:tr>
      <w:tr>
        <w:trPr>
          <w:trHeight w:val="58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58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QALYs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total costs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£ 26392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£ 16629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£ 9763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£ 18874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£ 6854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£ 12020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costs of progression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£ 7518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-2258</w:t>
            </w:r>
          </w:p>
        </w:tc>
      </w:tr>
      <w:tr>
        <w:trPr>
          <w:trHeight w:val="62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life year gained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£ 72836</w:t>
            </w:r>
          </w:p>
        </w:tc>
      </w:tr>
      <w:tr>
        <w:trPr>
          <w:trHeight w:val="621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 per QALY gained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£ 34511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FC, fludarabine and cyclophosphamide; RFC, rituximab, fludarabine, and cyclophosphamide; QALY, quality-adjusted life year; PFS, progression-free survival.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2024-04-23T23:58:38Z</dcterms:modified>
  <cp:category/>
</cp:coreProperties>
</file>