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01E2B" w14:textId="77777777" w:rsidR="0001268E" w:rsidRDefault="0001268E"/>
    <w:p w14:paraId="25801E2C" w14:textId="54EAAA13" w:rsidR="0001268E" w:rsidRDefault="00461B3F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rPr>
          <w:rFonts w:ascii="Helvetica" w:eastAsia="Helvetica" w:hAnsi="Helvetica" w:cs="Helvetica"/>
          <w:i w:val="0"/>
          <w:color w:val="000000"/>
          <w:sz w:val="22"/>
          <w:szCs w:val="22"/>
        </w:rPr>
        <w:t>Appendix C</w:t>
      </w:r>
      <w:r>
        <w:rPr>
          <w:rFonts w:ascii="Helvetica" w:eastAsia="Helvetica" w:hAnsi="Helvetica" w:cs="Helvetica"/>
          <w:i w:val="0"/>
          <w:color w:val="000000"/>
          <w:sz w:val="22"/>
          <w:szCs w:val="22"/>
        </w:rPr>
        <w:t>. One-way sensitivity analysis.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06"/>
        <w:gridCol w:w="5363"/>
        <w:gridCol w:w="2661"/>
      </w:tblGrid>
      <w:tr w:rsidR="0001268E" w14:paraId="25801E30" w14:textId="77777777">
        <w:trPr>
          <w:tblHeader/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2D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Base Case Assumption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2E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Sensitivity Analysis</w:t>
            </w:r>
          </w:p>
        </w:tc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2F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Cost per QALY Gained</w:t>
            </w:r>
          </w:p>
        </w:tc>
      </w:tr>
      <w:tr w:rsidR="0001268E" w14:paraId="25801E34" w14:textId="77777777">
        <w:trPr>
          <w:jc w:val="center"/>
        </w:trPr>
        <w:tc>
          <w:tcPr>
            <w:tcW w:w="400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1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horizon of 15 years</w:t>
            </w:r>
          </w:p>
        </w:tc>
        <w:tc>
          <w:tcPr>
            <w:tcW w:w="53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2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Time horizon extended to 20 years</w:t>
            </w:r>
          </w:p>
        </w:tc>
        <w:tc>
          <w:tcPr>
            <w:tcW w:w="266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3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£ 45253</w:t>
            </w:r>
          </w:p>
        </w:tc>
      </w:tr>
      <w:tr w:rsidR="0001268E" w14:paraId="25801E38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5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Observed treatment effects persist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6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Treatment effect no longer persists in extrapolation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7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£ 35669</w:t>
            </w:r>
          </w:p>
        </w:tc>
      </w:tr>
      <w:tr w:rsidR="0001268E" w14:paraId="25801E3C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9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 the end of the time horizon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A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B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</w:p>
        </w:tc>
      </w:tr>
      <w:tr w:rsidR="0001268E" w14:paraId="25801E40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D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E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Utilities: PFS = 0.9; progressed = 0.5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3F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£ 20325</w:t>
            </w:r>
          </w:p>
        </w:tc>
      </w:tr>
      <w:tr w:rsidR="0001268E" w14:paraId="25801E44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1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Utilities: PFS = 0.8; progressed = 0.6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2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Utilities: PFS = 0.75; progressed = 0.65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3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£ 52987</w:t>
            </w:r>
          </w:p>
        </w:tc>
      </w:tr>
      <w:tr w:rsidR="0001268E" w14:paraId="25801E48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5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6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IV infusion of FC = actual dose from trial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7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£ 30962</w:t>
            </w:r>
          </w:p>
        </w:tc>
      </w:tr>
      <w:tr w:rsidR="0001268E" w14:paraId="25801E4C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9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Oral administration of FC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A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IV infusion of FC = recommended dose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B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£ 34008</w:t>
            </w:r>
          </w:p>
        </w:tc>
      </w:tr>
      <w:tr w:rsidR="0001268E" w14:paraId="25801E50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D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Adverse event costs excluded</w:t>
            </w: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E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Inclusion of adverse event costs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4F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£ 34567</w:t>
            </w:r>
          </w:p>
        </w:tc>
      </w:tr>
      <w:tr w:rsidR="0001268E" w14:paraId="25801E54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1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2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Monthly supportive care cost increase by 50%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3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£ 34478</w:t>
            </w:r>
          </w:p>
        </w:tc>
      </w:tr>
      <w:tr w:rsidR="0001268E" w14:paraId="25801E58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5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6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Monthly supportive care cost decrease by 50%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7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£ 34389</w:t>
            </w:r>
          </w:p>
        </w:tc>
      </w:tr>
      <w:tr w:rsidR="0001268E" w14:paraId="25801E5C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9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A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Drug administration cost upper quartile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B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£ 37496</w:t>
            </w:r>
          </w:p>
        </w:tc>
      </w:tr>
      <w:tr w:rsidR="0001268E" w14:paraId="25801E60" w14:textId="77777777">
        <w:trPr>
          <w:jc w:val="center"/>
        </w:trPr>
        <w:tc>
          <w:tcPr>
            <w:tcW w:w="400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D" w14:textId="77777777" w:rsidR="0001268E" w:rsidRDefault="000126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3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E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Drug administration cost lower quartile</w:t>
            </w:r>
          </w:p>
        </w:tc>
        <w:tc>
          <w:tcPr>
            <w:tcW w:w="266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5F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£ 31002</w:t>
            </w:r>
          </w:p>
        </w:tc>
      </w:tr>
      <w:tr w:rsidR="0001268E" w14:paraId="25801E62" w14:textId="77777777">
        <w:trPr>
          <w:jc w:val="center"/>
        </w:trPr>
        <w:tc>
          <w:tcPr>
            <w:tcW w:w="1203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01E61" w14:textId="77777777" w:rsidR="0001268E" w:rsidRDefault="00461B3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FC, fludarabine and cyclophosphamide; RFC, rituximab, fludarabine, and cyclophosphamide; QALY, quality-adjusted life year.</w:t>
            </w:r>
          </w:p>
        </w:tc>
      </w:tr>
    </w:tbl>
    <w:p w14:paraId="25801E63" w14:textId="77777777" w:rsidR="00461B3F" w:rsidRDefault="00461B3F"/>
    <w:sectPr w:rsidR="0000000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7954583">
    <w:abstractNumId w:val="1"/>
  </w:num>
  <w:num w:numId="2" w16cid:durableId="1974169022">
    <w:abstractNumId w:val="2"/>
  </w:num>
  <w:num w:numId="3" w16cid:durableId="57937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68E"/>
    <w:rsid w:val="0001268E"/>
    <w:rsid w:val="003875EE"/>
    <w:rsid w:val="0046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801E2B"/>
  <w15:docId w15:val="{1EA65E02-E728-D144-A6D3-71DC1F4B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Enoch Yi-Tung Chen</cp:lastModifiedBy>
  <cp:revision>10</cp:revision>
  <dcterms:created xsi:type="dcterms:W3CDTF">2017-02-28T11:18:00Z</dcterms:created>
  <dcterms:modified xsi:type="dcterms:W3CDTF">2024-07-30T15:00:00Z</dcterms:modified>
  <cp:category/>
</cp:coreProperties>
</file>