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Enock Mugisha   •   Individual submission</w:t>
      </w:r>
    </w:p>
    <w:p>
      <w:pPr>
        <w:spacing w:after="40"/>
        <w:jc w:val="center"/>
      </w:pPr>
      <w:r>
        <w:rPr>
          <w:color w:val="666666"/>
          <w:sz w:val="19"/>
          <w:szCs w:val="19"/>
        </w:rPr>
        <w:t xml:space="preserve">African Leadership University   •   30 October 2026</w:t>
      </w:r>
    </w:p>
    <w:p>
      <w:pPr>
        <w:spacing w:after="160"/>
        <w:jc w:val="center"/>
      </w:pPr>
      <w:r>
        <w:rPr>
          <w:color w:val="666666"/>
          <w:sz w:val="19"/>
          <w:szCs w:val="19"/>
        </w:rPr>
        <w:t xml:space="preserve">Code &amp; data (GitHub): </w:t>
      </w:r>
      <w:hyperlink r:id="rId200">
        <w:r>
          <w:rPr>
            <w:rStyle w:val="Hyperlink"/>
            <w:sz w:val="19"/>
            <w:szCs w:val="19"/>
          </w:rPr>
          <w:t xml:space="preserve">github.com/enockmugisha1/hmm-activity-recognition</w:t>
        </w:r>
      </w:hyperlink>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My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on two phones — a Samsung SM-G973F, which held a steady 100 Hz, and a Google Pixel 6; the two unseen test recordings were collected on the Pixel 6. The app warns that the true rate is device-dependent, and in practice the recorded accelerometer rate ranged from ~55 Hz to 441 Hz across the two phones and rate settings. This multi-rate, two-device setup is handled explicitly in pre-processing.</w:t>
      </w:r>
    </w:p>
    <w:p>
      <w:pPr>
        <w:spacing w:after="120" w:line="276"/>
      </w:pPr>
      <w:r>
        <w:rPr>
          <w:b/>
          <w:bCs/>
          <w:color w:val="1A1A2E"/>
          <w:sz w:val="21"/>
          <w:szCs w:val="21"/>
        </w:rPr>
        <w:t xml:space="preserve">Dataset. </w:t>
      </w:r>
      <w:r>
        <w:rPr>
          <w:color w:val="1A1A2E"/>
          <w:sz w:val="21"/>
          <w:szCs w:val="21"/>
        </w:rPr>
        <w:t xml:space="preserve">86 labelled recordings in total: 84 single-activity training clips (23 standing, 21 walking, 20 jumping, 20 still) of 5–13 s each, plus 2 continuous ~45 s test recordings in which the phone moves through all four activities in sequence. Every activity now has well over 130 s of training data, comfortably clearing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160.2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171.2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23</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140.9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163.9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135.9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20</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131.9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151.4</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20</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and the higher-rate Pixel clips) are first passed through a zero-phase windowed-sinc low-pass filter at 0.4×50 Hz to prevent aliasing, then linearly interpolated onto a uniform 50 Hz grid; the ~55 Hz Pixel test data is interpolated up onto the same grid. After this step, every recording shares identical timing, so window sample counts and feature scales are identical across phones and rates.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86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hyperlink r:id="rId201">
        <w:r>
          <w:rPr>
            <w:rStyle w:val="Hyperlink"/>
            <w:sz w:val="21"/>
            <w:szCs w:val="21"/>
          </w:rPr>
          <w:t xml:space="preserve">https://youtube.com/shorts/MuexVpJiZWw</w:t>
        </w:r>
      </w:hyperlink>
    </w:p>
    <w:p>
      <w:pPr>
        <w:pStyle w:val="ListParagraph"/>
        <w:numPr>
          <w:ilvl w:val="0"/>
          <w:numId w:val="1"/>
        </w:numPr>
        <w:spacing w:after="60" w:line="268"/>
      </w:pPr>
      <w:r>
        <w:rPr>
          <w:b/>
          <w:bCs/>
          <w:color w:val="1A1A2E"/>
          <w:sz w:val="21"/>
          <w:szCs w:val="21"/>
        </w:rPr>
        <w:t xml:space="preserve">Walking: </w:t>
      </w:r>
      <w:hyperlink r:id="rId202">
        <w:r>
          <w:rPr>
            <w:rStyle w:val="Hyperlink"/>
            <w:sz w:val="21"/>
            <w:szCs w:val="21"/>
          </w:rPr>
          <w:t xml:space="preserve">https://youtube.com/shorts/fzsP2rYffkM</w:t>
        </w:r>
      </w:hyperlink>
    </w:p>
    <w:p>
      <w:pPr>
        <w:pStyle w:val="ListParagraph"/>
        <w:numPr>
          <w:ilvl w:val="0"/>
          <w:numId w:val="1"/>
        </w:numPr>
        <w:spacing w:after="60" w:line="268"/>
      </w:pPr>
      <w:r>
        <w:rPr>
          <w:b/>
          <w:bCs/>
          <w:color w:val="1A1A2E"/>
          <w:sz w:val="21"/>
          <w:szCs w:val="21"/>
        </w:rPr>
        <w:t xml:space="preserve">Jumping: </w:t>
      </w:r>
      <w:hyperlink r:id="rId203">
        <w:r>
          <w:rPr>
            <w:rStyle w:val="Hyperlink"/>
            <w:sz w:val="21"/>
            <w:szCs w:val="21"/>
          </w:rPr>
          <w:t xml:space="preserve">https://youtube.com/shorts/NbohnmOFKUk</w:t>
        </w:r>
      </w:hyperlink>
    </w:p>
    <w:p>
      <w:pPr>
        <w:pStyle w:val="ListParagraph"/>
        <w:numPr>
          <w:ilvl w:val="0"/>
          <w:numId w:val="1"/>
        </w:numPr>
        <w:spacing w:after="60" w:line="268"/>
      </w:pPr>
      <w:r>
        <w:rPr>
          <w:b/>
          <w:bCs/>
          <w:color w:val="1A1A2E"/>
          <w:sz w:val="21"/>
          <w:szCs w:val="21"/>
        </w:rPr>
        <w:t xml:space="preserve">Still: </w:t>
      </w:r>
      <w:hyperlink r:id="rId204">
        <w:r>
          <w:rPr>
            <w:rStyle w:val="Hyperlink"/>
            <w:sz w:val="21"/>
            <w:szCs w:val="21"/>
          </w:rPr>
          <w:t xml:space="preserve">https://youtube.com/shorts/TWcEYuwgiLQ</w:t>
        </w:r>
      </w:hyperlink>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four time-domain and three frequency-domain (all FFT-derived)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4 iterations, with the training log-likelihood rising monotonically from −755.5 to −727.5.</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0.896</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0.905</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0.900</w:t>
            </w:r>
          </w:p>
        </w:tc>
      </w:tr>
    </w:tbl>
    <w:p>
      <w:pPr>
        <w:spacing w:after="140"/>
      </w:pPr>
    </w:p>
    <w:p>
      <w:pPr>
        <w:spacing w:after="120" w:line="276"/>
      </w:pPr>
      <w:r>
        <w:rPr>
          <w:b/>
          <w:bCs/>
          <w:color w:val="1A1A2E"/>
          <w:sz w:val="21"/>
          <w:szCs w:val="21"/>
        </w:rPr>
        <w:t xml:space="preserve">Temporal model vs. per-window baseline. </w:t>
      </w:r>
      <w:r>
        <w:rPr>
          <w:color w:val="1A1A2E"/>
          <w:sz w:val="21"/>
          <w:szCs w:val="21"/>
        </w:rPr>
        <w:t xml:space="preserve">With this larger, more varied training set the Gaussian emissions alone already classify each window well, reaching 91.4 % test accuracy; adding the Baum–Welch transition matrix and Viterbi decoding gives 90.0 %. The two are within a single window of each other (out of 70), so at this data scale the temporal prior neither clearly helps nor hurts the headline accuracy — the emissions have become discriminative enough on their own. The transition model still earns its place: it enforces realistic dwell times and is the right tool whenever the per-window evidence is noisier or sparser than it is here. Per file, test 1 scores 94.4 % and test 2 scores 85.3 %.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Walking, jumping and still are recovered well; standing is the main source of error, occasionally read as walking.</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94.4 %):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85.3 %): most errors fall on the short standing segments, which are read as walking.</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Walking (100 % sensitivity) is the easiest to recognise, and jumping and still follow closely (97.1 % accuracy each): walking has a clear, steady cadence, still is almost flat, and jumping is highly energetic, so all three sit far apart in feature space. Standing is the hardest (72.7 % sensitivity): a person standing with the phone in hand still produces small sways and hand tremor that resemble the low end of walking, so three of the eleven standing windows are read as walking. The extra jump recordings across both phones are what make jumping reliable here, since the model has now seen its high-amplitude impacts at several sampling rates.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≈0.96–0.97), implying an expected dwell time of roughly 26–31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Recordings span ~55 Hz to 441 Hz across the two phones; resampling everything to a common 50 Hz removes most of this heterogeneity, and because the training set now includes Pixel clips as well as Samsung ones, the train–test gap is modest (train 98.6 % vs. test 90.0 %). The residual gap sits in the low-energy classes: accelerometer and gyroscope noise make a hand-held standing posture occasionally resemble slow walking, which is the model's main remaining error.</w:t>
      </w:r>
    </w:p>
    <w:p>
      <w:pPr>
        <w:spacing w:after="120" w:line="276"/>
      </w:pPr>
      <w:r>
        <w:rPr>
          <w:b/>
          <w:bCs/>
          <w:color w:val="1A1A2E"/>
          <w:sz w:val="21"/>
          <w:szCs w:val="21"/>
        </w:rPr>
        <w:t xml:space="preserve">Improvements. </w:t>
      </w:r>
      <w:r>
        <w:rPr>
          <w:color w:val="1A1A2E"/>
          <w:sz w:val="21"/>
          <w:szCs w:val="21"/>
        </w:rPr>
        <w:t xml:space="preserve">(i) Data from more participants (the current set is from one person) would test cross-subject generalisation, since the model is already trained across two phones; (ii) continuous multi-activity training recordings would let Baum–Welch learn richer, asymmetric transitions instead of near-symmetric ones; (iii) extra features (jerk, axis-correlation, higher-frequency bands) and a full-covariance emission could sharpen the standing/walking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90.0 % accuracy on genuinely unseen, different-device data. Per-window classification and the full temporal model perform comparably at this data scale, while its learned transitions and dwell times stay behaviourally realistic — a promising, low-cost basis for the mobility-monitoring use case that motivated the work.</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 Id="rId200" Type="http://schemas.openxmlformats.org/officeDocument/2006/relationships/hyperlink" Target="https://github.com/enockmugisha1/hmm-activity-recognition" TargetMode="External"/><Relationship Id="rId201" Type="http://schemas.openxmlformats.org/officeDocument/2006/relationships/hyperlink" Target="https://youtube.com/shorts/MuexVpJiZWw" TargetMode="External"/><Relationship Id="rId202" Type="http://schemas.openxmlformats.org/officeDocument/2006/relationships/hyperlink" Target="https://youtube.com/shorts/fzsP2rYffkM" TargetMode="External"/><Relationship Id="rId203" Type="http://schemas.openxmlformats.org/officeDocument/2006/relationships/hyperlink" Target="https://youtube.com/shorts/NbohnmOFKUk" TargetMode="External"/><Relationship Id="rId204" Type="http://schemas.openxmlformats.org/officeDocument/2006/relationships/hyperlink" Target="https://youtube.com/shorts/TWcEYuwgiLQ"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