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 w:before="240"/>
      </w:pPr>
      <w:r>
        <w:rPr>
          <w:color w:val="1F4E79"/>
        </w:rPr>
        <w:t xml:space="preserve">Tibbers — Pesquisa em operação de um SOC com Wazuh</w:t>
      </w:r>
    </w:p>
    <w:p>
      <w:pPr>
        <w:pBdr>
          <w:bottom w:val="single" w:color="1F4E79" w:sz="12"/>
        </w:pBdr>
        <w:spacing w:after="120" w:before="40"/>
      </w:pPr>
    </w:p>
    <w:p>
      <w:pPr>
        <w:spacing w:after="120" w:line="276"/>
      </w:pPr>
      <w:r>
        <w:t xml:space="preserve">Estudo aplicado sobre como </w:t>
      </w:r>
      <w:r>
        <w:rPr>
          <w:b/>
          <w:bCs/>
        </w:rPr>
        <w:t xml:space="preserve">operar um Security Operations Center</w:t>
      </w:r>
      <w:r>
        <w:t xml:space="preserve"> (blue team) de ponta a
ponta sobre uma stack </w:t>
      </w:r>
      <w:r>
        <w:rPr>
          <w:b/>
          <w:bCs/>
        </w:rPr>
        <w:t xml:space="preserve">open source</w:t>
      </w:r>
      <w:r>
        <w:t xml:space="preserve"> centrada no </w:t>
      </w:r>
      <w:r>
        <w:rPr>
          <w:b/>
          <w:bCs/>
        </w:rPr>
        <w:t xml:space="preserve">Wazuh</w:t>
      </w:r>
      <w:r>
        <w:t xml:space="preserve"> (SIEM/XDR). Não é um guia de
instalação nem um laboratório para montar: é uma </w:t>
      </w:r>
      <w:r>
        <w:rPr>
          <w:b/>
          <w:bCs/>
        </w:rPr>
        <w:t xml:space="preserve">pesquisa documentada</w:t>
      </w:r>
      <w:r>
        <w:t xml:space="preserve"> sobre as decisões,
os mecanismos e as lições de cada parte de um SOC — telemetria, engenharia de detecção,
resposta, gestão de vulnerabilidades, hardening e validação </w:t>
      </w:r>
      <w:r>
        <w:rPr>
          <w:i/>
          <w:iCs/>
        </w:rPr>
        <w:t xml:space="preserve">purple team</w:t>
      </w:r>
      <w:r>
        <w:t xml:space="preserve">.</w:t>
      </w:r>
    </w:p>
    <w:p>
      <w:pPr>
        <w:spacing w:after="120" w:line="276"/>
      </w:pPr>
      <w:r>
        <w:t xml:space="preserve">O material cobre um ambiente corporativo de referência (Active Directory, servidores,
estações, servidor web e uma estação ofensiva) e analisa </w:t>
      </w:r>
      <w:r>
        <w:rPr>
          <w:b/>
          <w:bCs/>
        </w:rPr>
        <w:t xml:space="preserve">detecções mapeadas ao MITRE
ATT&amp;CK</w:t>
      </w:r>
      <w:r>
        <w:t xml:space="preserve">, incluindo por que cada regra funciona — ou falha — e o que isso ensina.</w:t>
      </w:r>
    </w:p>
    <w:p>
      <w:pPr>
        <w:pStyle w:val="Heading1"/>
        <w:spacing w:after="80" w:before="240"/>
      </w:pPr>
      <w:r>
        <w:t xml:space="preserve">Pergunta central</w:t>
      </w:r>
    </w:p>
    <w:p>
      <w:pPr>
        <w:pBdr>
          <w:left w:val="single" w:color="2E75B6" w:sz="18" w:space="8"/>
        </w:pBdr>
        <w:shd w:fill="F4F8FC" w:val="clear"/>
        <w:spacing w:after="60" w:before="60"/>
        <w:ind w:left="240"/>
      </w:pPr>
    </w:p>
    <w:p>
      <w:pPr>
        <w:pStyle w:val="Heading1"/>
        <w:spacing w:after="80" w:before="240"/>
      </w:pPr>
      <w:r>
        <w:t xml:space="preserve">Como o estudo está organizado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 que investiga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00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5cenuqgmit6uxrpfnfs8h">
              <w:r>
                <w:rPr>
                  <w:color w:val="2E75B6"/>
                  <w:u w:val="single"/>
                </w:rPr>
                <w:t xml:space="preserve">Contexto e escopo</w:t>
              </w:r>
            </w:hyperlink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Motivação, perguntas de pesquisa e os cinco pilares do SOC estudado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01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wquhxyyhf927m4xuwen6p">
              <w:r>
                <w:rPr>
                  <w:color w:val="2E75B6"/>
                  <w:u w:val="single"/>
                </w:rPr>
                <w:t xml:space="preserve">Ambiente de referência</w:t>
              </w:r>
            </w:hyperlink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Topologia, rede isolada, domínio e papéis dos hosts (conceitual)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e-koapjhhdzf5_jjzyza2">
              <w:r>
                <w:rPr>
                  <w:color w:val="2E75B6"/>
                  <w:u w:val="single"/>
                </w:rPr>
                <w:t xml:space="preserve">Metodologia</w:t>
              </w:r>
            </w:hyperlink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Como cada detecção/afirmação é construída e validada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03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-9omqxlbsf0l7qjyv8xov">
              <w:r>
                <w:rPr>
                  <w:color w:val="2E75B6"/>
                  <w:u w:val="single"/>
                </w:rPr>
                <w:t xml:space="preserve">Telemetria</w:t>
              </w:r>
            </w:hyperlink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Fontes de log: Sysmon, auditd, canais do Windows, FIM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04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kxpxnfnkshimmkeimos6f">
              <w:r>
                <w:rPr>
                  <w:color w:val="2E75B6"/>
                  <w:u w:val="single"/>
                </w:rPr>
                <w:t xml:space="preserve">Engenharia de detecção</w:t>
              </w:r>
            </w:hyperlink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Regras, decoders, ancoragem, correlação e as armadilhas do ruleset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05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bvywlrumonajv5s3xmbt4">
              <w:r>
                <w:rPr>
                  <w:color w:val="2E75B6"/>
                  <w:u w:val="single"/>
                </w:rPr>
                <w:t xml:space="preserve">Resposta e remediação</w:t>
              </w:r>
            </w:hyperlink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Active Response, lockout GPO, gestão de vulnerabilidades e patch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1rkqp4mmukbvdafc2jcmm">
              <w:r>
                <w:rPr>
                  <w:color w:val="2E75B6"/>
                  <w:u w:val="single"/>
                </w:rPr>
                <w:t xml:space="preserve">Hardening e evolução</w:t>
              </w:r>
            </w:hyperlink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Redução de superfície (RunAsPPL, ASR) e roadmap de maturidade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07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_8zxxcbqjouj2zvieqwrd">
              <w:r>
                <w:rPr>
                  <w:color w:val="2E75B6"/>
                  <w:u w:val="single"/>
                </w:rPr>
                <w:t xml:space="preserve">Cobertura MITRE ATT&amp;CK</w:t>
              </w:r>
            </w:hyperlink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As 12 táticas e o catálogo de técnicas estudadas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a4euuloap5q5z3dhp6slj">
              <w:r>
                <w:rPr>
                  <w:color w:val="2E75B6"/>
                  <w:u w:val="single"/>
                </w:rPr>
                <w:t xml:space="preserve">Resultados e lições</w:t>
              </w:r>
            </w:hyperlink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O que generaliza: lições sistêmicas de detecção e operação</w:t>
            </w:r>
          </w:p>
        </w:tc>
      </w:tr>
      <w:tr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09</w:t>
            </w:r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hyperlink w:history="1" r:id="rIdhx5itzihaqcagqazds-g-">
              <w:r>
                <w:rPr>
                  <w:color w:val="2E75B6"/>
                  <w:u w:val="single"/>
                </w:rPr>
                <w:t xml:space="preserve">Referências</w:t>
              </w:r>
            </w:hyperlink>
          </w:p>
        </w:tc>
        <w:tc>
          <w:tcPr>
            <w:shd w:fill="EEF3F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t xml:space="preserve">Documentação e material de apoio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Complementos:</w:t>
      </w:r>
    </w:p>
    <w:p>
      <w:pPr>
        <w:pStyle w:val="ListParagraph"/>
        <w:numPr>
          <w:ilvl w:val="0"/>
          <w:numId w:val="1"/>
        </w:numPr>
        <w:spacing w:after="40" w:line="264"/>
      </w:pPr>
      <w:hyperlink w:history="1" r:id="rIdz3m41hz5dbvcfzcp8arv7">
        <w:r>
          <w:rPr>
            <w:color w:val="2E75B6"/>
            <w:u w:val="single"/>
          </w:rPr>
          <w:t xml:space="preserve">Casos estudados</w:t>
        </w:r>
      </w:hyperlink>
      <w:r>
        <w:t xml:space="preserve"> — catálogo das técnicas por tática (o "o quê" e o "como se detecta").</w:t>
      </w:r>
    </w:p>
    <w:p>
      <w:pPr>
        <w:pStyle w:val="ListParagraph"/>
        <w:numPr>
          <w:ilvl w:val="0"/>
          <w:numId w:val="1"/>
        </w:numPr>
        <w:spacing w:after="40" w:line="264"/>
      </w:pPr>
      <w:hyperlink w:history="1" r:id="rIdr4b8_9yuvu9pei97lkyt6">
        <w:r>
          <w:rPr>
            <w:rFonts w:ascii="Consolas" w:cs="Consolas" w:eastAsia="Consolas" w:hAnsi="Consolas"/>
            <w:color w:val="2E75B6"/>
            <w:u w:val="single"/>
            <w:shd w:fill="F2F4F7" w:val="clear"/>
          </w:rPr>
          <w:t xml:space="preserve">configs/wazuh/local_rules.xml</w:t>
        </w:r>
      </w:hyperlink>
      <w:r>
        <w:t xml:space="preserve"> — artefatos de detecção (regras representativas).</w:t>
      </w:r>
    </w:p>
    <w:p>
      <w:pPr>
        <w:spacing w:after="60"/>
      </w:pPr>
    </w:p>
    <w:p>
      <w:pPr>
        <w:pStyle w:val="Heading1"/>
        <w:spacing w:after="80" w:before="240"/>
      </w:pPr>
      <w:r>
        <w:t xml:space="preserve">Os cinco pilares estudados</w:t>
      </w:r>
    </w:p>
    <w:p>
      <w:pPr>
        <w:spacing w:after="40" w:line="264"/>
      </w:pPr>
      <w:r>
        <w:rPr>
          <w:b/>
          <w:bCs/>
        </w:rPr>
        <w:t xml:space="preserve">1. </w:t>
      </w:r>
      <w:r>
        <w:rPr>
          <w:b/>
          <w:bCs/>
        </w:rPr>
        <w:t xml:space="preserve">Telemetria</w:t>
      </w:r>
      <w:r>
        <w:t xml:space="preserve"> — Sysmon, canais de evento do Windows, Windows Defender, auditd, logs web, FIM.</w:t>
      </w:r>
    </w:p>
    <w:p>
      <w:pPr>
        <w:spacing w:after="40" w:line="264"/>
      </w:pPr>
      <w:r>
        <w:rPr>
          <w:b/>
          <w:bCs/>
        </w:rPr>
        <w:t xml:space="preserve">2. </w:t>
      </w:r>
      <w:r>
        <w:rPr>
          <w:b/>
          <w:bCs/>
        </w:rPr>
        <w:t xml:space="preserve">Detecção</w:t>
      </w:r>
      <w:r>
        <w:t xml:space="preserve"> — regras customizadas + built-in, correlação, alinhamento MITRE ATT&amp;CK.</w:t>
      </w:r>
    </w:p>
    <w:p>
      <w:pPr>
        <w:spacing w:after="40" w:line="264"/>
      </w:pPr>
      <w:r>
        <w:rPr>
          <w:b/>
          <w:bCs/>
        </w:rPr>
        <w:t xml:space="preserve">3. </w:t>
      </w:r>
      <w:r>
        <w:rPr>
          <w:b/>
          <w:bCs/>
        </w:rPr>
        <w:t xml:space="preserve">Resposta</w:t>
      </w:r>
      <w:r>
        <w:t xml:space="preserve"> — Active Response (bloqueio de IP), lockout de conta via GPO, contenção.</w:t>
      </w:r>
    </w:p>
    <w:p>
      <w:pPr>
        <w:spacing w:after="40" w:line="264"/>
      </w:pPr>
      <w:r>
        <w:rPr>
          <w:b/>
          <w:bCs/>
        </w:rPr>
        <w:t xml:space="preserve">4. </w:t>
      </w:r>
      <w:r>
        <w:rPr>
          <w:b/>
          <w:bCs/>
        </w:rPr>
        <w:t xml:space="preserve">Gestão de vulnerabilidades</w:t>
      </w:r>
      <w:r>
        <w:t xml:space="preserve"> — detecção de CVEs e patch em massa (Chocolatey via Active Response).</w:t>
      </w:r>
    </w:p>
    <w:p>
      <w:pPr>
        <w:spacing w:after="40" w:line="264"/>
      </w:pPr>
      <w:r>
        <w:rPr>
          <w:b/>
          <w:bCs/>
        </w:rPr>
        <w:t xml:space="preserve">5. </w:t>
      </w:r>
      <w:r>
        <w:rPr>
          <w:b/>
          <w:bCs/>
        </w:rPr>
        <w:t xml:space="preserve">Validação (purple team)</w:t>
      </w:r>
      <w:r>
        <w:t xml:space="preserve"> — ataques controlados validam cada detecção.</w:t>
      </w:r>
    </w:p>
    <w:p>
      <w:pPr>
        <w:spacing w:after="60"/>
      </w:pPr>
    </w:p>
    <w:p>
      <w:pPr>
        <w:pStyle w:val="Heading1"/>
        <w:spacing w:after="80" w:before="240"/>
      </w:pPr>
      <w:r>
        <w:t xml:space="preserve">Observações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t xml:space="preserve">Ambiente </w:t>
      </w:r>
      <w:r>
        <w:rPr>
          <w:b/>
          <w:bCs/>
        </w:rPr>
        <w:t xml:space="preserve">isolado</w:t>
      </w:r>
      <w:r>
        <w:t xml:space="preserve">; ferramentas ofensivas apenas na estação dedicada.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rPr>
          <w:b/>
          <w:bCs/>
        </w:rPr>
        <w:t xml:space="preserve">Nenhuma credencial real</w:t>
      </w:r>
      <w:r>
        <w:t xml:space="preserve"> — todos os valores são fictícios e exclusivos deste estudo.</w:t>
      </w:r>
    </w:p>
    <w:p>
      <w:pPr>
        <w:pStyle w:val="ListParagraph"/>
        <w:numPr>
          <w:ilvl w:val="0"/>
          <w:numId w:val="1"/>
        </w:numPr>
        <w:spacing w:after="40" w:line="264"/>
      </w:pPr>
      <w:r>
        <w:t xml:space="preserve">Material </w:t>
      </w:r>
      <w:r>
        <w:rPr>
          <w:b/>
          <w:bCs/>
        </w:rPr>
        <w:t xml:space="preserve">educacional</w:t>
      </w:r>
      <w:r>
        <w:t xml:space="preserve">, com foco em defesa. O interesse é </w:t>
      </w:r>
      <w:r>
        <w:rPr>
          <w:b/>
          <w:bCs/>
        </w:rPr>
        <w:t xml:space="preserve">detectar e corrigir</w:t>
      </w:r>
      <w:r>
        <w:t xml:space="preserve">, não atacar.</w:t>
      </w:r>
    </w:p>
    <w:p>
      <w:pPr>
        <w:spacing w:after="6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after="120"/>
    </w:pPr>
    <w:rPr>
      <w:b/>
      <w:bCs/>
      <w:color w:val="1F4E79"/>
      <w:sz w:val="40"/>
      <w:szCs w:val="4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cenuqgmit6uxrpfnfs8h" Type="http://schemas.openxmlformats.org/officeDocument/2006/relationships/hyperlink" Target="docs/00-contexto-e-escopo.md" TargetMode="External"/><Relationship Id="rIdwquhxyyhf927m4xuwen6p" Type="http://schemas.openxmlformats.org/officeDocument/2006/relationships/hyperlink" Target="docs/01-ambiente-de-referencia.md" TargetMode="External"/><Relationship Id="rIde-koapjhhdzf5_jjzyza2" Type="http://schemas.openxmlformats.org/officeDocument/2006/relationships/hyperlink" Target="docs/02-metodologia.md" TargetMode="External"/><Relationship Id="rId-9omqxlbsf0l7qjyv8xov" Type="http://schemas.openxmlformats.org/officeDocument/2006/relationships/hyperlink" Target="docs/03-telemetria.md" TargetMode="External"/><Relationship Id="rIdkxpxnfnkshimmkeimos6f" Type="http://schemas.openxmlformats.org/officeDocument/2006/relationships/hyperlink" Target="docs/04-engenharia-de-deteccao.md" TargetMode="External"/><Relationship Id="rIdbvywlrumonajv5s3xmbt4" Type="http://schemas.openxmlformats.org/officeDocument/2006/relationships/hyperlink" Target="docs/05-resposta-e-remediacao.md" TargetMode="External"/><Relationship Id="rId1rkqp4mmukbvdafc2jcmm" Type="http://schemas.openxmlformats.org/officeDocument/2006/relationships/hyperlink" Target="docs/06-hardening-e-roadmap.md" TargetMode="External"/><Relationship Id="rId_8zxxcbqjouj2zvieqwrd" Type="http://schemas.openxmlformats.org/officeDocument/2006/relationships/hyperlink" Target="docs/07-cobertura-mitre.md" TargetMode="External"/><Relationship Id="rIda4euuloap5q5z3dhp6slj" Type="http://schemas.openxmlformats.org/officeDocument/2006/relationships/hyperlink" Target="docs/08-resultados-e-licoes.md" TargetMode="External"/><Relationship Id="rIdhx5itzihaqcagqazds-g-" Type="http://schemas.openxmlformats.org/officeDocument/2006/relationships/hyperlink" Target="docs/09-referencias.md" TargetMode="External"/><Relationship Id="rIdz3m41hz5dbvcfzcp8arv7" Type="http://schemas.openxmlformats.org/officeDocument/2006/relationships/hyperlink" Target="casos/README.md" TargetMode="External"/><Relationship Id="rIdr4b8_9yuvu9pei97lkyt6" Type="http://schemas.openxmlformats.org/officeDocument/2006/relationships/hyperlink" Target="configs/wazuh/local_rules.xml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Tibbers — Pesquisa em operação de um SOC com Wazuh</dc:title>
  <dc:creator>Tibbers</dc:creator>
  <cp:lastModifiedBy>Un-named</cp:lastModifiedBy>
  <cp:revision>1</cp:revision>
  <dcterms:created xsi:type="dcterms:W3CDTF">2026-10-01T19:32:36.950Z</dcterms:created>
  <dcterms:modified xsi:type="dcterms:W3CDTF">2026-10-01T19:32:36.951Z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