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 w:before="240"/>
      </w:pPr>
      <w:r>
        <w:rPr>
          <w:color w:val="1F4E79"/>
        </w:rPr>
        <w:t xml:space="preserve">Casos estudados</w:t>
      </w:r>
    </w:p>
    <w:p>
      <w:pPr>
        <w:pBdr>
          <w:bottom w:val="single" w:color="1F4E79" w:sz="12"/>
        </w:pBdr>
        <w:spacing w:after="120" w:before="40"/>
      </w:pPr>
    </w:p>
    <w:p>
      <w:pPr>
        <w:spacing w:after="120" w:line="276"/>
      </w:pPr>
      <w:hyperlink w:history="1" r:id="rIdvnwjoygjc-z7ta_vwl6xw">
        <w:r>
          <w:rPr>
            <w:color w:val="2E75B6"/>
            <w:u w:val="single"/>
          </w:rPr>
          <w:t xml:space="preserve">◀ README</w:t>
        </w:r>
      </w:hyperlink>
    </w:p>
    <w:p>
      <w:pPr>
        <w:spacing w:after="120" w:line="276"/>
      </w:pPr>
      <w:r>
        <w:t xml:space="preserve">Catálogo das técnicas estudadas, agrupadas por tática do MITRE ATT&amp;CK. Para cada uma: o
evento/gatilho que a registra e o </w:t>
      </w:r>
      <w:r>
        <w:rPr>
          <w:b/>
          <w:bCs/>
        </w:rPr>
        <w:t xml:space="preserve">status</w:t>
      </w:r>
      <w:r>
        <w:t xml:space="preserve"> honesto da detecção no ambiente de referência.
Os princípios por trás das regras estão em
</w:t>
      </w:r>
      <w:hyperlink w:history="1" r:id="rIdoymcciqlgbmvptqgmrao8">
        <w:r>
          <w:rPr>
            <w:rFonts w:ascii="Consolas" w:cs="Consolas" w:eastAsia="Consolas" w:hAnsi="Consolas"/>
            <w:color w:val="2E75B6"/>
            <w:u w:val="single"/>
            <w:shd w:fill="F2F4F7" w:val="clear"/>
          </w:rPr>
          <w:t xml:space="preserve">docs/04-engenharia-de-deteccao.md</w:t>
        </w:r>
      </w:hyperlink>
      <w:r>
        <w:t xml:space="preserve">; as regras
representativas, em </w:t>
      </w:r>
      <w:hyperlink w:history="1" r:id="rIdat4bt3vranblmu7weerds">
        <w:r>
          <w:rPr>
            <w:rFonts w:ascii="Consolas" w:cs="Consolas" w:eastAsia="Consolas" w:hAnsi="Consolas"/>
            <w:color w:val="2E75B6"/>
            <w:u w:val="single"/>
            <w:shd w:fill="F2F4F7" w:val="clear"/>
          </w:rPr>
          <w:t xml:space="preserve">../configs/wazuh/local_rules.xml</w:t>
        </w:r>
      </w:hyperlink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Legenda de status:</w:t>
      </w:r>
      <w:r>
        <w:t xml:space="preserve"> </w:t>
      </w:r>
      <w:r>
        <w:rPr>
          <w:i/>
          <w:iCs/>
        </w:rPr>
        <w:t xml:space="preserve">Validado</w:t>
      </w:r>
      <w:r>
        <w:t xml:space="preserve"> (evidência real) · </w:t>
      </w:r>
      <w:r>
        <w:rPr>
          <w:i/>
          <w:iCs/>
        </w:rPr>
        <w:t xml:space="preserve">Parcial</w:t>
      </w:r>
      <w:r>
        <w:t xml:space="preserve"> (ataque contido por controle)
· </w:t>
      </w:r>
      <w:r>
        <w:rPr>
          <w:i/>
          <w:iCs/>
        </w:rPr>
        <w:t xml:space="preserve">Regra pronta</w:t>
      </w:r>
      <w:r>
        <w:t xml:space="preserve"> (sem gatilho/telemetria ainda) · </w:t>
      </w:r>
      <w:r>
        <w:rPr>
          <w:i/>
          <w:iCs/>
        </w:rPr>
        <w:t xml:space="preserve">Lacuna</w:t>
      </w:r>
      <w:r>
        <w:t xml:space="preserve"> (detecção a fechar).</w:t>
      </w:r>
    </w:p>
    <w:p>
      <w:pPr>
        <w:spacing w:after="120" w:line="276"/>
      </w:pPr>
      <w:r>
        <w:rPr>
          <w:b/>
          <w:bCs/>
        </w:rPr>
        <w:t xml:space="preserve">Panorama:</w:t>
      </w:r>
      <w:r>
        <w:t xml:space="preserve"> Validado </w:t>
      </w:r>
      <w:r>
        <w:rPr>
          <w:b/>
          <w:bCs/>
        </w:rPr>
        <w:t xml:space="preserve">28</w:t>
      </w:r>
      <w:r>
        <w:t xml:space="preserve"> · Parcial </w:t>
      </w:r>
      <w:r>
        <w:rPr>
          <w:b/>
          <w:bCs/>
        </w:rPr>
        <w:t xml:space="preserve">2</w:t>
      </w:r>
      <w:r>
        <w:t xml:space="preserve"> · Regra pronta </w:t>
      </w:r>
      <w:r>
        <w:rPr>
          <w:b/>
          <w:bCs/>
        </w:rPr>
        <w:t xml:space="preserve">17</w:t>
      </w:r>
      <w:r>
        <w:t xml:space="preserve"> · Lacuna </w:t>
      </w:r>
      <w:r>
        <w:rPr>
          <w:b/>
          <w:bCs/>
        </w:rPr>
        <w:t xml:space="preserve">3</w:t>
      </w:r>
      <w:r>
        <w:t xml:space="preserve">.</w:t>
      </w:r>
    </w:p>
    <w:p>
      <w:pPr>
        <w:pBdr>
          <w:bottom w:val="single" w:color="1F4E79" w:sz="12"/>
        </w:pBdr>
        <w:spacing w:after="120" w:before="40"/>
      </w:pPr>
    </w:p>
    <w:p>
      <w:pPr>
        <w:pStyle w:val="Heading1"/>
        <w:spacing w:after="80" w:before="240"/>
      </w:pPr>
      <w:r>
        <w:t xml:space="preserve">Fundamentos / Observabilidade</w:t>
      </w:r>
    </w:p>
    <w:p>
      <w:pPr>
        <w:spacing w:after="120" w:line="276"/>
      </w:pPr>
      <w:r>
        <w:t xml:space="preserve">Antes de detectar ataques, a telemetria precisa estar íntegra. "Falhas que cegam o SOC."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sintoma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Agente Wazuh offline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agente 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Disconnected</w:t>
            </w:r>
            <w:r>
              <w:t xml:space="preserve"> (porta 1514 bloqueada)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Falha de enrollment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registro falha (1515 / authd)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Logs não chegam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agente ACTIVE sem fluxo de eventos (config errada)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sem eventos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canal Sysmon vazio (config inválida)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Flood de logs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saturação de EPS (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agent buffer is full</w:t>
            </w:r>
            <w:r>
              <w:t xml:space="preserve">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TA0001 Acesso Inicial · TA0002 Execução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Ataque web (SQLi, log poisoning, defacement)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T1190 · T1505.003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nginx 31104/31106 + FIM 550/554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Malware (EICAR) e discovery pós-execução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T1204 · T1082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Defender → 62123; discovery 92031/92039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Phishing: Office gera shell (macro)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T1204.002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 (winword/excel → cmd/powershell)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PowerShell ofuscado / EncodedCommand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T1059.001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script block (pai 91802)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Execução via WMI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T1047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wmic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WmiPrvSE</w:t>
            </w:r>
            <w:r>
              <w:t xml:space="preserve"> gera processo filho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TA0003 Persistência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Novo serviço Windows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T1543.003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System 7045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Chaves Run no Registro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T1547.001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13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Lacuna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Tarefa agendada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T1053.005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Security 4698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Assinatura de evento WMI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T1546.003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Sysmon/WMI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Criação de conta + elevação a Admins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T1136.001 · T1098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4720 (pai 60109) + 4732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Pasta Startup (atalho LNK)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T1547.009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Lacuna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TA0004 Escalonamento de Privilégio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Bypass de UAC (fodhelper/eventvwr)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T1548.002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 + Registro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Manipulação de token / SeDebugPrivilege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T1134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Security/Sysmon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Modificação não autorizada de GPO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T1484.001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Security 5136 (DS Changes)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TA0005 Evasão de Defesa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Anti-forense: serviço → disabled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T1562.001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System 7040 (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param3=disabled</w:t>
            </w:r>
            <w:r>
              <w:t xml:space="preserve">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Execução por mshta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T1218.005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Abuso de rundll32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T1218.011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Regsvr32 / Squiblydoo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T1218.010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 (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/i:scrobj</w:t>
            </w:r>
            <w:r>
              <w:t xml:space="preserve">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Limpeza do log de eventos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T1070.001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Security 1102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Tamper no Defender / exclusões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T1562.001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13 (Registro)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Timestomping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T1070.006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Masquerading (binário em caminho anômalo)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T1036.005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built-ins path-aware 61618/61625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Alternate Data Streams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T1564.004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15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TA0006 Acesso a Credenciais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Brute force de logon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T1110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4625 repetido (pai 60204)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Kerberoasting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T1558.003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4769 com RC4 (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0x17</w:t>
            </w:r>
            <w:r>
              <w:t xml:space="preserve">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Credential dumping (LSASS)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T1003.001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10 → lsass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Parcial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DCSync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T1003.006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4662 + GUID de replicação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Dump do NTDS.dit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T1003.003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vssadmin</w:t>
            </w:r>
            <w:r>
              <w:t xml:space="preserve">/shadow + System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LSASS via comsvcs MiniDump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T1003.001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10 / EID 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Parcial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Password spraying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T1110.003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4625 mesmo IP, N contas (correlação)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AS-REP Roasting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T1558.004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4768 sem pré-auth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TA0007 Descoberta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Descoberta de contas e domínio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T1087 · T1033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rajada de 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net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whoami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nltest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Reconhecimento LDAP (BloodHound)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T1069.002 · T1482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4662 (LDAP) / Sysmon na origem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Descoberta de compartilhamentos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T1135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enum SMB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TA0008 Movimento Lateral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Pass-the-Hash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T1550.002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4624 tipo 3 NTLM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PsExec / serviço remoto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T1021.002 · T1569.002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built-in PsExec (serviço remoto)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RDP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T1021.001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4624 tipo 10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WinRM / PowerShell Remoting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T1021.006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wsmprovhost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winrshost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TA0009 Coleta · TA0010 Exfiltração · TA0011 C2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Coleta e staging (compactação)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T1560.001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arquivo grande compactado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Exfiltração por canal de rede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T1041 · T1048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3 → host externo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Exfiltração/C2 por túnel DNS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T1048.003 · T1071.004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22 (DnsQuery)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Lacuna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Beaconing de C2 (periódico)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T1071.001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Sysmon EID 3 (conexões periódicas)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</w:tbl>
    <w:p>
      <w:pPr>
        <w:spacing w:after="120"/>
      </w:pPr>
    </w:p>
    <w:p>
      <w:pPr>
        <w:pStyle w:val="Heading1"/>
        <w:spacing w:after="80" w:before="240"/>
      </w:pPr>
      <w:r>
        <w:t xml:space="preserve">TA0040 Impacto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MITRE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Evento / gatilho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Ransomware: alteração em massa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T1486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FIM (muitas modificações)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Deleção de shadow copies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T1490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color w:val="9A2D2D"/>
                <w:shd w:fill="F2F4F7" w:val="clear"/>
              </w:rPr>
              <w:t xml:space="preserve">vssadmin delete shadows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Validado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Parada de serviços críticos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T1489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System / Sysmon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 pronta</w:t>
            </w:r>
          </w:p>
        </w:tc>
      </w:tr>
    </w:tbl>
    <w:p>
      <w:pPr>
        <w:spacing w:after="120"/>
      </w:pPr>
    </w:p>
    <w:p>
      <w:pPr>
        <w:pBdr>
          <w:bottom w:val="single" w:color="1F4E79" w:sz="12"/>
        </w:pBdr>
        <w:spacing w:after="120" w:before="40"/>
      </w:pPr>
    </w:p>
    <w:p>
      <w:pPr>
        <w:pBdr>
          <w:left w:val="single" w:color="2E75B6" w:sz="18" w:space="8"/>
        </w:pBdr>
        <w:shd w:fill="F4F8FC" w:val="clear"/>
        <w:spacing w:after="60" w:before="60"/>
        <w:ind w:left="240"/>
      </w:pPr>
    </w:p>
    <w:p>
      <w:pPr>
        <w:spacing w:after="120" w:line="276"/>
      </w:pPr>
      <w:hyperlink w:history="1" r:id="rIdznxryld_fnd9t2rybdzow">
        <w:r>
          <w:rPr>
            <w:color w:val="2E75B6"/>
            <w:u w:val="single"/>
          </w:rPr>
          <w:t xml:space="preserve">◀ README</w:t>
        </w:r>
      </w:hyperlink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after="120"/>
    </w:pPr>
    <w:rPr>
      <w:b/>
      <w:bCs/>
      <w:color w:val="1F4E79"/>
      <w:sz w:val="40"/>
      <w:szCs w:val="4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nwjoygjc-z7ta_vwl6xw" Type="http://schemas.openxmlformats.org/officeDocument/2006/relationships/hyperlink" Target="../README.md" TargetMode="External"/><Relationship Id="rIdoymcciqlgbmvptqgmrao8" Type="http://schemas.openxmlformats.org/officeDocument/2006/relationships/hyperlink" Target="../docs/04-engenharia-de-deteccao.md" TargetMode="External"/><Relationship Id="rIdat4bt3vranblmu7weerds" Type="http://schemas.openxmlformats.org/officeDocument/2006/relationships/hyperlink" Target="../configs/wazuh/local_rules.xml" TargetMode="External"/><Relationship Id="rIdznxryld_fnd9t2rybdzow" Type="http://schemas.openxmlformats.org/officeDocument/2006/relationships/hyperlink" Target="../README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estudados</dc:title>
  <dc:creator>Tibbers</dc:creator>
  <cp:lastModifiedBy>Un-named</cp:lastModifiedBy>
  <cp:revision>1</cp:revision>
  <dcterms:created xsi:type="dcterms:W3CDTF">2026-10-01T19:32:39.032Z</dcterms:created>
  <dcterms:modified xsi:type="dcterms:W3CDTF">2026-10-01T19:32:39.032Z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