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01 — Ambiente de referência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ci3nj_kuy-4qs2pecvlqr">
        <w:r>
          <w:rPr>
            <w:color w:val="2E75B6"/>
            <w:u w:val="single"/>
          </w:rPr>
          <w:t xml:space="preserve">◀ Contexto</w:t>
        </w:r>
      </w:hyperlink>
    </w:p>
    <w:p>
      <w:pPr>
        <w:spacing w:after="120" w:line="276"/>
      </w:pPr>
      <w:r>
        <w:t xml:space="preserve">O estudo assume um ambiente corporativo pequeno, porém realista e </w:t>
      </w:r>
      <w:r>
        <w:rPr>
          <w:b/>
          <w:bCs/>
        </w:rPr>
        <w:t xml:space="preserve">totalmente isolado</w:t>
      </w:r>
      <w:r>
        <w:t xml:space="preserve"> —
suficiente para gerar a telemetria de todas as táticas estudadas. Este documento descreve o
ambiente de referência (o "sob o que" a pesquisa raciocina), não um roteiro de instalação.</w:t>
      </w:r>
    </w:p>
    <w:p>
      <w:pPr>
        <w:pStyle w:val="Heading1"/>
        <w:spacing w:after="80" w:before="240"/>
      </w:pPr>
      <w:r>
        <w:t xml:space="preserve">Rede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vSwitch interno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TIBBERS-LAB</w:t>
      </w:r>
      <w:r>
        <w:t xml:space="preserve"> (Hyper-V, tipo </w:t>
      </w:r>
      <w:r>
        <w:rPr>
          <w:i/>
          <w:iCs/>
        </w:rPr>
        <w:t xml:space="preserve">Internal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NAT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TIBBERS-NAT</w:t>
      </w:r>
      <w:r>
        <w:t xml:space="preserve"> 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10.20.0.0/24</w:t>
      </w:r>
      <w:r>
        <w:t xml:space="preserve"> (host =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10.20.0.1</w:t>
      </w:r>
      <w:r>
        <w:t xml:space="preserve">), só para updates/instalação.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Isolamento:</w:t>
      </w:r>
      <w:r>
        <w:t xml:space="preserve"> sem bridge com a placa física; a rede do estudo não toca a rede pessoal.</w:t>
      </w:r>
    </w:p>
    <w:p>
      <w:pPr>
        <w:spacing w:after="60"/>
      </w:pP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Internet --(NAT)--&gt; [ TIBBERS-LAB  10.20.0.0/24 ]   host/gateway = 10.20.0.1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dominio Windows = corp.tibbers.lab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wazuh(.10)  Manager+Indexer+Dashboard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dc01(.5) AD/DNS/GPO   srv01(.20) File/Print   ws01(.30) estacao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web01(.40) Nginx (Linux)            atacante(.50) ofensiva (so nos ensaios)</w:t>
      </w:r>
    </w:p>
    <w:p>
      <w:pPr>
        <w:spacing w:after="100"/>
      </w:pPr>
    </w:p>
    <w:p>
      <w:pPr>
        <w:pStyle w:val="Heading1"/>
        <w:spacing w:after="80" w:before="240"/>
      </w:pPr>
      <w:r>
        <w:t xml:space="preserve">Inventário de referência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wazuh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Ubuntu Server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Wazuh all-in-one (Manager + Indexer + Dashboard)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000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dc01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Windows Server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Domain Controller, DNS, GPOs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10.20.0.5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sim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srv01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Windows Server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File/Print server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10.20.0.20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sim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ws01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Windows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Estação de usuário (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jdoe</w:t>
            </w:r>
            <w:r>
              <w:t xml:space="preserve">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10.20.0.30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sim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web01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Ubuntu Server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Servidor web Nginx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10.20.0.40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sim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atacante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Kali Linux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Estação ofensiva (ligada </w:t>
            </w:r>
            <w:r>
              <w:rPr>
                <w:b/>
                <w:bCs/>
              </w:rPr>
              <w:t xml:space="preserve">só</w:t>
            </w:r>
            <w:r>
              <w:t xml:space="preserve"> nos ensaios)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10.20.0.50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não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p>
      <w:pPr>
        <w:pStyle w:val="Heading1"/>
        <w:spacing w:after="80" w:before="240"/>
      </w:pPr>
      <w:r>
        <w:t xml:space="preserve">Domínio e identidades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Floresta/domínio </w:t>
      </w: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corp.tibbers.lab</w:t>
      </w:r>
      <w:r>
        <w:t xml:space="preserve">, com OUs para contas e servidores.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Usuário comum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jdoe</w:t>
      </w:r>
      <w:r>
        <w:t xml:space="preserve">; conta de serviço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svc_app</w:t>
      </w:r>
      <w:r>
        <w:t xml:space="preserve"> </w:t>
      </w:r>
      <w:r>
        <w:rPr>
          <w:b/>
          <w:bCs/>
        </w:rPr>
        <w:t xml:space="preserve">com SPN</w:t>
      </w:r>
      <w:r>
        <w:t xml:space="preserve"> (necessária para o estudo de
Kerberoasting).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Auditoria avançada habilitada por GPO (logon, Kerberos, criação de serviço, mudanças em
objetos do AD) — é o que alimenta boa parte das detecções.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Papel do Wazuh (núcleo)</w:t>
      </w:r>
    </w:p>
    <w:p>
      <w:pPr>
        <w:spacing w:after="120" w:line="276"/>
      </w:pPr>
      <w:r>
        <w:t xml:space="preserve">O Wazuh concentra, numa única plataforma open source, capacidades que normalmente exigiriam
vários produtos: SIEM (análise/correlação de logs), XDR (detecção/resposta em endpoint), FIM
(integridade de arquivos), SCA (avaliação de configuração/CIS) e detecção de vulnerabilidades
por inventário de software. A arquitetura </w:t>
      </w:r>
      <w:r>
        <w:rPr>
          <w:b/>
          <w:bCs/>
        </w:rPr>
        <w:t xml:space="preserve">Manager + Indexer + Dashboard</w:t>
      </w:r>
      <w:r>
        <w:t xml:space="preserve"> escala do host
único a milhares de agentes sem troca de tecnologia.</w:t>
      </w:r>
    </w:p>
    <w:p>
      <w:pPr>
        <w:pStyle w:val="Heading1"/>
        <w:spacing w:after="80" w:before="240"/>
      </w:pPr>
      <w:r>
        <w:t xml:space="preserve">Credenciais fictícias</w:t>
      </w: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Conta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Usuário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Senha (fictícia)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Admin local/domínio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Administrator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T!bbers#Lab2026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Usuário de domínio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jdoe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Usuario#2026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Conta de serviço (SPN)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svc_app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Servico#2026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Convenções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Dados pesados (imagens de SO, discos de VM) ficariam fora do versionamento.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Ferramentas ofensivas </w:t>
      </w:r>
      <w:r>
        <w:rPr>
          <w:b/>
          <w:bCs/>
        </w:rPr>
        <w:t xml:space="preserve">só</w:t>
      </w:r>
      <w:r>
        <w:t xml:space="preserve"> na estação dedicada, nunca nos demais hosts.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Parâmetros do ambiente (rede, inventário) tratados como fonte única de verdade.</w:t>
      </w:r>
    </w:p>
    <w:p>
      <w:pPr>
        <w:spacing w:after="60"/>
      </w:pPr>
    </w:p>
    <w:p>
      <w:pPr>
        <w:spacing w:after="120" w:line="276"/>
      </w:pPr>
      <w:hyperlink w:history="1" r:id="rId1s1sj6khoayelmsxvgpuk">
        <w:r>
          <w:rPr>
            <w:color w:val="2E75B6"/>
            <w:u w:val="single"/>
          </w:rPr>
          <w:t xml:space="preserve">◀ Contexto</w:t>
        </w:r>
      </w:hyperlink>
      <w:r>
        <w:t xml:space="preserve"> · </w:t>
      </w:r>
      <w:hyperlink w:history="1" r:id="rIdulbswi6ysl665luscgtzs">
        <w:r>
          <w:rPr>
            <w:color w:val="2E75B6"/>
            <w:u w:val="single"/>
          </w:rPr>
          <w:t xml:space="preserve">Metodologia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i3nj_kuy-4qs2pecvlqr" Type="http://schemas.openxmlformats.org/officeDocument/2006/relationships/hyperlink" Target="00-contexto-e-escopo.md" TargetMode="External"/><Relationship Id="rId1s1sj6khoayelmsxvgpuk" Type="http://schemas.openxmlformats.org/officeDocument/2006/relationships/hyperlink" Target="00-contexto-e-escopo.md" TargetMode="External"/><Relationship Id="rIdulbswi6ysl665luscgtzs" Type="http://schemas.openxmlformats.org/officeDocument/2006/relationships/hyperlink" Target="02-metodologia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Ambiente de referência</dc:title>
  <dc:creator>Tibbers</dc:creator>
  <cp:lastModifiedBy>Un-named</cp:lastModifiedBy>
  <cp:revision>1</cp:revision>
  <dcterms:created xsi:type="dcterms:W3CDTF">2026-10-01T19:32:37.561Z</dcterms:created>
  <dcterms:modified xsi:type="dcterms:W3CDTF">2026-10-01T19:32:37.561Z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