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02 — Metodologia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1u8temzoeuxx4rfrvmz0q">
        <w:r>
          <w:rPr>
            <w:color w:val="2E75B6"/>
            <w:u w:val="single"/>
          </w:rPr>
          <w:t xml:space="preserve">◀ Ambiente</w:t>
        </w:r>
      </w:hyperlink>
    </w:p>
    <w:p>
      <w:pPr>
        <w:spacing w:after="120" w:line="276"/>
      </w:pPr>
      <w:r>
        <w:t xml:space="preserve">Cada afirmação deste estudo — "esta técnica é detectada por esta regra" — segue o mesmo rito,
para ser </w:t>
      </w:r>
      <w:r>
        <w:rPr>
          <w:b/>
          <w:bCs/>
        </w:rPr>
        <w:t xml:space="preserve">reproduzível e auditável</w:t>
      </w:r>
      <w:r>
        <w:t xml:space="preserve">, e não apenas uma alegação de cobertura.</w:t>
      </w:r>
    </w:p>
    <w:p>
      <w:pPr>
        <w:pStyle w:val="Heading1"/>
        <w:spacing w:after="80" w:before="240"/>
      </w:pPr>
      <w:r>
        <w:t xml:space="preserve">Rito por técnica</w:t>
      </w:r>
    </w:p>
    <w:p>
      <w:pPr>
        <w:spacing w:after="40" w:line="264"/>
      </w:pPr>
      <w:r>
        <w:rPr>
          <w:b/>
          <w:bCs/>
        </w:rPr>
        <w:t xml:space="preserve">1. </w:t>
      </w:r>
      <w:r>
        <w:rPr>
          <w:b/>
          <w:bCs/>
        </w:rPr>
        <w:t xml:space="preserve">Mapear a telemetria.</w:t>
      </w:r>
      <w:r>
        <w:t xml:space="preserve"> Identificar o evento que registra a técnica e o campo onde mora o
indicador (ex.: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ticketEncryptionType</w:t>
      </w:r>
      <w:r>
        <w:t xml:space="preserve"> em um 4769;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destinationIp</w:t>
      </w:r>
      <w:r>
        <w:t xml:space="preserve"> em um Sysmon EID 3).</w:t>
      </w:r>
    </w:p>
    <w:p>
      <w:pPr>
        <w:spacing w:after="40" w:line="264"/>
      </w:pPr>
      <w:r>
        <w:rPr>
          <w:b/>
          <w:bCs/>
        </w:rPr>
        <w:t xml:space="preserve">2. </w:t>
      </w:r>
      <w:r>
        <w:rPr>
          <w:b/>
          <w:bCs/>
        </w:rPr>
        <w:t xml:space="preserve">Escrever a regra.</w:t>
      </w:r>
      <w:r>
        <w:t xml:space="preserve"> Ancorar no "pai" correto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if_group</w:t>
      </w:r>
      <w:r>
        <w:t xml:space="preserve">) e casar pelo campo.</w:t>
      </w:r>
    </w:p>
    <w:p>
      <w:pPr>
        <w:spacing w:after="40" w:line="264"/>
      </w:pPr>
      <w:r>
        <w:rPr>
          <w:b/>
          <w:bCs/>
        </w:rPr>
        <w:t xml:space="preserve">3. </w:t>
      </w:r>
      <w:r>
        <w:rPr>
          <w:b/>
          <w:bCs/>
        </w:rPr>
        <w:t xml:space="preserve">Validar o ruleset.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wazuh-analysisd -t</w:t>
      </w:r>
      <w:r>
        <w:t xml:space="preserve"> garante que a regra carrega sem erro de
sintaxe (um erro derruba o manager).</w:t>
      </w:r>
    </w:p>
    <w:p>
      <w:pPr>
        <w:spacing w:after="40" w:line="264"/>
      </w:pPr>
      <w:r>
        <w:rPr>
          <w:b/>
          <w:bCs/>
        </w:rPr>
        <w:t xml:space="preserve">4. </w:t>
      </w:r>
      <w:r>
        <w:rPr>
          <w:b/>
          <w:bCs/>
        </w:rPr>
        <w:t xml:space="preserve">Validar o casamento.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wazuh-logtest</w:t>
      </w:r>
      <w:r>
        <w:t xml:space="preserve"> mostra, para um evento real, os campos
decodificados (Fase 2) e a regra que casou (Fase 3).</w:t>
      </w:r>
    </w:p>
    <w:p>
      <w:pPr>
        <w:spacing w:after="40" w:line="264"/>
      </w:pPr>
      <w:r>
        <w:rPr>
          <w:b/>
          <w:bCs/>
        </w:rPr>
        <w:t xml:space="preserve">5. </w:t>
      </w:r>
      <w:r>
        <w:rPr>
          <w:b/>
          <w:bCs/>
        </w:rPr>
        <w:t xml:space="preserve">Gerar o evento.</w:t>
      </w:r>
      <w:r>
        <w:t xml:space="preserve"> Executar a técnica a partir da estação ofensiva — ou simular de forma
benigna no endpoint — e confirmar o alerta 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alerts.json</w:t>
      </w:r>
      <w:r>
        <w:t xml:space="preserve">/Dashboard.</w:t>
      </w:r>
    </w:p>
    <w:p>
      <w:pPr>
        <w:spacing w:after="40" w:line="264"/>
      </w:pPr>
      <w:r>
        <w:rPr>
          <w:b/>
          <w:bCs/>
        </w:rPr>
        <w:t xml:space="preserve">6. </w:t>
      </w:r>
      <w:r>
        <w:rPr>
          <w:b/>
          <w:bCs/>
        </w:rPr>
        <w:t xml:space="preserve">Registrar o achado.</w:t>
      </w:r>
      <w:r>
        <w:t xml:space="preserve"> Nível, falsos positivos observados e a resposta cabível.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Ferramentas de diagnóstico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wazuh-analysisd -t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Valida o ruleset antes de aplicar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wazuh-logtest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Prova, para um evento, qual regra casa e com quais campos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&lt;logall_json&gt;</w:t>
            </w:r>
            <w:r>
              <w:t xml:space="preserve"> (temporário)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Confirma se o evento chega ao manager antes de ser descartado — </w:t>
            </w:r>
            <w:r>
              <w:rPr>
                <w:b/>
                <w:bCs/>
              </w:rPr>
              <w:t xml:space="preserve">desligar depois</w:t>
            </w:r>
            <w:r>
              <w:t xml:space="preserve">, enche disco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Critério de "detecção confiável"</w:t>
      </w:r>
    </w:p>
    <w:p>
      <w:pPr>
        <w:spacing w:after="120" w:line="276"/>
      </w:pPr>
      <w:r>
        <w:t xml:space="preserve">Uma detecção só é considerada boa quando: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dispara no </w:t>
      </w:r>
      <w:r>
        <w:rPr>
          <w:b/>
          <w:bCs/>
        </w:rPr>
        <w:t xml:space="preserve">evento certo</w:t>
      </w:r>
      <w:r>
        <w:t xml:space="preserve"> com </w:t>
      </w:r>
      <w:r>
        <w:rPr>
          <w:b/>
          <w:bCs/>
        </w:rPr>
        <w:t xml:space="preserve">nível adequado</w:t>
      </w:r>
      <w:r>
        <w:t xml:space="preserve"> (acima do limiar de alerta);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não</w:t>
      </w:r>
      <w:r>
        <w:t xml:space="preserve"> é engolida por uma regra genérica de nível baixo (problema de ancoragem);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tem </w:t>
      </w:r>
      <w:r>
        <w:rPr>
          <w:b/>
          <w:bCs/>
        </w:rPr>
        <w:t xml:space="preserve">falsos positivos conhecidos e tratáveis</w:t>
      </w:r>
      <w:r>
        <w:t xml:space="preserve"> (allowlist ou refinamento de campo);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tem uma </w:t>
      </w:r>
      <w:r>
        <w:rPr>
          <w:b/>
          <w:bCs/>
        </w:rPr>
        <w:t xml:space="preserve">resposta associada</w:t>
      </w:r>
      <w:r>
        <w:t xml:space="preserve"> viável (lockout, bloqueio de IP, investigação, patch).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Classificação de maturidade de cada caso</w:t>
      </w:r>
    </w:p>
    <w:p>
      <w:pPr>
        <w:spacing w:after="120" w:line="276"/>
      </w:pPr>
      <w:r>
        <w:t xml:space="preserve">Para ser honesto sobre o que está provado, cada técnica estudada recebe um status: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Validado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Regra implantada </w:t>
            </w:r>
            <w:r>
              <w:rPr>
                <w:b/>
                <w:bCs/>
              </w:rPr>
              <w:t xml:space="preserve">e</w:t>
            </w:r>
            <w:r>
              <w:t xml:space="preserve"> alerta real observado (evidência)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Parcial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Detecção pronta; a execução do ataque foi contida por um controle (ex.: o próprio hardening)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Regra pronta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Regra validada no ruleset, aguardando gatilho/telemetria para evidência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Lacuna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Detecção ainda não fecha (campo ausente na telemetria ou ajuste de regra pendente)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Geração benigna de eventos</w:t>
      </w:r>
    </w:p>
    <w:p>
      <w:pPr>
        <w:spacing w:after="120" w:line="276"/>
      </w:pPr>
      <w:r>
        <w:t xml:space="preserve">Nem toda técnica exige um ataque real: criar um serviço (persistência) ou mudar o estado de
um serviço (anti-forense) pode ser reproduzido com artefatos inócuos, evitando ações
destrutivas e mantendo o foco na telemetria. Ações sensíveis (ex.: dump de credenciais) são
estudadas pelo lado do </w:t>
      </w:r>
      <w:r>
        <w:rPr>
          <w:b/>
          <w:bCs/>
        </w:rPr>
        <w:t xml:space="preserve">controle</w:t>
      </w:r>
      <w:r>
        <w:t xml:space="preserve"> que as bloqueia, não pela execução ofensiva.</w:t>
      </w:r>
    </w:p>
    <w:p>
      <w:pPr>
        <w:spacing w:after="120" w:line="276"/>
      </w:pPr>
      <w:hyperlink w:history="1" r:id="rIdceybhueut2bn__xq05ugx">
        <w:r>
          <w:rPr>
            <w:color w:val="2E75B6"/>
            <w:u w:val="single"/>
          </w:rPr>
          <w:t xml:space="preserve">◀ Ambiente</w:t>
        </w:r>
      </w:hyperlink>
      <w:r>
        <w:t xml:space="preserve"> · </w:t>
      </w:r>
      <w:hyperlink w:history="1" r:id="rIdovjidgrlwexk_twitithw">
        <w:r>
          <w:rPr>
            <w:color w:val="2E75B6"/>
            <w:u w:val="single"/>
          </w:rPr>
          <w:t xml:space="preserve">Telemetria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u8temzoeuxx4rfrvmz0q" Type="http://schemas.openxmlformats.org/officeDocument/2006/relationships/hyperlink" Target="01-ambiente-de-referencia.md" TargetMode="External"/><Relationship Id="rIdceybhueut2bn__xq05ugx" Type="http://schemas.openxmlformats.org/officeDocument/2006/relationships/hyperlink" Target="01-ambiente-de-referencia.md" TargetMode="External"/><Relationship Id="rIdovjidgrlwexk_twitithw" Type="http://schemas.openxmlformats.org/officeDocument/2006/relationships/hyperlink" Target="03-telemetria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Metodologia</dc:title>
  <dc:creator>Tibbers</dc:creator>
  <cp:lastModifiedBy>Un-named</cp:lastModifiedBy>
  <cp:revision>1</cp:revision>
  <dcterms:created xsi:type="dcterms:W3CDTF">2026-10-01T19:32:37.768Z</dcterms:created>
  <dcterms:modified xsi:type="dcterms:W3CDTF">2026-10-01T19:32:37.768Z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