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color w:val="1F4E79"/>
        </w:rPr>
        <w:t xml:space="preserve">04 — Engenharia de detecção</w:t>
      </w:r>
    </w:p>
    <w:p>
      <w:pPr>
        <w:pBdr>
          <w:bottom w:val="single" w:color="1F4E79" w:sz="12"/>
        </w:pBdr>
        <w:spacing w:after="120" w:before="40"/>
      </w:pPr>
    </w:p>
    <w:p>
      <w:pPr>
        <w:spacing w:after="120" w:line="276"/>
      </w:pPr>
      <w:hyperlink w:history="1" r:id="rId30ph-b5olmbjc9isyt9dw">
        <w:r>
          <w:rPr>
            <w:color w:val="2E75B6"/>
            <w:u w:val="single"/>
          </w:rPr>
          <w:t xml:space="preserve">◀ Telemetria</w:t>
        </w:r>
      </w:hyperlink>
    </w:p>
    <w:p>
      <w:pPr>
        <w:spacing w:after="120" w:line="276"/>
      </w:pPr>
      <w:r>
        <w:t xml:space="preserve">O núcleo do estudo. Escrever uma regra que "parece certa" é fácil; escrever uma que </w:t>
      </w:r>
      <w:r>
        <w:rPr>
          <w:b/>
          <w:bCs/>
        </w:rPr>
        <w:t xml:space="preserve">dispara
de verdade</w:t>
      </w:r>
      <w:r>
        <w:t xml:space="preserve">, no nível certo e sem ruído, é o trabalho real. Aqui estão os princípios e as
armadilhas, destilados da prática.</w:t>
      </w:r>
    </w:p>
    <w:p>
      <w:pPr>
        <w:pStyle w:val="Heading1"/>
        <w:spacing w:after="80" w:before="240"/>
      </w:pPr>
      <w:r>
        <w:t xml:space="preserve">Princípio 1 — Ancoragem no pai</w:t>
      </w:r>
    </w:p>
    <w:p>
      <w:pPr>
        <w:spacing w:after="120" w:line="276"/>
      </w:pPr>
      <w:r>
        <w:t xml:space="preserve">Regras do Windows que casam por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&lt;field&gt;</w:t>
      </w:r>
      <w:r>
        <w:t xml:space="preserve"> </w:t>
      </w:r>
      <w:r>
        <w:rPr>
          <w:b/>
          <w:bCs/>
        </w:rPr>
        <w:t xml:space="preserve">precisam</w:t>
      </w:r>
      <w:r>
        <w:t xml:space="preserve"> do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&lt;if_sid&gt;</w:t>
      </w:r>
      <w:r>
        <w:t xml:space="preserve"> (ou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&lt;if_group&gt;</w:t>
      </w:r>
      <w:r>
        <w:t xml:space="preserve">) da
built-in que decodifica o evento. Sem isso, o alerta cai em uma regra genérica de nível &lt; 3 e
</w:t>
      </w:r>
      <w:r>
        <w:rPr>
          <w:b/>
          <w:bCs/>
        </w:rPr>
        <w:t xml:space="preserve">nunca aparece</w:t>
      </w:r>
      <w:r>
        <w:t xml:space="preserve"> no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alerts.json</w:t>
      </w:r>
      <w:r>
        <w:t xml:space="preserve">. Esta é a causa nº 1 de "a regra não dispara".</w:t>
      </w:r>
    </w:p>
    <w:p>
      <w:pPr>
        <w:spacing w:after="120" w:line="276"/>
      </w:pPr>
      <w:r>
        <w:t xml:space="preserve">Pais usados ao longo do estudo: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Evento</w:t>
            </w:r>
          </w:p>
        </w:tc>
        <w:tc>
          <w:tcPr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Pai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hd w:fill="F2F4F7" w:val="clear"/>
              </w:rPr>
              <w:t xml:space="preserve">if_sid</w:t>
            </w:r>
            <w:r>
              <w:rPr>
                <w:b/>
                <w:bCs/>
                <w:color w:val="FFFFFF"/>
              </w:rPr>
              <w:t xml:space="preserve">/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hd w:fill="F2F4F7" w:val="clear"/>
              </w:rPr>
              <w:t xml:space="preserve">if_group</w:t>
            </w:r>
            <w:r>
              <w:rPr>
                <w:b/>
                <w:bCs/>
                <w:color w:val="FFFFFF"/>
              </w:rPr>
              <w:t xml:space="preserve">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4625 repetido (brute force)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60204</w:t>
            </w:r>
            <w:r>
              <w:t xml:space="preserve"> (frequência built-in)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4769 (TGS Kerberos)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60103</w:t>
            </w:r>
            <w:r>
              <w:t xml:space="preserve"> (cadeia do canal Security)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4688 e demais do canal Security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60103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4720 (criação de conta)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60109</w:t>
            </w:r>
            <w:r>
              <w:t xml:space="preserve"> (built-in dedicada)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7045 (novo serviço)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61138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7040 (serviço alterado)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61104</w:t>
            </w:r>
            <w:r>
              <w:t xml:space="preserve"> (estado no campo 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param3</w:t>
            </w:r>
            <w:r>
              <w:t xml:space="preserve">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Sysmon EID 1..9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grupo 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sysmon_event1</w:t>
            </w:r>
            <w:r>
              <w:t xml:space="preserve">..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sysmon_event9</w:t>
            </w:r>
            <w:r>
              <w:t xml:space="preserve"> (sem 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_</w:t>
            </w:r>
            <w:r>
              <w:t xml:space="preserve">)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Sysmon EID 10..26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grupo 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sysmon_event_10</w:t>
            </w:r>
            <w:r>
              <w:t xml:space="preserve">..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sysmon_event_26</w:t>
            </w:r>
            <w:r>
              <w:t xml:space="preserve"> (com 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_</w:t>
            </w:r>
            <w:r>
              <w:t xml:space="preserve">)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Sysmon EID 3 (rede)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92101</w:t>
            </w:r>
            <w:r>
              <w:t xml:space="preserve"> / grupo </w:t>
            </w:r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sysmon_event3</w:t>
            </w:r>
          </w:p>
        </w:tc>
      </w:tr>
      <w:tr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PowerShell script block</w:t>
            </w:r>
          </w:p>
        </w:tc>
        <w:tc>
          <w:tcPr>
            <w:shd w:fill="EEF3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91802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Web (access.log)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A2D2D"/>
                <w:shd w:fill="F2F4F7" w:val="clear"/>
              </w:rPr>
              <w:t xml:space="preserve">31100</w:t>
            </w:r>
          </w:p>
        </w:tc>
      </w:tr>
    </w:tbl>
    <w:p>
      <w:pPr>
        <w:spacing w:after="120"/>
      </w:pPr>
    </w:p>
    <w:p>
      <w:pPr>
        <w:pBdr>
          <w:left w:val="single" w:color="2E75B6" w:sz="18" w:space="8"/>
        </w:pBdr>
        <w:shd w:fill="F4F8FC" w:val="clear"/>
        <w:spacing w:after="60" w:before="60"/>
        <w:ind w:left="240"/>
      </w:pPr>
    </w:p>
    <w:p>
      <w:pPr>
        <w:pStyle w:val="Heading1"/>
        <w:spacing w:after="80" w:before="240"/>
      </w:pPr>
      <w:r>
        <w:t xml:space="preserve">Princípio 2 — O campo é a precisão</w:t>
      </w:r>
    </w:p>
    <w:p>
      <w:pPr>
        <w:spacing w:after="120" w:line="276"/>
      </w:pPr>
      <w:r>
        <w:t xml:space="preserve">Depois de ancorar, a regra discrimina pelo campo que carrega o indicador — por exemplo, um
4769 só interessa quando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ticketEncryptionType = 0x17</w:t>
      </w:r>
      <w:r>
        <w:t xml:space="preserve"> (RC4). Dois cuidados reais: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onsolas" w:cs="Consolas" w:eastAsia="Consolas" w:hAnsi="Consolas"/>
          <w:b/>
          <w:bCs/>
          <w:color w:val="9A2D2D"/>
          <w:shd w:fill="F2F4F7" w:val="clear"/>
        </w:rPr>
        <w:t xml:space="preserve">grantedAccess</w:t>
      </w:r>
      <w:r>
        <w:rPr>
          <w:b/>
          <w:bCs/>
        </w:rPr>
        <w:t xml:space="preserve"> precisa de âncora exata.</w:t>
      </w:r>
      <w:r>
        <w:t xml:space="preserve"> Ao detectar acesso a LSASS (Sysmon EID 10), um
padrão frouxo casa dentro de valores maiores (ex.: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0x1010</w:t>
      </w:r>
      <w:r>
        <w:t xml:space="preserve"> casa dentro de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0x101000</w:t>
      </w:r>
      <w:r>
        <w:t xml:space="preserve">,
gerando falso positivo no próprio antivírus). Ancorar o valor (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^0x...$</w:t>
      </w:r>
      <w:r>
        <w:t xml:space="preserve">) e excluir caminhos
legítimos.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O campo </w:t>
      </w:r>
      <w:r>
        <w:rPr>
          <w:rFonts w:ascii="Consolas" w:cs="Consolas" w:eastAsia="Consolas" w:hAnsi="Consolas"/>
          <w:b/>
          <w:bCs/>
          <w:color w:val="9A2D2D"/>
          <w:shd w:fill="F2F4F7" w:val="clear"/>
        </w:rPr>
        <w:t xml:space="preserve">url</w:t>
      </w:r>
      <w:r>
        <w:rPr>
          <w:b/>
          <w:bCs/>
        </w:rPr>
        <w:t xml:space="preserve"> é estático.</w:t>
      </w:r>
      <w:r>
        <w:t xml:space="preserve"> Usar a tag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&lt;url type="pcre2"&gt;</w:t>
      </w:r>
      <w:r>
        <w:t xml:space="preserve">;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&lt;field name="url"&gt;</w:t>
      </w:r>
      <w:r>
        <w:t xml:space="preserve"> dá erro
"Field 'url' is static" e </w:t>
      </w:r>
      <w:r>
        <w:rPr>
          <w:b/>
          <w:bCs/>
        </w:rPr>
        <w:t xml:space="preserve">derruba o manager</w:t>
      </w:r>
      <w:r>
        <w:t xml:space="preserve">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Princípio 3 — Correlação pede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if_matched</w:t>
      </w:r>
    </w:p>
    <w:p>
      <w:pPr>
        <w:spacing w:after="120" w:line="276"/>
      </w:pPr>
      <w:r>
        <w:t xml:space="preserve">Regras de frequência/correlação (várias ocorrências do mesmo campo numa janela) usam
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if_matched_sid</w:t>
      </w:r>
      <w:r>
        <w:t xml:space="preserve">/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if_matched_group</w:t>
      </w:r>
      <w:r>
        <w:t xml:space="preserve"> — </w:t>
      </w:r>
      <w:r>
        <w:rPr>
          <w:b/>
          <w:bCs/>
        </w:rPr>
        <w:t xml:space="preserve">não</w:t>
      </w:r>
      <w:r>
        <w:t xml:space="preserve">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if_sid</w:t>
      </w:r>
      <w:r>
        <w:t xml:space="preserve">/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if_group</w:t>
      </w:r>
      <w:r>
        <w:t xml:space="preserve">. Trocar isso gera "Missing
if_matched" e o ruleset não carrega. Exemplo clássico: password spraying = mesma origem,
usuários diferentes, numa janela.</w:t>
      </w:r>
    </w:p>
    <w:p>
      <w:pPr>
        <w:pStyle w:val="Heading1"/>
        <w:spacing w:after="80" w:before="240"/>
      </w:pPr>
      <w:r>
        <w:t xml:space="preserve">Princípio 4 — Casar por localização positiva, não por negação</w:t>
      </w:r>
    </w:p>
    <w:p>
      <w:pPr>
        <w:spacing w:after="120" w:line="276"/>
      </w:pPr>
      <w:r>
        <w:t xml:space="preserve">Para pegar binários em caminhos anômalos (masquerading), negative-lookahead e negação por
campo duplicado tendem a falhar no matcher (produzem falso positivo em binários legítimos de
sistema). O que funciona é o </w:t>
      </w:r>
      <w:r>
        <w:rPr>
          <w:b/>
          <w:bCs/>
        </w:rPr>
        <w:t xml:space="preserve">casamento positivo</w:t>
      </w:r>
      <w:r>
        <w:t xml:space="preserve"> por localização suspeita (Temp, AppData,
diretórios de usuário). Muitas vezes a built-in </w:t>
      </w:r>
      <w:r>
        <w:rPr>
          <w:i/>
          <w:iCs/>
        </w:rPr>
        <w:t xml:space="preserve">path-aware</w:t>
      </w:r>
      <w:r>
        <w:t xml:space="preserve"> (ex.: 61618/61625) já cobre o
caso melhor que uma regra nova.</w:t>
      </w:r>
    </w:p>
    <w:p>
      <w:pPr>
        <w:pStyle w:val="Heading1"/>
        <w:spacing w:after="80" w:before="240"/>
      </w:pPr>
      <w:r>
        <w:t xml:space="preserve">Princípio 5 — Nível condiz com o risco</w:t>
      </w:r>
    </w:p>
    <w:p>
      <w:pPr>
        <w:spacing w:after="120" w:line="276"/>
      </w:pPr>
      <w:r>
        <w:t xml:space="preserve">Uma regra correta num nível abaixo do limiar de alerta é, na prática, invisível. O nível
comunica prioridade ao analista — calibrá-lo ao risco da técnica (e às vezes escalar de uma
built-in de nível baixo para um alerta de verdade).</w:t>
      </w:r>
    </w:p>
    <w:p>
      <w:pPr>
        <w:pStyle w:val="Heading1"/>
        <w:spacing w:after="80" w:before="240"/>
      </w:pPr>
      <w:r>
        <w:t xml:space="preserve">A armadilha do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srcip</w:t>
      </w:r>
      <w:r>
        <w:t xml:space="preserve"> no Windows</w:t>
      </w:r>
    </w:p>
    <w:p>
      <w:pPr>
        <w:spacing w:after="120" w:line="276"/>
      </w:pPr>
      <w:r>
        <w:t xml:space="preserve">Eventos do canal Windows </w:t>
      </w:r>
      <w:r>
        <w:rPr>
          <w:b/>
          <w:bCs/>
        </w:rPr>
        <w:t xml:space="preserve">não populam </w:t>
      </w:r>
      <w:r>
        <w:rPr>
          <w:rFonts w:ascii="Consolas" w:cs="Consolas" w:eastAsia="Consolas" w:hAnsi="Consolas"/>
          <w:b/>
          <w:bCs/>
          <w:color w:val="9A2D2D"/>
          <w:shd w:fill="F2F4F7" w:val="clear"/>
        </w:rPr>
        <w:t xml:space="preserve">srcip</w:t>
      </w:r>
      <w:r>
        <w:t xml:space="preserve"> (o IP vem em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win.eventdata.ipAddress</w:t>
      </w:r>
      <w:r>
        <w:t xml:space="preserve">).
Consequências diretas: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correlação por IP usa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same_field</w:t>
      </w:r>
      <w:r>
        <w:t xml:space="preserve"> sobre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win.eventdata.ipAddress</w:t>
      </w:r>
      <w:r>
        <w:t xml:space="preserve">, não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same_source_ip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a resposta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firewall-drop</w:t>
      </w:r>
      <w:r>
        <w:t xml:space="preserve"> (que extrai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srcip</w:t>
      </w:r>
      <w:r>
        <w:t xml:space="preserve">) </w:t>
      </w:r>
      <w:r>
        <w:rPr>
          <w:b/>
          <w:bCs/>
        </w:rPr>
        <w:t xml:space="preserve">não se aplica</w:t>
      </w:r>
      <w:r>
        <w:t xml:space="preserve"> a alertas Windows — ali a
contenção é no plano de identidade (</w:t>
      </w:r>
      <w:r>
        <w:rPr>
          <w:b/>
          <w:bCs/>
        </w:rPr>
        <w:t xml:space="preserve">lockout via GPO</w:t>
      </w:r>
      <w:r>
        <w:t xml:space="preserve">). 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firewall-drop</w:t>
      </w:r>
      <w:r>
        <w:t xml:space="preserve"> fica para
alertas </w:t>
      </w:r>
      <w:r>
        <w:rPr>
          <w:b/>
          <w:bCs/>
        </w:rPr>
        <w:t xml:space="preserve">com</w:t>
      </w:r>
      <w:r>
        <w:t xml:space="preserve">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srcip</w:t>
      </w:r>
      <w:r>
        <w:t xml:space="preserve"> (tráfego Linux/rede).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Precedência de regras</w:t>
      </w:r>
    </w:p>
    <w:p>
      <w:pPr>
        <w:spacing w:after="120" w:line="276"/>
      </w:pPr>
      <w:r>
        <w:t xml:space="preserve">Quando uma built-in já casa o evento com bom nível, uma regra customizada redundante pode
ser desnecessária (gera alerta duplicado) ou precisa escalar explicitamente da built-in. E
cuidado com filtros que vencem antes: por exemplo, uma blacklist de </w:t>
      </w:r>
      <w:r>
        <w:rPr>
          <w:i/>
          <w:iCs/>
        </w:rPr>
        <w:t xml:space="preserve">User-Agent</w:t>
      </w:r>
      <w:r>
        <w:t xml:space="preserve"> pode casar
(e silenciar) um teste de SQLi feito com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sqlmap</w:t>
      </w:r>
      <w:r>
        <w:t xml:space="preserve">/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wget</w:t>
      </w:r>
      <w:r>
        <w:t xml:space="preserve"> antes da regra de SQLi — testar com
UA de navegador.</w:t>
      </w:r>
    </w:p>
    <w:p>
      <w:pPr>
        <w:pStyle w:val="Heading1"/>
        <w:spacing w:after="80" w:before="240"/>
      </w:pPr>
      <w:r>
        <w:t xml:space="preserve">Ferramentas que provam o comportamento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onsolas" w:cs="Consolas" w:eastAsia="Consolas" w:hAnsi="Consolas"/>
          <w:color w:val="9A2D2D"/>
          <w:shd w:fill="F2F4F7" w:val="clear"/>
        </w:rPr>
        <w:t xml:space="preserve">wazuh-analysisd -t</w:t>
      </w:r>
      <w:r>
        <w:t xml:space="preserve"> — valida o ruleset (sintaxe/carga).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onsolas" w:cs="Consolas" w:eastAsia="Consolas" w:hAnsi="Consolas"/>
          <w:color w:val="9A2D2D"/>
          <w:shd w:fill="F2F4F7" w:val="clear"/>
        </w:rPr>
        <w:t xml:space="preserve">wazuh-logtest</w:t>
      </w:r>
      <w:r>
        <w:t xml:space="preserve"> — Fase 2 mostra os campos decodificados; Fase 3 mostra a regra que casou.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onsolas" w:cs="Consolas" w:eastAsia="Consolas" w:hAnsi="Consolas"/>
          <w:color w:val="9A2D2D"/>
          <w:shd w:fill="F2F4F7" w:val="clear"/>
        </w:rPr>
        <w:t xml:space="preserve">&lt;logall_json&gt;</w:t>
      </w:r>
      <w:r>
        <w:t xml:space="preserve"> temporário — confirma se o evento chega ao manager (antes de ser descartado
por nível). </w:t>
      </w:r>
      <w:r>
        <w:rPr>
          <w:b/>
          <w:bCs/>
        </w:rPr>
        <w:t xml:space="preserve">Desligar depois</w:t>
      </w:r>
      <w:r>
        <w:t xml:space="preserve">: enche disco.</w:t>
      </w:r>
    </w:p>
    <w:p>
      <w:pPr>
        <w:spacing w:after="60"/>
      </w:pPr>
    </w:p>
    <w:p>
      <w:pPr>
        <w:spacing w:after="120" w:line="276"/>
      </w:pPr>
      <w:hyperlink w:history="1" r:id="rIdonf_vknjs3pzawtpdw407">
        <w:r>
          <w:rPr>
            <w:color w:val="2E75B6"/>
            <w:u w:val="single"/>
          </w:rPr>
          <w:t xml:space="preserve">◀ Telemetria</w:t>
        </w:r>
      </w:hyperlink>
      <w:r>
        <w:t xml:space="preserve"> · </w:t>
      </w:r>
      <w:hyperlink w:history="1" r:id="rIdia5b-a3g1sqbmxye2ni3c">
        <w:r>
          <w:rPr>
            <w:color w:val="2E75B6"/>
            <w:u w:val="single"/>
          </w:rPr>
          <w:t xml:space="preserve">Resposta e remediação ▶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b/>
      <w:bCs/>
      <w:color w:val="1F4E79"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0ph-b5olmbjc9isyt9dw" Type="http://schemas.openxmlformats.org/officeDocument/2006/relationships/hyperlink" Target="03-telemetria.md" TargetMode="External"/><Relationship Id="rIdonf_vknjs3pzawtpdw407" Type="http://schemas.openxmlformats.org/officeDocument/2006/relationships/hyperlink" Target="03-telemetria.md" TargetMode="External"/><Relationship Id="rIdia5b-a3g1sqbmxye2ni3c" Type="http://schemas.openxmlformats.org/officeDocument/2006/relationships/hyperlink" Target="05-resposta-e-remediacao.m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— Engenharia de detecção</dc:title>
  <dc:creator>Tibbers</dc:creator>
  <cp:lastModifiedBy>Un-named</cp:lastModifiedBy>
  <cp:revision>1</cp:revision>
  <dcterms:created xsi:type="dcterms:W3CDTF">2026-10-01T19:32:38.078Z</dcterms:created>
  <dcterms:modified xsi:type="dcterms:W3CDTF">2026-10-01T19:32:38.078Z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