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06 — Hardening e evolução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ttqmnegpfevlkzmz3nkzh">
        <w:r>
          <w:rPr>
            <w:color w:val="2E75B6"/>
            <w:u w:val="single"/>
          </w:rPr>
          <w:t xml:space="preserve">◀ Resposta</w:t>
        </w:r>
      </w:hyperlink>
    </w:p>
    <w:p>
      <w:pPr>
        <w:spacing w:after="120" w:line="276"/>
      </w:pPr>
      <w:r>
        <w:t xml:space="preserve">Detecção é reativa; </w:t>
      </w:r>
      <w:r>
        <w:rPr>
          <w:b/>
          <w:bCs/>
        </w:rPr>
        <w:t xml:space="preserve">hardening</w:t>
      </w:r>
      <w:r>
        <w:t xml:space="preserve"> reduz a superfície antes do ataque. E um SOC não nasce
maduro — este documento fecha o estudo com o que endurecer e para onde evoluir.</w:t>
      </w:r>
    </w:p>
    <w:p>
      <w:pPr>
        <w:pStyle w:val="Heading1"/>
        <w:spacing w:after="80" w:before="240"/>
      </w:pPr>
      <w:r>
        <w:t xml:space="preserve">Hardening de endpoint</w:t>
      </w:r>
    </w:p>
    <w:p>
      <w:pPr>
        <w:spacing w:after="120" w:line="276"/>
      </w:pPr>
      <w:r>
        <w:t xml:space="preserve">O caso mais ilustrativo é o </w:t>
      </w:r>
      <w:r>
        <w:rPr>
          <w:b/>
          <w:bCs/>
        </w:rPr>
        <w:t xml:space="preserve">credential dumping</w:t>
      </w:r>
      <w:r>
        <w:t xml:space="preserve"> (dump de LSASS). Em vez de só detectar,
o estudo mostra como </w:t>
      </w:r>
      <w:r>
        <w:rPr>
          <w:b/>
          <w:bCs/>
        </w:rPr>
        <w:t xml:space="preserve">impedir</w:t>
      </w:r>
      <w:r>
        <w:t xml:space="preserve"> a técnica no host: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LSA Protection (RunAsPPL).</w:t>
      </w:r>
      <w:r>
        <w:t xml:space="preserve"> Faz 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lsass.exe</w:t>
      </w:r>
      <w:r>
        <w:t xml:space="preserve"> subir como </w:t>
      </w:r>
      <w:r>
        <w:rPr>
          <w:i/>
          <w:iCs/>
        </w:rPr>
        <w:t xml:space="preserve">protected process</w:t>
      </w:r>
      <w:r>
        <w:t xml:space="preserve">. Após
aplicar e reiniciar, o próprio Windows registra o evento (Wininit) confirmando que o LSASS
iniciou como processo protegido — o acesso de dump é negado.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Regra ASR "block credential stealing from lsass".</w:t>
      </w:r>
      <w:r>
        <w:t xml:space="preserve"> Camada adicional do Defender que
bloqueia o acesso malicioso ao LSASS.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Credential Guard</w:t>
      </w:r>
      <w:r>
        <w:t xml:space="preserve"> (opcional). Isola segredos em ambiente baseado em virtualização;
cuidado em VMs aninhadas, onde pode não ativar corretamente.</w:t>
      </w:r>
    </w:p>
    <w:p>
      <w:pPr>
        <w:spacing w:after="60"/>
      </w:pPr>
    </w:p>
    <w:p>
      <w:pPr>
        <w:spacing w:after="120" w:line="276"/>
      </w:pPr>
      <w:r>
        <w:t xml:space="preserve">Resultado conceitual: a técnica passa a ser </w:t>
      </w:r>
      <w:r>
        <w:rPr>
          <w:b/>
          <w:bCs/>
        </w:rPr>
        <w:t xml:space="preserve">contida pelo controle</w:t>
      </w:r>
      <w:r>
        <w:t xml:space="preserve">, não apenas detectada —
o que, na prática, demonstra a defesa funcionando. (No estudo, valida-se o </w:t>
      </w:r>
      <w:r>
        <w:rPr>
          <w:b/>
          <w:bCs/>
        </w:rPr>
        <w:t xml:space="preserve">controle</w:t>
      </w:r>
      <w:r>
        <w:t xml:space="preserve">; a
re-execução ofensiva segue bloqueada, o que é o comportamento desejado.)</w:t>
      </w:r>
    </w:p>
    <w:p>
      <w:pPr>
        <w:pStyle w:val="Heading1"/>
        <w:spacing w:after="80" w:before="240"/>
      </w:pPr>
      <w:r>
        <w:t xml:space="preserve">Outras medidas de redução de superfície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Auditoria avançada por GPO (habilita os eventos que as detecções consomem).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Forçar </w:t>
      </w:r>
      <w:r>
        <w:rPr>
          <w:b/>
          <w:bCs/>
        </w:rPr>
        <w:t xml:space="preserve">AES</w:t>
      </w:r>
      <w:r>
        <w:t xml:space="preserve"> em contas de serviço (fecha Kerberoasting por RC4).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Política de senhas e contas gerenciadas (gMSA) para serviços.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FIM em caminhos sensíveis para flagrar alteração indevida.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Roadmap de maturidade do SOC</w:t>
      </w:r>
    </w:p>
    <w:p>
      <w:pPr>
        <w:spacing w:after="120" w:line="276"/>
      </w:pPr>
      <w:r>
        <w:t xml:space="preserve">Como incrementar a plataforma, por prioridade (A alta · M média · E evolução):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Incremento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Prio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Threat Intel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Feeds de IOC (CDB lists) e integração com plataformas de inteligência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Detecção-como-código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Conversão de regras Sigma, validação contínua com Atomic Red Team, CI de regras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Resposta (SOAR)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Playbooks (isolar host, desabilitar conta) e orquestração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A/M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Hardening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LSA Protection + Credential Guard + ASR + política de contas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Compliance/visibilidade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SCA/CIS, relatórios de conformidade, dashboards de KPI (MTTD/MTTR)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Fontes/escala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Logs de nuvem e identidade; cluster de Indexers + alta disponibilidade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M/E</w:t>
            </w:r>
          </w:p>
        </w:tc>
      </w:tr>
    </w:tbl>
    <w:p>
      <w:pPr>
        <w:spacing w:after="120"/>
      </w:pPr>
    </w:p>
    <w:p>
      <w:pPr>
        <w:pStyle w:val="Heading1"/>
        <w:spacing w:after="80" w:before="240"/>
      </w:pPr>
      <w:r>
        <w:t xml:space="preserve">Por que esta stack se defende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Custo de licença ~0</w:t>
      </w:r>
      <w:r>
        <w:t xml:space="preserve"> com capacidade de SIEM/XDR corporativo, à custa de engenharia
própria — que este estudo demonstra dominar.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Mensurável:</w:t>
      </w:r>
      <w:r>
        <w:t xml:space="preserve"> cobertura mapeada ao MITRE ATT&amp;CK, resposta e remediação a partir do próprio
SIEM, limites documentados com honestidade.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Escalável:</w:t>
      </w:r>
      <w:r>
        <w:t xml:space="preserve"> a mesma tecnologia vai do host único ao cluster de produção.</w:t>
      </w:r>
    </w:p>
    <w:p>
      <w:pPr>
        <w:spacing w:after="60"/>
      </w:pPr>
    </w:p>
    <w:p>
      <w:pPr>
        <w:spacing w:after="120" w:line="276"/>
      </w:pPr>
      <w:hyperlink w:history="1" r:id="rIdegkj0p0nh2xne8sgomp7v">
        <w:r>
          <w:rPr>
            <w:color w:val="2E75B6"/>
            <w:u w:val="single"/>
          </w:rPr>
          <w:t xml:space="preserve">◀ Resposta</w:t>
        </w:r>
      </w:hyperlink>
      <w:r>
        <w:t xml:space="preserve"> · </w:t>
      </w:r>
      <w:hyperlink w:history="1" r:id="rIdafpag0cqovlw8rudce3vv">
        <w:r>
          <w:rPr>
            <w:color w:val="2E75B6"/>
            <w:u w:val="single"/>
          </w:rPr>
          <w:t xml:space="preserve">Cobertura MITRE ▶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tqmnegpfevlkzmz3nkzh" Type="http://schemas.openxmlformats.org/officeDocument/2006/relationships/hyperlink" Target="05-resposta-e-remediacao.md" TargetMode="External"/><Relationship Id="rIdegkj0p0nh2xne8sgomp7v" Type="http://schemas.openxmlformats.org/officeDocument/2006/relationships/hyperlink" Target="05-resposta-e-remediacao.md" TargetMode="External"/><Relationship Id="rIdafpag0cqovlw8rudce3vv" Type="http://schemas.openxmlformats.org/officeDocument/2006/relationships/hyperlink" Target="07-cobertura-mitre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— Hardening e evolução</dc:title>
  <dc:creator>Tibbers</dc:creator>
  <cp:lastModifiedBy>Un-named</cp:lastModifiedBy>
  <cp:revision>1</cp:revision>
  <dcterms:created xsi:type="dcterms:W3CDTF">2026-10-01T19:32:38.465Z</dcterms:created>
  <dcterms:modified xsi:type="dcterms:W3CDTF">2026-10-01T19:32:38.465Z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