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color w:val="1F4E79"/>
        </w:rPr>
        <w:t xml:space="preserve">08 — Resultados e lições</w:t>
      </w:r>
    </w:p>
    <w:p>
      <w:pPr>
        <w:pBdr>
          <w:bottom w:val="single" w:color="1F4E79" w:sz="12"/>
        </w:pBdr>
        <w:spacing w:after="120" w:before="40"/>
      </w:pPr>
    </w:p>
    <w:p>
      <w:pPr>
        <w:spacing w:after="120" w:line="276"/>
      </w:pPr>
      <w:hyperlink w:history="1" r:id="rIdyvaxicyv1qpociyghemqc">
        <w:r>
          <w:rPr>
            <w:color w:val="2E75B6"/>
            <w:u w:val="single"/>
          </w:rPr>
          <w:t xml:space="preserve">◀ Cobertura MITRE</w:t>
        </w:r>
      </w:hyperlink>
    </w:p>
    <w:p>
      <w:pPr>
        <w:spacing w:after="120" w:line="276"/>
      </w:pPr>
      <w:r>
        <w:t xml:space="preserve">Síntese do que o estudo mostrou — as lições que valem </w:t>
      </w:r>
      <w:r>
        <w:rPr>
          <w:b/>
          <w:bCs/>
        </w:rPr>
        <w:t xml:space="preserve">além</w:t>
      </w:r>
      <w:r>
        <w:t xml:space="preserve"> das técnicas individuais.</w:t>
      </w:r>
    </w:p>
    <w:p>
      <w:pPr>
        <w:pStyle w:val="Heading1"/>
        <w:spacing w:after="80" w:before="240"/>
      </w:pPr>
      <w:r>
        <w:t xml:space="preserve">Lições sistêmicas de detecção</w:t>
      </w:r>
    </w:p>
    <w:p>
      <w:pPr>
        <w:spacing w:after="40" w:line="264"/>
      </w:pPr>
      <w:r>
        <w:rPr>
          <w:b/>
          <w:bCs/>
        </w:rPr>
        <w:t xml:space="preserve">1. </w:t>
      </w:r>
      <w:r>
        <w:rPr>
          <w:b/>
          <w:bCs/>
        </w:rPr>
        <w:t xml:space="preserve">Ancoragem é tudo.</w:t>
      </w:r>
      <w:r>
        <w:t xml:space="preserve"> A maioria das regras que "não disparam" não está errada no campo —
está sem o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if_sid</w:t>
      </w:r>
      <w:r>
        <w:t xml:space="preserve">/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if_group</w:t>
      </w:r>
      <w:r>
        <w:t xml:space="preserve"> do pai, e por isso perde para uma regra genérica de nível
baixo. Ancorar sempre na built-in que decodifica o evento.</w:t>
      </w:r>
    </w:p>
    <w:p>
      <w:pPr>
        <w:spacing w:after="40" w:line="264"/>
      </w:pPr>
      <w:r>
        <w:rPr>
          <w:b/>
          <w:bCs/>
        </w:rPr>
        <w:t xml:space="preserve">2. </w:t>
      </w:r>
      <w:r>
        <w:rPr>
          <w:b/>
          <w:bCs/>
        </w:rPr>
        <w:t xml:space="preserve">Conheça os campos do seu canal.</w:t>
      </w:r>
      <w:r>
        <w:t xml:space="preserve"> O canal de eventos do Windows não popula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
(usar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win.eventdata.ipAddress</w:t>
      </w:r>
      <w:r>
        <w:t xml:space="preserve">). Esse detalhe muda a </w:t>
      </w:r>
      <w:r>
        <w:rPr>
          <w:b/>
          <w:bCs/>
        </w:rPr>
        <w:t xml:space="preserve">correlação</w:t>
      </w:r>
      <w:r>
        <w:t xml:space="preserve"> e a </w:t>
      </w:r>
      <w:r>
        <w:rPr>
          <w:b/>
          <w:bCs/>
        </w:rPr>
        <w:t xml:space="preserve">resposta</w:t>
      </w:r>
      <w:r>
        <w:t xml:space="preserve">
automatizada possível.</w:t>
      </w:r>
    </w:p>
    <w:p>
      <w:pPr>
        <w:spacing w:after="40" w:line="264"/>
      </w:pPr>
      <w:r>
        <w:rPr>
          <w:b/>
          <w:bCs/>
        </w:rPr>
        <w:t xml:space="preserve">3. </w:t>
      </w:r>
      <w:r>
        <w:rPr>
          <w:b/>
          <w:bCs/>
        </w:rPr>
        <w:t xml:space="preserve">Correlação tem sintaxe própria.</w:t>
      </w:r>
      <w:r>
        <w:t xml:space="preserve"> Regras de frequência exigem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if_matched_sid</w:t>
      </w:r>
      <w:r>
        <w:t xml:space="preserve">/
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if_matched_group</w:t>
      </w:r>
      <w:r>
        <w:t xml:space="preserve">; trocar por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if_sid</w:t>
      </w:r>
      <w:r>
        <w:t xml:space="preserve"> quebra o carregamento do ruleset.</w:t>
      </w:r>
    </w:p>
    <w:p>
      <w:pPr>
        <w:spacing w:after="40" w:line="264"/>
      </w:pPr>
      <w:r>
        <w:rPr>
          <w:b/>
          <w:bCs/>
        </w:rPr>
        <w:t xml:space="preserve">4. </w:t>
      </w:r>
      <w:r>
        <w:rPr>
          <w:b/>
          <w:bCs/>
        </w:rPr>
        <w:t xml:space="preserve">Prefira casamento positivo por localização</w:t>
      </w:r>
      <w:r>
        <w:t xml:space="preserve"> a negações/lookaheads para flagrar binários
em caminhos anômalos — e aproveite built-ins </w:t>
      </w:r>
      <w:r>
        <w:rPr>
          <w:i/>
          <w:iCs/>
        </w:rPr>
        <w:t xml:space="preserve">path-aware</w:t>
      </w:r>
      <w:r>
        <w:t xml:space="preserve"> quando já cobrem o caso.</w:t>
      </w:r>
    </w:p>
    <w:p>
      <w:pPr>
        <w:spacing w:after="40" w:line="264"/>
      </w:pPr>
      <w:r>
        <w:rPr>
          <w:b/>
          <w:bCs/>
        </w:rPr>
        <w:t xml:space="preserve">5. </w:t>
      </w:r>
      <w:r>
        <w:rPr>
          <w:b/>
          <w:bCs/>
        </w:rPr>
        <w:t xml:space="preserve">Nível importa.</w:t>
      </w:r>
      <w:r>
        <w:t xml:space="preserve"> Uma regra correta abaixo do limiar de alerta é, na prática, invisível.</w:t>
      </w:r>
    </w:p>
    <w:p>
      <w:pPr>
        <w:spacing w:after="40" w:line="264"/>
      </w:pPr>
      <w:r>
        <w:rPr>
          <w:b/>
          <w:bCs/>
        </w:rPr>
        <w:t xml:space="preserve">6. </w:t>
      </w:r>
      <w:r>
        <w:rPr>
          <w:b/>
          <w:bCs/>
        </w:rPr>
        <w:t xml:space="preserve">Valide antes de confiar.</w:t>
      </w:r>
      <w:r>
        <w:t xml:space="preserve">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wazuh-analysisd -t</w:t>
      </w:r>
      <w:r>
        <w:t xml:space="preserve"> +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wazuh-logtest</w:t>
      </w:r>
      <w:r>
        <w:t xml:space="preserve"> provam o casamento com
evento real; sem isso, "cobertura" é só teoria.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Lições de telemetria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"Sysmon instalado" ≠ "Sysmon emitindo o que você precisa": a cobertura depende da config.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Há eventos que simplesmente não vêm em certos builds (ex.: EID 22/DnsQuery) — lacuna real
que exige fonte alternativa, não mais uma regra.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 </w:t>
      </w:r>
      <w:r>
        <w:rPr>
          <w:b/>
          <w:bCs/>
        </w:rPr>
        <w:t xml:space="preserve">saúde do pipeline</w:t>
      </w:r>
      <w:r>
        <w:t xml:space="preserve"> (agente online, enrollment, logs chegando, sem flood) é
pré-requisito; sem ela, toda detecção é fantasia.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Lições de resposta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onsolas" w:cs="Consolas" w:eastAsia="Consolas" w:hAnsi="Consolas"/>
          <w:color w:val="9A2D2D"/>
          <w:shd w:fill="F2F4F7" w:val="clear"/>
        </w:rPr>
        <w:t xml:space="preserve">firewall-drop</w:t>
      </w:r>
      <w:r>
        <w:t xml:space="preserve"> só serve quando há </w:t>
      </w:r>
      <w:r>
        <w:rPr>
          <w:rFonts w:ascii="Consolas" w:cs="Consolas" w:eastAsia="Consolas" w:hAnsi="Consolas"/>
          <w:color w:val="9A2D2D"/>
          <w:shd w:fill="F2F4F7" w:val="clear"/>
        </w:rPr>
        <w:t xml:space="preserve">srcip</w:t>
      </w:r>
      <w:r>
        <w:t xml:space="preserve"> (Linux/rede); em alertas Windows sem IP, a
contenção é no plano de identidade (lockout/GPO).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Fechar o ciclo </w:t>
      </w:r>
      <w:r>
        <w:rPr>
          <w:b/>
          <w:bCs/>
        </w:rPr>
        <w:t xml:space="preserve">detecção → remediação</w:t>
      </w:r>
      <w:r>
        <w:t xml:space="preserve"> a partir do próprio SIEM (patch via Active Response)
é viável, mas tem nuances operacionais (logs dedicados, credenciais de API, empacotamento).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Às vezes a melhor "resposta" é </w:t>
      </w:r>
      <w:r>
        <w:rPr>
          <w:b/>
          <w:bCs/>
        </w:rPr>
        <w:t xml:space="preserve">prevenção</w:t>
      </w:r>
      <w:r>
        <w:t xml:space="preserve">: o hardening anti-LSASS converte uma detecção
em uma contenção.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Limitações do estudo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Ambiente de </w:t>
      </w:r>
      <w:r>
        <w:rPr>
          <w:b/>
          <w:bCs/>
        </w:rPr>
        <w:t xml:space="preserve">laboratório</w:t>
      </w:r>
      <w:r>
        <w:t xml:space="preserve"> (host único, teto de memória) — correlação em larga escala e
alta disponibilidade ficam como evolução.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Algumas técnicas permanecem como </w:t>
      </w:r>
      <w:r>
        <w:rPr>
          <w:b/>
          <w:bCs/>
        </w:rPr>
        <w:t xml:space="preserve">regra pronta</w:t>
      </w:r>
      <w:r>
        <w:t xml:space="preserve"> (sem gatilho/ferramenta) ou </w:t>
      </w:r>
      <w:r>
        <w:rPr>
          <w:b/>
          <w:bCs/>
        </w:rPr>
        <w:t xml:space="preserve">lacuna</w:t>
      </w:r>
      <w:r>
        <w:t xml:space="preserve">
(telemetria ausente) — registradas com honestidade, não mascaradas.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t xml:space="preserve">Enriquecimento externo (threat intel/sandbox) tratado apenas no roadmap.</w:t>
      </w:r>
    </w:p>
    <w:p>
      <w:pPr>
        <w:spacing w:after="60"/>
      </w:pPr>
    </w:p>
    <w:p>
      <w:pPr>
        <w:pStyle w:val="Heading1"/>
        <w:spacing w:after="80" w:before="240"/>
      </w:pPr>
      <w:r>
        <w:t xml:space="preserve">O que generaliza</w:t>
      </w:r>
    </w:p>
    <w:p>
      <w:pPr>
        <w:spacing w:after="120" w:line="276"/>
      </w:pPr>
      <w:r>
        <w:t xml:space="preserve">A mensagem central: um SOC eficaz open source depende menos da ferramenta e mais da
</w:t>
      </w:r>
      <w:r>
        <w:rPr>
          <w:b/>
          <w:bCs/>
        </w:rPr>
        <w:t xml:space="preserve">engenharia</w:t>
      </w:r>
      <w:r>
        <w:t xml:space="preserve"> — ancorar regras corretamente, conhecer a telemetria, calibrar níveis,
escolher a resposta certa e ser honesto sobre o que está (e o que não está) coberto.</w:t>
      </w:r>
    </w:p>
    <w:p>
      <w:pPr>
        <w:spacing w:after="120" w:line="276"/>
      </w:pPr>
      <w:hyperlink w:history="1" r:id="rIdr3qosvzouwtupgolyrhke">
        <w:r>
          <w:rPr>
            <w:color w:val="2E75B6"/>
            <w:u w:val="single"/>
          </w:rPr>
          <w:t xml:space="preserve">◀ Cobertura MITRE</w:t>
        </w:r>
      </w:hyperlink>
      <w:r>
        <w:t xml:space="preserve"> · </w:t>
      </w:r>
      <w:hyperlink w:history="1" r:id="rIdnpldmuajkcl-_x5jd_wd1">
        <w:r>
          <w:rPr>
            <w:color w:val="2E75B6"/>
            <w:u w:val="single"/>
          </w:rPr>
          <w:t xml:space="preserve">Referências ▶</w:t>
        </w:r>
      </w:hyperlink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b/>
      <w:bCs/>
      <w:color w:val="1F4E79"/>
      <w:sz w:val="40"/>
      <w:szCs w:val="4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vaxicyv1qpociyghemqc" Type="http://schemas.openxmlformats.org/officeDocument/2006/relationships/hyperlink" Target="07-cobertura-mitre.md" TargetMode="External"/><Relationship Id="rIdr3qosvzouwtupgolyrhke" Type="http://schemas.openxmlformats.org/officeDocument/2006/relationships/hyperlink" Target="07-cobertura-mitre.md" TargetMode="External"/><Relationship Id="rIdnpldmuajkcl-_x5jd_wd1" Type="http://schemas.openxmlformats.org/officeDocument/2006/relationships/hyperlink" Target="09-referencias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— Resultados e lições</dc:title>
  <dc:creator>Tibbers</dc:creator>
  <cp:lastModifiedBy>Un-named</cp:lastModifiedBy>
  <cp:revision>1</cp:revision>
  <dcterms:created xsi:type="dcterms:W3CDTF">2026-10-01T19:32:38.761Z</dcterms:created>
  <dcterms:modified xsi:type="dcterms:W3CDTF">2026-10-01T19:32:38.761Z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