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240"/>
      </w:pPr>
      <w:r>
        <w:rPr>
          <w:color w:val="1F4E79"/>
        </w:rPr>
        <w:t xml:space="preserve">Casos estudados</w:t>
      </w:r>
    </w:p>
    <w:p>
      <w:pPr>
        <w:pBdr>
          <w:bottom w:val="single" w:color="1F4E79" w:sz="12"/>
        </w:pBdr>
        <w:spacing w:after="120" w:before="40"/>
      </w:pPr>
    </w:p>
    <w:p>
      <w:pPr>
        <w:spacing w:after="120" w:line="276"/>
      </w:pPr>
      <w:hyperlink w:history="1" r:id="rIdiyutbeeocjoa-dft-ttks">
        <w:r>
          <w:rPr>
            <w:color w:val="2E75B6"/>
            <w:u w:val="single"/>
          </w:rPr>
          <w:t xml:space="preserve">◀ README</w:t>
        </w:r>
      </w:hyperlink>
    </w:p>
    <w:p>
      <w:pPr>
        <w:spacing w:after="120" w:line="276"/>
      </w:pPr>
      <w:r>
        <w:t xml:space="preserve">As cinco técnicas, uma a uma: o que o atacante faz, o que fica registrado, como a regra casa
o evento e qual a resposta. A lógica completa das regras está em
</w:t>
      </w:r>
      <w:hyperlink w:history="1" r:id="rIdfh93nv8ls6obkdla5wx7v">
        <w:r>
          <w:rPr>
            <w:rFonts w:ascii="Consolas" w:cs="Consolas" w:eastAsia="Consolas" w:hAnsi="Consolas"/>
            <w:color w:val="2E75B6"/>
            <w:u w:val="single"/>
            <w:shd w:fill="F2F4F7" w:val="clear"/>
          </w:rPr>
          <w:t xml:space="preserve">docs/02-deteccao-e-regras.md</w:t>
        </w:r>
      </w:hyperlink>
      <w:r>
        <w:t xml:space="preserve">.</w:t>
      </w:r>
    </w:p>
    <w:p>
      <w:pPr>
        <w:pBdr>
          <w:bottom w:val="single" w:color="1F4E79" w:sz="12"/>
        </w:pBdr>
        <w:spacing w:after="120" w:before="40"/>
      </w:pPr>
    </w:p>
    <w:p>
      <w:pPr>
        <w:pStyle w:val="Heading1"/>
        <w:spacing w:after="80" w:before="240"/>
      </w:pPr>
      <w:r>
        <w:t xml:space="preserve">Caso 01 — Brute force de logon (T1110)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Ataque.</w:t>
      </w:r>
      <w:r>
        <w:t xml:space="preserve"> Tentativas repetidas de autenticação contra uma conta (SMB/RDP/AD) a partir da
estação ofensiva.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Telemetria.</w:t>
      </w:r>
      <w:r>
        <w:t xml:space="preserve"> Série de eventos </w:t>
      </w:r>
      <w:r>
        <w:rPr>
          <w:b/>
          <w:bCs/>
        </w:rPr>
        <w:t xml:space="preserve">4625</w:t>
      </w:r>
      <w:r>
        <w:t xml:space="preserve"> (falha de logon) do mesmo IP de origem
(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win.eventdata.ipAddress</w:t>
      </w:r>
      <w:r>
        <w:t xml:space="preserve">) numa janela curta.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Detecção.</w:t>
      </w:r>
      <w:r>
        <w:t xml:space="preserve"> Regra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110001</w:t>
      </w:r>
      <w:r>
        <w:t xml:space="preserve"> (nível 12), escalando da built-in de frequência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60204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Resposta.</w:t>
      </w:r>
      <w:r>
        <w:t xml:space="preserve"> Lockout da conta via GPO (o canal Windows não traz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srcip</w:t>
      </w:r>
      <w:r>
        <w:t xml:space="preserve">, então
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firewall-drop</w:t>
      </w:r>
      <w:r>
        <w:t xml:space="preserve"> não se aplica).</w:t>
      </w:r>
    </w:p>
    <w:p>
      <w:pPr>
        <w:spacing w:after="60"/>
      </w:pPr>
    </w:p>
    <w:p>
      <w:pPr>
        <w:pStyle w:val="Heading1"/>
        <w:spacing w:after="80" w:before="240"/>
      </w:pPr>
      <w:r>
        <w:t xml:space="preserve">Caso 02 — Kerberoasting (T1558.003)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Ataque.</w:t>
      </w:r>
      <w:r>
        <w:t xml:space="preserve"> Solicitar tickets de serviço (TGS) para contas com SPN e crackear offline a
cifra fraca.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Telemetria.</w:t>
      </w:r>
      <w:r>
        <w:t xml:space="preserve"> Evento </w:t>
      </w:r>
      <w:r>
        <w:rPr>
          <w:b/>
          <w:bCs/>
        </w:rPr>
        <w:t xml:space="preserve">4769</w:t>
      </w:r>
      <w:r>
        <w:t xml:space="preserve"> com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ticketEncryptionType = 0x17</w:t>
      </w:r>
      <w:r>
        <w:t xml:space="preserve"> (RC4) para o SPN de
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svc_app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Detecção.</w:t>
      </w:r>
      <w:r>
        <w:t xml:space="preserve"> Regra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110002</w:t>
      </w:r>
      <w:r>
        <w:t xml:space="preserve"> (nível 12), filha de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60103</w:t>
      </w:r>
      <w:r>
        <w:t xml:space="preserve">, casando o campo de cifra.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Resposta.</w:t>
      </w:r>
      <w:r>
        <w:t xml:space="preserve"> Forçar AES nas contas de serviço; usar senha longa/gerenciada (gMSA).</w:t>
      </w:r>
    </w:p>
    <w:p>
      <w:pPr>
        <w:spacing w:after="60"/>
      </w:pPr>
    </w:p>
    <w:p>
      <w:pPr>
        <w:pStyle w:val="Heading1"/>
        <w:spacing w:after="80" w:before="240"/>
      </w:pPr>
      <w:r>
        <w:t xml:space="preserve">Caso 03 — Persistência por serviço (T1543.003)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Ataque.</w:t>
      </w:r>
      <w:r>
        <w:t xml:space="preserve"> Instalar um serviço que executa um binário/script do atacante, sobrevivendo a
reinícios.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Telemetria.</w:t>
      </w:r>
      <w:r>
        <w:t xml:space="preserve"> Evento </w:t>
      </w:r>
      <w:r>
        <w:rPr>
          <w:b/>
          <w:bCs/>
        </w:rPr>
        <w:t xml:space="preserve">7045</w:t>
      </w:r>
      <w:r>
        <w:t xml:space="preserve"> (novo serviço) com caminho/binário incomum. Pode ser
reproduzido de forma benigna com um serviço de teste inócuo.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Detecção.</w:t>
      </w:r>
      <w:r>
        <w:t xml:space="preserve"> Regra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110003</w:t>
      </w:r>
      <w:r>
        <w:t xml:space="preserve"> (nível 10), filha de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61138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Resposta.</w:t>
      </w:r>
      <w:r>
        <w:t xml:space="preserve"> Remover o serviço e investigar o vetor de entrada.</w:t>
      </w:r>
    </w:p>
    <w:p>
      <w:pPr>
        <w:spacing w:after="60"/>
      </w:pPr>
    </w:p>
    <w:p>
      <w:pPr>
        <w:pStyle w:val="Heading1"/>
        <w:spacing w:after="80" w:before="240"/>
      </w:pPr>
      <w:r>
        <w:t xml:space="preserve">Caso 04 — Exfiltração por rede (T1041 / T1048)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Ataque.</w:t>
      </w:r>
      <w:r>
        <w:t xml:space="preserve"> Enviar dados do endpoint para um host externo (a estação ofensiva).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Telemetria.</w:t>
      </w:r>
      <w:r>
        <w:t xml:space="preserve"> Sysmon </w:t>
      </w:r>
      <w:r>
        <w:rPr>
          <w:b/>
          <w:bCs/>
        </w:rPr>
        <w:t xml:space="preserve">EID 3</w:t>
      </w:r>
      <w:r>
        <w:t xml:space="preserve"> (conexão de rede) com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destinationIp</w:t>
      </w:r>
      <w:r>
        <w:t xml:space="preserve"> do host de ataque
(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10.20.0.50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Detecção.</w:t>
      </w:r>
      <w:r>
        <w:t xml:space="preserve"> Regra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110004</w:t>
      </w:r>
      <w:r>
        <w:t xml:space="preserve"> (nível 8), filha de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92101</w:t>
      </w:r>
      <w:r>
        <w:t xml:space="preserve">, casando o IP de destino.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Resposta.</w:t>
      </w:r>
      <w:r>
        <w:t xml:space="preserve"> Bloquear o IP de destino (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firewall-drop</w:t>
      </w:r>
      <w:r>
        <w:t xml:space="preserve">) — aqui há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srcip</w:t>
      </w:r>
      <w:r>
        <w:t xml:space="preserve">/IP de rede.</w:t>
      </w:r>
    </w:p>
    <w:p>
      <w:pPr>
        <w:spacing w:after="60"/>
      </w:pPr>
    </w:p>
    <w:p>
      <w:pPr>
        <w:pStyle w:val="Heading1"/>
        <w:spacing w:after="80" w:before="240"/>
      </w:pPr>
      <w:r>
        <w:t xml:space="preserve">Caso 05 — Sabotagem anti-forense (T1562.001)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Ataque.</w:t>
      </w:r>
      <w:r>
        <w:t xml:space="preserve"> Desabilitar um serviço de defesa/registro para cegar o SOC.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Telemetria.</w:t>
      </w:r>
      <w:r>
        <w:t xml:space="preserve"> Evento </w:t>
      </w:r>
      <w:r>
        <w:rPr>
          <w:b/>
          <w:bCs/>
        </w:rPr>
        <w:t xml:space="preserve">7040</w:t>
      </w:r>
      <w:r>
        <w:t xml:space="preserve"> com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param3 = disabled</w:t>
      </w:r>
      <w:r>
        <w:t xml:space="preserve">. Estudado de forma segura em um
serviço de teste, sem tocar em serviços de defesa reais.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Detecção.</w:t>
      </w:r>
      <w:r>
        <w:t xml:space="preserve"> Regra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110005</w:t>
      </w:r>
      <w:r>
        <w:t xml:space="preserve"> (nível 12), filha de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61104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</w:rPr>
        <w:t xml:space="preserve">Resposta.</w:t>
      </w:r>
      <w:r>
        <w:t xml:space="preserve"> Investigar quem alterou, restaurar o serviço e revisar privilégios.</w:t>
      </w:r>
    </w:p>
    <w:p>
      <w:pPr>
        <w:spacing w:after="60"/>
      </w:pPr>
    </w:p>
    <w:p>
      <w:pPr>
        <w:spacing w:after="120" w:line="276"/>
      </w:pPr>
      <w:hyperlink w:history="1" r:id="rId_jlpzubjzodpxkzqw38dr">
        <w:r>
          <w:rPr>
            <w:color w:val="2E75B6"/>
            <w:u w:val="single"/>
          </w:rPr>
          <w:t xml:space="preserve">◀ README</w:t>
        </w:r>
      </w:hyperlink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120"/>
    </w:pPr>
    <w:rPr>
      <w:b/>
      <w:bCs/>
      <w:color w:val="1F4E79"/>
      <w:sz w:val="40"/>
      <w:szCs w:val="4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iyutbeeocjoa-dft-ttks" Type="http://schemas.openxmlformats.org/officeDocument/2006/relationships/hyperlink" Target="../README.md" TargetMode="External"/><Relationship Id="rIdfh93nv8ls6obkdla5wx7v" Type="http://schemas.openxmlformats.org/officeDocument/2006/relationships/hyperlink" Target="../docs/02-deteccao-e-regras.md" TargetMode="External"/><Relationship Id="rId_jlpzubjzodpxkzqw38dr" Type="http://schemas.openxmlformats.org/officeDocument/2006/relationships/hyperlink" Target="../README.md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estudados</dc:title>
  <dc:creator>Tibbers</dc:creator>
  <cp:lastModifiedBy>Un-named</cp:lastModifiedBy>
  <cp:revision>1</cp:revision>
  <dcterms:created xsi:type="dcterms:W3CDTF">2026-10-01T15:52:34.742Z</dcterms:created>
  <dcterms:modified xsi:type="dcterms:W3CDTF">2026-10-01T15:52:34.742Z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