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00 — Contexto e escopo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jplsqpqw1s9s6eg8mfhbl">
        <w:r>
          <w:rPr>
            <w:color w:val="2E75B6"/>
            <w:u w:val="single"/>
          </w:rPr>
          <w:t xml:space="preserve">◀ README</w:t>
        </w:r>
      </w:hyperlink>
    </w:p>
    <w:p>
      <w:pPr>
        <w:pStyle w:val="Heading1"/>
        <w:spacing w:after="80" w:before="240"/>
      </w:pPr>
      <w:r>
        <w:t xml:space="preserve">Motivação</w:t>
      </w:r>
    </w:p>
    <w:p>
      <w:pPr>
        <w:spacing w:after="120" w:line="276"/>
      </w:pPr>
      <w:r>
        <w:t xml:space="preserve">Detectar ataques com um SIEM não é "ligar e esperar o alerta". A maior parte do esforço está
em </w:t>
      </w:r>
      <w:r>
        <w:rPr>
          <w:b/>
          <w:bCs/>
        </w:rPr>
        <w:t xml:space="preserve">engenharia de detecção</w:t>
      </w:r>
      <w:r>
        <w:t xml:space="preserve">: entender qual evento registra a técnica, escrever uma regra
que case exatamente esse evento e separar o sinal do ruído. Este estudo documenta esse
trabalho para cinco técnicas comuns, usando o Wazuh.</w:t>
      </w:r>
    </w:p>
    <w:p>
      <w:pPr>
        <w:pStyle w:val="Heading1"/>
        <w:spacing w:after="80" w:before="240"/>
      </w:pPr>
      <w:r>
        <w:t xml:space="preserve">Perguntas de pesquisa</w:t>
      </w:r>
    </w:p>
    <w:p>
      <w:pPr>
        <w:spacing w:after="40" w:line="264"/>
      </w:pPr>
      <w:r>
        <w:rPr>
          <w:b/>
          <w:bCs/>
        </w:rPr>
        <w:t xml:space="preserve">1. </w:t>
      </w:r>
      <w:r>
        <w:t xml:space="preserve">Qual evento (e qual campo) registra cada técnica no Windows/Sysmon?</w:t>
      </w:r>
    </w:p>
    <w:p>
      <w:pPr>
        <w:spacing w:after="40" w:line="264"/>
      </w:pPr>
      <w:r>
        <w:rPr>
          <w:b/>
          <w:bCs/>
        </w:rPr>
        <w:t xml:space="preserve">2. </w:t>
      </w:r>
      <w:r>
        <w:t xml:space="preserve">Como ancorar a regra para que ela realmente dispare, em vez de ser engolida por uma regra
genérica de nível baixo?</w:t>
      </w:r>
    </w:p>
    <w:p>
      <w:pPr>
        <w:spacing w:after="40" w:line="264"/>
      </w:pPr>
      <w:r>
        <w:rPr>
          <w:b/>
          <w:bCs/>
        </w:rPr>
        <w:t xml:space="preserve">3. </w:t>
      </w:r>
      <w:r>
        <w:t xml:space="preserve">Quais limitações de telemetria (campos ausentes, canais que não populam certos dados)
mudam a estratégia de detecção e de resposta?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Técnicas estudadas (MITRE ATT&amp;CK)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Técnica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Por que importa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Brute force de logon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T1110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Porta de entrada clássica; alto volume, fácil de confundir com erro legítimo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02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Kerberoasting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T1558.003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Abuso de SPN com cifra fraca; indicador sutil (RC4 em 4769)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Persistência por serviço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T1543.003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Mecanismo durável e comum de persistência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04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Exfiltração por rede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T1041 / T1048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Saída de dados para host externo; exige telemetria de rede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Sabotagem anti-forense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T1562.001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Desabilitar serviços de defesa para cegar o SOC</w:t>
            </w:r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Ambiente de referência</w:t>
      </w:r>
    </w:p>
    <w:p>
      <w:pPr>
        <w:spacing w:after="120" w:line="276"/>
      </w:pPr>
      <w:r>
        <w:t xml:space="preserve">O estudo assume um ambiente mínimo e isolado — suficiente para gerar a telemetria das cinco
técnicas, sem a complexidade de uma rede corporativa inteira.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Host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IP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Papel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wazuh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10.20.0.10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Wazuh all-in-one (Manager + Indexer + Dashboard)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dc01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10.20.0.5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Domínio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corp.tibbers.lab</w:t>
            </w:r>
            <w:r>
              <w:t xml:space="preserve"> (AD/DNS) e endpoint monitorado (Sysmon)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atacante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10.20.0.50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Estação ofensiva, usada só para gerar a telemetria de ataque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Rede isolada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10.20.0.0/24</w:t>
      </w:r>
      <w:r>
        <w:t xml:space="preserve">, sem bridge com a rede física. Contas são fictícias: usuário de
domínio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jdoe</w:t>
      </w:r>
      <w:r>
        <w:t xml:space="preserve"> e conta de serviço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svc_app</w:t>
      </w:r>
      <w:r>
        <w:t xml:space="preserve"> (com SPN, necessária para o cenário de
Kerberoasting).</w:t>
      </w:r>
    </w:p>
    <w:p>
      <w:pPr>
        <w:pBdr>
          <w:left w:val="single" w:color="2E75B6" w:sz="18" w:space="8"/>
        </w:pBdr>
        <w:shd w:fill="F4F8FC" w:val="clear"/>
        <w:spacing w:after="60" w:before="60"/>
        <w:ind w:left="240"/>
      </w:pPr>
    </w:p>
    <w:p>
      <w:pPr>
        <w:spacing w:after="120" w:line="276"/>
      </w:pPr>
      <w:hyperlink w:history="1" r:id="rId7ljla6dkr4yrbhqemf2nt">
        <w:r>
          <w:rPr>
            <w:color w:val="2E75B6"/>
            <w:u w:val="single"/>
          </w:rPr>
          <w:t xml:space="preserve">◀ README</w:t>
        </w:r>
      </w:hyperlink>
      <w:r>
        <w:t xml:space="preserve"> · </w:t>
      </w:r>
      <w:hyperlink w:history="1" r:id="rId0la6_-2agjhohw89mxoxj">
        <w:r>
          <w:rPr>
            <w:color w:val="2E75B6"/>
            <w:u w:val="single"/>
          </w:rPr>
          <w:t xml:space="preserve">Metodologia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plsqpqw1s9s6eg8mfhbl" Type="http://schemas.openxmlformats.org/officeDocument/2006/relationships/hyperlink" Target="../README.md" TargetMode="External"/><Relationship Id="rId7ljla6dkr4yrbhqemf2nt" Type="http://schemas.openxmlformats.org/officeDocument/2006/relationships/hyperlink" Target="../README.md" TargetMode="External"/><Relationship Id="rId0la6_-2agjhohw89mxoxj" Type="http://schemas.openxmlformats.org/officeDocument/2006/relationships/hyperlink" Target="01-metodologia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— Contexto e escopo</dc:title>
  <dc:creator>Tibbers</dc:creator>
  <cp:lastModifiedBy>Un-named</cp:lastModifiedBy>
  <cp:revision>1</cp:revision>
  <dcterms:created xsi:type="dcterms:W3CDTF">2026-10-01T15:52:33.980Z</dcterms:created>
  <dcterms:modified xsi:type="dcterms:W3CDTF">2026-10-01T15:52:33.980Z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