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color w:val="1F4E79"/>
        </w:rPr>
        <w:t xml:space="preserve">01 — Metodologia</w:t>
      </w:r>
    </w:p>
    <w:p>
      <w:pPr>
        <w:pBdr>
          <w:bottom w:val="single" w:color="1F4E79" w:sz="12"/>
        </w:pBdr>
        <w:spacing w:after="120" w:before="40"/>
      </w:pPr>
    </w:p>
    <w:p>
      <w:pPr>
        <w:spacing w:after="120" w:line="276"/>
      </w:pPr>
      <w:hyperlink w:history="1" r:id="rIdotbwz1srrruztypefb7po">
        <w:r>
          <w:rPr>
            <w:color w:val="2E75B6"/>
            <w:u w:val="single"/>
          </w:rPr>
          <w:t xml:space="preserve">◀ Contexto</w:t>
        </w:r>
      </w:hyperlink>
    </w:p>
    <w:p>
      <w:pPr>
        <w:spacing w:after="120" w:line="276"/>
      </w:pPr>
      <w:r>
        <w:t xml:space="preserve">Cada técnica é estudada com o mesmo rito, para que o resultado seja reproduzível e
auditável — e não apenas uma afirmação de que "a regra funciona".</w:t>
      </w:r>
    </w:p>
    <w:p>
      <w:pPr>
        <w:pStyle w:val="Heading1"/>
        <w:spacing w:after="80" w:before="240"/>
      </w:pPr>
      <w:r>
        <w:t xml:space="preserve">Rito de estudo (por técnica)</w:t>
      </w:r>
    </w:p>
    <w:p>
      <w:pPr>
        <w:spacing w:after="40" w:line="264"/>
      </w:pPr>
      <w:r>
        <w:rPr>
          <w:b/>
          <w:bCs/>
        </w:rPr>
        <w:t xml:space="preserve">1. </w:t>
      </w:r>
      <w:r>
        <w:rPr>
          <w:b/>
          <w:bCs/>
        </w:rPr>
        <w:t xml:space="preserve">Mapear a telemetria.</w:t>
      </w:r>
      <w:r>
        <w:t xml:space="preserve"> Identificar qual evento registra a técnica e em qual campo mora
o indicador (ex.: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ticketEncryptionType</w:t>
      </w:r>
      <w:r>
        <w:t xml:space="preserve"> em um 4769;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destinationIp</w:t>
      </w:r>
      <w:r>
        <w:t xml:space="preserve"> em um Sysmon EID 3).</w:t>
      </w:r>
    </w:p>
    <w:p>
      <w:pPr>
        <w:spacing w:after="40" w:line="264"/>
      </w:pPr>
      <w:r>
        <w:rPr>
          <w:b/>
          <w:bCs/>
        </w:rPr>
        <w:t xml:space="preserve">2. </w:t>
      </w:r>
      <w:r>
        <w:rPr>
          <w:b/>
          <w:bCs/>
        </w:rPr>
        <w:t xml:space="preserve">Escrever a regra.</w:t>
      </w:r>
      <w:r>
        <w:t xml:space="preserve"> Ancorar no "pai" correto (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if_sid</w:t>
      </w:r>
      <w:r>
        <w:t xml:space="preserve">/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if_group</w:t>
      </w:r>
      <w:r>
        <w:t xml:space="preserve">) e casar pelo campo.</w:t>
      </w:r>
    </w:p>
    <w:p>
      <w:pPr>
        <w:spacing w:after="40" w:line="264"/>
      </w:pPr>
      <w:r>
        <w:rPr>
          <w:b/>
          <w:bCs/>
        </w:rPr>
        <w:t xml:space="preserve">3. </w:t>
      </w:r>
      <w:r>
        <w:rPr>
          <w:b/>
          <w:bCs/>
        </w:rPr>
        <w:t xml:space="preserve">Validar o ruleset.</w:t>
      </w:r>
      <w:r>
        <w:t xml:space="preserve">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wazuh-analysisd -t</w:t>
      </w:r>
      <w:r>
        <w:t xml:space="preserve"> garante que a regra carrega sem erro.</w:t>
      </w:r>
    </w:p>
    <w:p>
      <w:pPr>
        <w:spacing w:after="40" w:line="264"/>
      </w:pPr>
      <w:r>
        <w:rPr>
          <w:b/>
          <w:bCs/>
        </w:rPr>
        <w:t xml:space="preserve">4. </w:t>
      </w:r>
      <w:r>
        <w:rPr>
          <w:b/>
          <w:bCs/>
        </w:rPr>
        <w:t xml:space="preserve">Validar o casamento.</w:t>
      </w:r>
      <w:r>
        <w:t xml:space="preserve">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wazuh-logtest</w:t>
      </w:r>
      <w:r>
        <w:t xml:space="preserve"> mostra, para um evento real, os campos
decodificados (Fase 2) e a regra que casou (Fase 3).</w:t>
      </w:r>
    </w:p>
    <w:p>
      <w:pPr>
        <w:spacing w:after="40" w:line="264"/>
      </w:pPr>
      <w:r>
        <w:rPr>
          <w:b/>
          <w:bCs/>
        </w:rPr>
        <w:t xml:space="preserve">5. </w:t>
      </w:r>
      <w:r>
        <w:rPr>
          <w:b/>
          <w:bCs/>
        </w:rPr>
        <w:t xml:space="preserve">Gerar o evento.</w:t>
      </w:r>
      <w:r>
        <w:t xml:space="preserve"> Executar a técnica a partir da estação ofensiva (ou simular de forma
benigna no endpoint) e confirmar o alerta no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alerts.json</w:t>
      </w:r>
      <w:r>
        <w:t xml:space="preserve">/Dashboard.</w:t>
      </w:r>
    </w:p>
    <w:p>
      <w:pPr>
        <w:spacing w:after="40" w:line="264"/>
      </w:pPr>
      <w:r>
        <w:rPr>
          <w:b/>
          <w:bCs/>
        </w:rPr>
        <w:t xml:space="preserve">6. </w:t>
      </w:r>
      <w:r>
        <w:rPr>
          <w:b/>
          <w:bCs/>
        </w:rPr>
        <w:t xml:space="preserve">Registrar o achado.</w:t>
      </w:r>
      <w:r>
        <w:t xml:space="preserve"> Nível, falsos positivos observados e a resposta cabível.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Ferramentas de diagnóstico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Ferramenta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Para quê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wazuh-analysisd -t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Valida o ruleset antes de aplicar (erro de sintaxe derruba o manager)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wazuh-logtest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Prova, para um evento, qual regra casa e com quais campos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&lt;logall_json&gt;</w:t>
            </w:r>
            <w:r>
              <w:t xml:space="preserve"> (temporário)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Confirma se o evento chega ao manager antes de ser descartado — </w:t>
            </w:r>
            <w:r>
              <w:rPr>
                <w:b/>
                <w:bCs/>
              </w:rPr>
              <w:t xml:space="preserve">desligar depois</w:t>
            </w:r>
            <w:r>
              <w:t xml:space="preserve">, enche disco</w:t>
            </w:r>
          </w:p>
        </w:tc>
      </w:tr>
    </w:tbl>
    <w:p>
      <w:pPr>
        <w:spacing w:after="120"/>
      </w:pPr>
    </w:p>
    <w:p>
      <w:pPr>
        <w:pStyle w:val="Heading1"/>
        <w:spacing w:after="80" w:before="240"/>
      </w:pPr>
      <w:r>
        <w:t xml:space="preserve">Critério de "detecção confiável"</w:t>
      </w:r>
    </w:p>
    <w:p>
      <w:pPr>
        <w:spacing w:after="120" w:line="276"/>
      </w:pPr>
      <w:r>
        <w:t xml:space="preserve">Uma detecção só é considerada boa quando: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dispara no evento certo com </w:t>
      </w:r>
      <w:r>
        <w:rPr>
          <w:b/>
          <w:bCs/>
        </w:rPr>
        <w:t xml:space="preserve">nível adequado</w:t>
      </w:r>
      <w:r>
        <w:t xml:space="preserve"> (acima do limiar de alerta);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não</w:t>
      </w:r>
      <w:r>
        <w:t xml:space="preserve"> é engolida por uma regra genérica de nível baixo (problema de ancoragem);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tem </w:t>
      </w:r>
      <w:r>
        <w:rPr>
          <w:b/>
          <w:bCs/>
        </w:rPr>
        <w:t xml:space="preserve">falsos positivos conhecidos e tratáveis</w:t>
      </w:r>
      <w:r>
        <w:t xml:space="preserve"> (allowlist ou refinamento de campo);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tem uma </w:t>
      </w:r>
      <w:r>
        <w:rPr>
          <w:b/>
          <w:bCs/>
        </w:rPr>
        <w:t xml:space="preserve">resposta associada</w:t>
      </w:r>
      <w:r>
        <w:t xml:space="preserve"> viável (lockout, bloqueio de IP, investigação).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Nota sobre geração benigna de eventos</w:t>
      </w:r>
    </w:p>
    <w:p>
      <w:pPr>
        <w:spacing w:after="120" w:line="276"/>
      </w:pPr>
      <w:r>
        <w:t xml:space="preserve">Nem toda técnica precisa de um ataque real para ser estudada: a criação de um serviço
(cenário 03) ou a mudança de estado de um serviço (cenário 05) podem ser reproduzidas com
artefatos inócuos, evitando ações destrutivas e mantendo o foco na telemetria.</w:t>
      </w:r>
    </w:p>
    <w:p>
      <w:pPr>
        <w:spacing w:after="120" w:line="276"/>
      </w:pPr>
      <w:hyperlink w:history="1" r:id="rIdtff0_re122tc5e0tkwoh9">
        <w:r>
          <w:rPr>
            <w:color w:val="2E75B6"/>
            <w:u w:val="single"/>
          </w:rPr>
          <w:t xml:space="preserve">◀ Contexto</w:t>
        </w:r>
      </w:hyperlink>
      <w:r>
        <w:t xml:space="preserve"> · </w:t>
      </w:r>
      <w:hyperlink w:history="1" r:id="rIds6giflj0hnagx2vfttcpr">
        <w:r>
          <w:rPr>
            <w:color w:val="2E75B6"/>
            <w:u w:val="single"/>
          </w:rPr>
          <w:t xml:space="preserve">Detecção ▶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b/>
      <w:bCs/>
      <w:color w:val="1F4E79"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otbwz1srrruztypefb7po" Type="http://schemas.openxmlformats.org/officeDocument/2006/relationships/hyperlink" Target="00-contexto-e-escopo.md" TargetMode="External"/><Relationship Id="rIdtff0_re122tc5e0tkwoh9" Type="http://schemas.openxmlformats.org/officeDocument/2006/relationships/hyperlink" Target="00-contexto-e-escopo.md" TargetMode="External"/><Relationship Id="rIds6giflj0hnagx2vfttcpr" Type="http://schemas.openxmlformats.org/officeDocument/2006/relationships/hyperlink" Target="02-deteccao-e-regras.m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— Metodologia</dc:title>
  <dc:creator>Tibbers</dc:creator>
  <cp:lastModifiedBy>Un-named</cp:lastModifiedBy>
  <cp:revision>1</cp:revision>
  <dcterms:created xsi:type="dcterms:W3CDTF">2026-10-01T15:52:34.172Z</dcterms:created>
  <dcterms:modified xsi:type="dcterms:W3CDTF">2026-10-01T15:52:34.172Z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