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03 — Resultados e lições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nwn5oqb15n9o6ydg-qf7u">
        <w:r>
          <w:rPr>
            <w:color w:val="2E75B6"/>
            <w:u w:val="single"/>
          </w:rPr>
          <w:t xml:space="preserve">◀ Detecção</w:t>
        </w:r>
      </w:hyperlink>
    </w:p>
    <w:p>
      <w:pPr>
        <w:spacing w:after="120" w:line="276"/>
      </w:pPr>
      <w:r>
        <w:t xml:space="preserve">Síntese do que o estudo mostrou — o que generaliza para além das cinco técnicas.</w:t>
      </w:r>
    </w:p>
    <w:p>
      <w:pPr>
        <w:pStyle w:val="Heading1"/>
        <w:spacing w:after="80" w:before="240"/>
      </w:pPr>
      <w:r>
        <w:t xml:space="preserve">Achados por técnica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Sinal que funciona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 (T1110)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Repetição de 4625 do mesmo IP (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win.eventdata.ipAddress</w:t>
            </w:r>
            <w:r>
              <w:t xml:space="preserve">) numa janela curta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Lockout de conta via GPO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02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Kerberoasting (T1558.003)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 com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ticketEncryptionType 0x17</w:t>
            </w:r>
            <w:r>
              <w:t xml:space="preserve"> (RC4) para um SPN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Forçar AES; senha gerenciada (gMSA)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Persistência por serviço (T1543.003)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7045 (novo serviço) com caminho/binário incomum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Remover o serviço; caçar o vetor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04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Exfiltração (T1041/T1048)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EID 3 com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destinationIp</w:t>
            </w:r>
            <w:r>
              <w:t xml:space="preserve"> externo conhecido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Bloquear o IP (firewall-drop)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Anti-forense (T1562.001)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7040 com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param3 = disabled</w:t>
            </w:r>
            <w:r>
              <w:t xml:space="preserve"> em serviço de defesa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Investigar; restaurar o serviço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Lições que generalizam</w:t>
      </w:r>
    </w:p>
    <w:p>
      <w:pPr>
        <w:spacing w:after="40" w:line="264"/>
      </w:pPr>
      <w:r>
        <w:rPr>
          <w:b/>
          <w:bCs/>
        </w:rPr>
        <w:t xml:space="preserve">1. </w:t>
      </w:r>
      <w:r>
        <w:rPr>
          <w:b/>
          <w:bCs/>
        </w:rPr>
        <w:t xml:space="preserve">Ancoragem é tudo.</w:t>
      </w:r>
      <w:r>
        <w:t xml:space="preserve"> A maioria das regras que "não disparam" não está errada no campo —
está sem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if_group</w:t>
      </w:r>
      <w:r>
        <w:t xml:space="preserve"> do pai, e por isso perde para uma regra genérica de nível
baixo. Sempre ancorar na built-in que decodifica o evento.</w:t>
      </w:r>
    </w:p>
    <w:p>
      <w:pPr>
        <w:spacing w:after="40" w:line="264"/>
      </w:pPr>
      <w:r>
        <w:rPr>
          <w:b/>
          <w:bCs/>
        </w:rPr>
        <w:t xml:space="preserve">2. </w:t>
      </w:r>
      <w:r>
        <w:rPr>
          <w:b/>
          <w:bCs/>
        </w:rPr>
        <w:t xml:space="preserve">Conheça os campos do seu canal.</w:t>
      </w:r>
      <w:r>
        <w:t xml:space="preserve"> O canal de eventos do Windows não popula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; usar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. Esse detalhe muda tanto a </w:t>
      </w:r>
      <w:r>
        <w:rPr>
          <w:b/>
          <w:bCs/>
        </w:rPr>
        <w:t xml:space="preserve">correlação</w:t>
      </w:r>
      <w:r>
        <w:t xml:space="preserve"> quanto a </w:t>
      </w:r>
      <w:r>
        <w:rPr>
          <w:b/>
          <w:bCs/>
        </w:rPr>
        <w:t xml:space="preserve">resposta</w:t>
      </w:r>
      <w:r>
        <w:t xml:space="preserve">
automatizada possível.</w:t>
      </w:r>
    </w:p>
    <w:p>
      <w:pPr>
        <w:spacing w:after="40" w:line="264"/>
      </w:pPr>
      <w:r>
        <w:rPr>
          <w:b/>
          <w:bCs/>
        </w:rPr>
        <w:t xml:space="preserve">3. </w:t>
      </w:r>
      <w:r>
        <w:rPr>
          <w:b/>
          <w:bCs/>
        </w:rPr>
        <w:t xml:space="preserve">Resposta segue a telemetria.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só serve quando há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; em alertas
Windows sem IP, a contenção é no plano de identidade (lockout/GPO).</w:t>
      </w:r>
    </w:p>
    <w:p>
      <w:pPr>
        <w:spacing w:after="40" w:line="264"/>
      </w:pPr>
      <w:r>
        <w:rPr>
          <w:b/>
          <w:bCs/>
        </w:rPr>
        <w:t xml:space="preserve">4. </w:t>
      </w:r>
      <w:r>
        <w:rPr>
          <w:b/>
          <w:bCs/>
        </w:rPr>
        <w:t xml:space="preserve">Nível importa.</w:t>
      </w:r>
      <w:r>
        <w:t xml:space="preserve"> Uma regra correta com nível abaixo do limiar de alerta é, na prática,
invisível. Calibrar o nível ao risco da técnica.</w:t>
      </w:r>
    </w:p>
    <w:p>
      <w:pPr>
        <w:spacing w:after="40" w:line="264"/>
      </w:pPr>
      <w:r>
        <w:rPr>
          <w:b/>
          <w:bCs/>
        </w:rPr>
        <w:t xml:space="preserve">5. </w:t>
      </w:r>
      <w:r>
        <w:rPr>
          <w:b/>
          <w:bCs/>
        </w:rPr>
        <w:t xml:space="preserve">Valide antes de confiar.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wazuh-analysisd -t</w:t>
      </w:r>
      <w:r>
        <w:t xml:space="preserve"> +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wazuh-logtest</w:t>
      </w:r>
      <w:r>
        <w:t xml:space="preserve"> provam o casamento com
evento real; sem isso, a "cobertura" é só teórica.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Limitações do estudo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Recorte de </w:t>
      </w:r>
      <w:r>
        <w:rPr>
          <w:b/>
          <w:bCs/>
        </w:rPr>
        <w:t xml:space="preserve">cinco técnicas</w:t>
      </w:r>
      <w:r>
        <w:t xml:space="preserve"> — não é cobertura completa do ATT&amp;CK.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Ambiente </w:t>
      </w:r>
      <w:r>
        <w:rPr>
          <w:b/>
          <w:bCs/>
        </w:rPr>
        <w:t xml:space="preserve">mínimo</w:t>
      </w:r>
      <w:r>
        <w:t xml:space="preserve"> (um endpoint/DC) — correlação entre múltiplos hosts fica fora do
escopo.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Enriquecimento externo (threat intel/VirusTotal) não foi avaliado.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Direções futuras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Ampliar para mais táticas (descoberta, movimento lateral, impacto).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Medir falsos positivos em volume realista.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Automatizar a validação das regras (teste contínuo do ruleset).</w:t>
      </w:r>
    </w:p>
    <w:p>
      <w:pPr>
        <w:spacing w:after="60"/>
      </w:pPr>
    </w:p>
    <w:p>
      <w:pPr>
        <w:spacing w:after="120" w:line="276"/>
      </w:pPr>
      <w:hyperlink w:history="1" r:id="rIded1ehnaotcg5quqs_f7o6">
        <w:r>
          <w:rPr>
            <w:color w:val="2E75B6"/>
            <w:u w:val="single"/>
          </w:rPr>
          <w:t xml:space="preserve">◀ Detecção</w:t>
        </w:r>
      </w:hyperlink>
      <w:r>
        <w:t xml:space="preserve"> · </w:t>
      </w:r>
      <w:hyperlink w:history="1" r:id="rIdhf0zr4shrpse3hnxfqmtp">
        <w:r>
          <w:rPr>
            <w:color w:val="2E75B6"/>
            <w:u w:val="single"/>
          </w:rPr>
          <w:t xml:space="preserve">Referências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wn5oqb15n9o6ydg-qf7u" Type="http://schemas.openxmlformats.org/officeDocument/2006/relationships/hyperlink" Target="02-deteccao-e-regras.md" TargetMode="External"/><Relationship Id="rIded1ehnaotcg5quqs_f7o6" Type="http://schemas.openxmlformats.org/officeDocument/2006/relationships/hyperlink" Target="02-deteccao-e-regras.md" TargetMode="External"/><Relationship Id="rIdhf0zr4shrpse3hnxfqmtp" Type="http://schemas.openxmlformats.org/officeDocument/2006/relationships/hyperlink" Target="04-referencias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Resultados e lições</dc:title>
  <dc:creator>Tibbers</dc:creator>
  <cp:lastModifiedBy>Un-named</cp:lastModifiedBy>
  <cp:revision>1</cp:revision>
  <dcterms:created xsi:type="dcterms:W3CDTF">2026-10-01T15:52:34.499Z</dcterms:created>
  <dcterms:modified xsi:type="dcterms:W3CDTF">2026-10-01T15:52:34.499Z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