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59D6B">
      <w:pPr>
        <w:jc w:val="center"/>
      </w:pPr>
      <w:r>
        <w:rPr>
          <w:rFonts w:ascii="黑体" w:hAnsi="黑体" w:eastAsia="黑体"/>
          <w:b/>
          <w:sz w:val="36"/>
        </w:rPr>
        <w:t>基于卷积神经网络的服装图像分类研究</w:t>
      </w:r>
    </w:p>
    <w:p w14:paraId="1A745E22">
      <w:pPr>
        <w:spacing w:before="240" w:line="360" w:lineRule="auto"/>
      </w:pPr>
      <w:r>
        <w:rPr>
          <w:rFonts w:ascii="黑体" w:hAnsi="黑体" w:eastAsia="黑体"/>
          <w:b/>
          <w:sz w:val="30"/>
        </w:rPr>
        <w:t>1. 课程论文来源说明</w:t>
      </w:r>
    </w:p>
    <w:p w14:paraId="5EC835F9">
      <w:pPr>
        <w:spacing w:line="360" w:lineRule="auto"/>
        <w:ind w:firstLine="480"/>
      </w:pPr>
      <w:r>
        <w:rPr>
          <w:rFonts w:ascii="宋体" w:hAnsi="宋体" w:eastAsia="宋体"/>
          <w:b w:val="0"/>
          <w:sz w:val="24"/>
        </w:rPr>
        <w:t>本文选题为选项一【实现一种人工智能算法】。算法选用卷积神经网络（CNN）对Fashion-MNIST服装图像数据集进行10分类任务。</w:t>
      </w:r>
    </w:p>
    <w:p w14:paraId="111961B2">
      <w:pPr>
        <w:spacing w:line="360" w:lineRule="auto"/>
        <w:ind w:firstLine="480"/>
      </w:pPr>
      <w:r>
        <w:rPr>
          <w:rFonts w:ascii="宋体" w:hAnsi="宋体" w:eastAsia="宋体"/>
          <w:b w:val="0"/>
          <w:sz w:val="24"/>
        </w:rPr>
        <w:t>数据集来源：Fashion-MNIST公开数据集（Zalando Research, 2017），该数据集通过PyTorch深度学习框架的torchvision.datasets模块直接下载使用（https://github.com/zalandoresearch/fashion-mnist）。</w:t>
      </w:r>
    </w:p>
    <w:p w14:paraId="1F9AC1E7">
      <w:pPr>
        <w:spacing w:line="360" w:lineRule="auto"/>
        <w:ind w:firstLine="480"/>
        <w:rPr>
          <w:rFonts w:hint="default" w:eastAsia="宋体"/>
          <w:lang w:val="en-US" w:eastAsia="zh-CN"/>
        </w:rPr>
      </w:pPr>
      <w:r>
        <w:rPr>
          <w:rFonts w:ascii="宋体" w:hAnsi="宋体" w:eastAsia="宋体"/>
          <w:b w:val="0"/>
          <w:sz w:val="24"/>
        </w:rPr>
        <w:t>本文主要参考资料包括：课程课件；</w:t>
      </w:r>
      <w:r>
        <w:rPr>
          <w:rFonts w:hint="eastAsia"/>
          <w:b w:val="0"/>
          <w:sz w:val="24"/>
          <w:lang w:val="en-US" w:eastAsia="zh-CN"/>
        </w:rPr>
        <w:t>CSDN论坛资料（Chatgpt、</w:t>
      </w:r>
      <w:r>
        <w:rPr>
          <w:rFonts w:ascii="宋体" w:hAnsi="宋体" w:eastAsia="宋体"/>
          <w:b w:val="0"/>
          <w:sz w:val="24"/>
        </w:rPr>
        <w:t>Claude</w:t>
      </w:r>
      <w:r>
        <w:rPr>
          <w:rFonts w:hint="eastAsia"/>
          <w:b w:val="0"/>
          <w:sz w:val="24"/>
          <w:lang w:eastAsia="zh-CN"/>
        </w:rPr>
        <w:t>、</w:t>
      </w:r>
      <w:r>
        <w:rPr>
          <w:rFonts w:hint="eastAsia"/>
          <w:b w:val="0"/>
          <w:sz w:val="24"/>
          <w:lang w:val="en-US" w:eastAsia="zh-CN"/>
        </w:rPr>
        <w:t>deepseek v4 pro）</w:t>
      </w:r>
    </w:p>
    <w:p w14:paraId="7BC2D122">
      <w:pPr>
        <w:spacing w:line="360" w:lineRule="auto"/>
        <w:ind w:firstLine="480"/>
      </w:pPr>
      <w:r>
        <w:rPr>
          <w:rFonts w:ascii="宋体" w:hAnsi="宋体" w:eastAsia="宋体"/>
          <w:b w:val="0"/>
          <w:sz w:val="24"/>
        </w:rPr>
        <w:t>本文所有代</w:t>
      </w:r>
      <w:r>
        <w:rPr>
          <w:rFonts w:hint="eastAsia"/>
          <w:b w:val="0"/>
          <w:sz w:val="24"/>
          <w:lang w:val="en-US" w:eastAsia="zh-CN"/>
        </w:rPr>
        <w:t>码、</w:t>
      </w:r>
      <w:r>
        <w:rPr>
          <w:rFonts w:ascii="宋体" w:hAnsi="宋体" w:eastAsia="宋体"/>
          <w:b w:val="0"/>
          <w:sz w:val="24"/>
        </w:rPr>
        <w:t>实验设计、代码编写、结果分析和图表生成</w:t>
      </w:r>
      <w:r>
        <w:rPr>
          <w:rFonts w:hint="eastAsia"/>
          <w:b w:val="0"/>
          <w:sz w:val="24"/>
          <w:lang w:val="en-US" w:eastAsia="zh-CN"/>
        </w:rPr>
        <w:t>由本人完成</w:t>
      </w:r>
      <w:r>
        <w:rPr>
          <w:rFonts w:ascii="宋体" w:hAnsi="宋体" w:eastAsia="宋体"/>
          <w:b w:val="0"/>
          <w:sz w:val="24"/>
        </w:rPr>
        <w:t>，使用了大型语言模型辅助进行文献格式整理和语言润色</w:t>
      </w:r>
      <w:r>
        <w:rPr>
          <w:rFonts w:hint="eastAsia"/>
          <w:b w:val="0"/>
          <w:sz w:val="24"/>
          <w:lang w:eastAsia="zh-CN"/>
        </w:rPr>
        <w:t>，</w:t>
      </w:r>
      <w:r>
        <w:rPr>
          <w:rFonts w:ascii="宋体" w:hAnsi="宋体" w:eastAsia="宋体"/>
          <w:b w:val="0"/>
          <w:sz w:val="24"/>
        </w:rPr>
        <w:t>包括CNN模型搭建（src/model.py）、训练流程（src/train.py）、评估与可视化（src/evaluate.py、src/visualize.py）、数据预处理（src/data_preprocessing.py）以及实验脚本（quick_figures.py）。</w:t>
      </w:r>
    </w:p>
    <w:p w14:paraId="1A197E19">
      <w:pPr>
        <w:spacing w:before="240" w:line="360" w:lineRule="auto"/>
      </w:pPr>
      <w:r>
        <w:rPr>
          <w:rFonts w:ascii="黑体" w:hAnsi="黑体" w:eastAsia="黑体"/>
          <w:b/>
          <w:sz w:val="30"/>
        </w:rPr>
        <w:t>2. 摘要</w:t>
      </w:r>
    </w:p>
    <w:p w14:paraId="6F0F2438">
      <w:pPr>
        <w:spacing w:line="360" w:lineRule="auto"/>
        <w:ind w:firstLine="480"/>
      </w:pPr>
      <w:r>
        <w:rPr>
          <w:rFonts w:ascii="宋体" w:hAnsi="宋体" w:eastAsia="宋体"/>
          <w:b w:val="0"/>
          <w:sz w:val="24"/>
        </w:rPr>
        <w:t>图像分类是计算机视觉领域的核心任务之一，卷积神经网络凭借其强大的层次化特征提取能力，已成为解决图像分类问题的主流方法。本文以Fashion-MNIST服装图像数据集为研究对象，设计并实现了一个四层CNN模型用于10类服装图像的自动分类。实验采用PyTorch框架，在CPU环境下完成了数据预处理、模型训练、超参数调优和全面的性能评估。结果表明，CNN模型取得了90.1%的测试准确率，显著优于多层感知机基线（84.8%）和逻辑回归基线（80.1%），且CNN参数量仅为MLP的0.7%。超参数实验发现Adam优化器配合0.001学习率效果最优。卷积特征图可视化验证了CNN从浅层边缘纹理到深层语义特征的层次化学习特性。混淆矩阵分析进一步揭示了模型在不同服装类别上的分类差异，为模型改进提供了方向。</w:t>
      </w:r>
    </w:p>
    <w:p w14:paraId="1DE75AE7">
      <w:r>
        <w:rPr>
          <w:rFonts w:ascii="宋体" w:hAnsi="宋体" w:eastAsia="宋体"/>
          <w:b/>
          <w:sz w:val="24"/>
        </w:rPr>
        <w:t>关键词：卷积神经网络；图像分类；Fashion-MNIST；深度学习；梯度下降</w:t>
      </w:r>
    </w:p>
    <w:p w14:paraId="48050F91">
      <w:pPr>
        <w:spacing w:before="240" w:line="360" w:lineRule="auto"/>
      </w:pPr>
      <w:r>
        <w:rPr>
          <w:rFonts w:ascii="黑体" w:hAnsi="黑体" w:eastAsia="黑体"/>
          <w:b/>
          <w:sz w:val="30"/>
        </w:rPr>
        <w:t>3. 引言</w:t>
      </w:r>
    </w:p>
    <w:p w14:paraId="4FAC0309">
      <w:pPr>
        <w:spacing w:line="360" w:lineRule="auto"/>
        <w:ind w:firstLine="480"/>
      </w:pPr>
      <w:r>
        <w:rPr>
          <w:rFonts w:ascii="宋体" w:hAnsi="宋体" w:eastAsia="宋体"/>
          <w:b w:val="0"/>
          <w:sz w:val="24"/>
        </w:rPr>
        <w:t>随着人工智能技术的迅猛发展，深度学习在计算机视觉领域取得了革命性突破。卷积神经网络（Convolutional Neural Network, CNN）自LeNet-5提出以来（LeCun et al., 1998），已成为图像识别、目标检测、图像分割等视觉任务的核心技术。在电子商务和智能零售领域，服装图像的自动准确分类具有重要的商业价值——提升商品检索效率、优化库存管理、改善用户体验。</w:t>
      </w:r>
    </w:p>
    <w:p w14:paraId="46ED96AA">
      <w:pPr>
        <w:spacing w:line="360" w:lineRule="auto"/>
        <w:ind w:firstLine="480"/>
      </w:pPr>
      <w:r>
        <w:rPr>
          <w:rFonts w:ascii="宋体" w:hAnsi="宋体" w:eastAsia="宋体"/>
          <w:b w:val="0"/>
          <w:sz w:val="24"/>
        </w:rPr>
        <w:t>传统图像分类方法依赖人工设计特征（如SIFT、HOG），耗时费力且泛化能力有限。CNN通过端到端学习，能够自动从原始像素中提取层次化特征——从底层的边缘纹理到高层的语义部件，逐层抽象，显著提升了分类准确率。本研究选择CNN图像分类作为课程论文选题，与《人工智能》课程本学期教学内容高度契合。</w:t>
      </w:r>
    </w:p>
    <w:p w14:paraId="53EB344C">
      <w:pPr>
        <w:spacing w:line="360" w:lineRule="auto"/>
        <w:ind w:firstLine="480"/>
      </w:pPr>
      <w:r>
        <w:rPr>
          <w:rFonts w:ascii="宋体" w:hAnsi="宋体" w:eastAsia="宋体"/>
          <w:b w:val="0"/>
          <w:sz w:val="24"/>
        </w:rPr>
        <w:t>本文的主要研究目标为：(1) 设计并实现一个四层CNN模型，完成Fashion-MNIST 10类服装图像的分类任务；(2) 系统对比CNN与MLP、逻辑回归的性能差异，验证卷积结构在图像任务中的优势；(3) 通过超参数调优实验，研究学习率、批次大小和优化器对模型性能的影响；(4) 利用特征图可视化和混淆矩阵等工具，深入分析模型行为。</w:t>
      </w:r>
    </w:p>
    <w:p w14:paraId="1828F594">
      <w:pPr>
        <w:spacing w:before="240" w:line="360" w:lineRule="auto"/>
      </w:pPr>
      <w:r>
        <w:rPr>
          <w:rFonts w:ascii="黑体" w:hAnsi="黑体" w:eastAsia="黑体"/>
          <w:b/>
          <w:sz w:val="30"/>
        </w:rPr>
        <w:t>4. 算法简介</w:t>
      </w:r>
    </w:p>
    <w:p w14:paraId="2FD3B48C">
      <w:pPr>
        <w:spacing w:before="120" w:line="360" w:lineRule="auto"/>
      </w:pPr>
      <w:r>
        <w:rPr>
          <w:rFonts w:ascii="黑体" w:hAnsi="黑体" w:eastAsia="黑体"/>
          <w:b/>
          <w:sz w:val="26"/>
        </w:rPr>
        <w:t>4.1 从MLP到CNN</w:t>
      </w:r>
    </w:p>
    <w:p w14:paraId="5FC30EA0">
      <w:pPr>
        <w:spacing w:line="360" w:lineRule="auto"/>
        <w:ind w:firstLine="480"/>
      </w:pPr>
      <w:r>
        <w:rPr>
          <w:rFonts w:ascii="宋体" w:hAnsi="宋体" w:eastAsia="宋体"/>
          <w:b w:val="0"/>
          <w:sz w:val="24"/>
        </w:rPr>
        <w:t>多层感知机（MLP）是最基础的前馈神经网络，层与层之间采用全连接方式。然而MLP处理图像时有三个主要缺陷：第一，参数爆炸——28x28像素图像展平为784维，第一个隐藏层512个神经元即需40余万参数；第二，空间结构丢失——像素展平后破坏了原有的二维邻接关系；第三，缺乏平移等变性——物体在图像中平移后MLP无法识别为同一物体。</w:t>
      </w:r>
    </w:p>
    <w:p w14:paraId="64FCC6CC">
      <w:pPr>
        <w:spacing w:line="360" w:lineRule="auto"/>
        <w:ind w:firstLine="480"/>
      </w:pPr>
      <w:r>
        <w:rPr>
          <w:rFonts w:ascii="宋体" w:hAnsi="宋体" w:eastAsia="宋体"/>
          <w:b w:val="0"/>
          <w:sz w:val="24"/>
        </w:rPr>
        <w:t>卷积神经网络通过局部连接和权重共享两个核心设计解决了上述问题。局部连接使得每个神经元只与输入的一个局部区域（感受野）相连，大幅减少了参数量。权重共享使得同一个卷积核在整张图像上滑动时使用相同的权重，既减少参数又赋予模型平移等变性——无论特征出现在图像的哪个位置，卷积核都能检测到。</w:t>
      </w:r>
    </w:p>
    <w:p w14:paraId="58E21004">
      <w:pPr>
        <w:spacing w:before="120" w:line="360" w:lineRule="auto"/>
      </w:pPr>
      <w:r>
        <w:rPr>
          <w:rFonts w:ascii="黑体" w:hAnsi="黑体" w:eastAsia="黑体"/>
          <w:b/>
          <w:sz w:val="26"/>
        </w:rPr>
        <w:t>4.2 二维卷积运算</w:t>
      </w:r>
    </w:p>
    <w:p w14:paraId="1287C95A">
      <w:pPr>
        <w:spacing w:line="360" w:lineRule="auto"/>
      </w:pPr>
      <w:r>
        <w:rPr>
          <w:rFonts w:ascii="宋体" w:hAnsi="宋体" w:eastAsia="宋体"/>
          <w:b w:val="0"/>
          <w:sz w:val="24"/>
        </w:rPr>
        <w:t>二维离散卷积的数学定义为：</w:t>
      </w:r>
    </w:p>
    <w:tbl>
      <w:tblPr>
        <w:tblStyle w:val="32"/>
        <w:tblW w:w="0" w:type="auto"/>
        <w:jc w:val="center"/>
        <w:tblLayout w:type="autofit"/>
        <w:tblCellMar>
          <w:top w:w="0" w:type="dxa"/>
          <w:left w:w="108" w:type="dxa"/>
          <w:bottom w:w="0" w:type="dxa"/>
          <w:right w:w="108" w:type="dxa"/>
        </w:tblCellMar>
      </w:tblPr>
      <w:tblGrid>
        <w:gridCol w:w="7635"/>
        <w:gridCol w:w="1221"/>
      </w:tblGrid>
      <w:tr w14:paraId="2C1E2C2D">
        <w:tblPrEx>
          <w:tblCellMar>
            <w:top w:w="0" w:type="dxa"/>
            <w:left w:w="108" w:type="dxa"/>
            <w:bottom w:w="0" w:type="dxa"/>
            <w:right w:w="108" w:type="dxa"/>
          </w:tblCellMar>
        </w:tblPrEx>
        <w:trPr>
          <w:jc w:val="center"/>
        </w:trPr>
        <w:tc>
          <w:tcPr>
            <w:tcW w:w="7920" w:type="dxa"/>
            <w:tcBorders>
              <w:top w:val="nil"/>
              <w:left w:val="nil"/>
              <w:bottom w:val="nil"/>
              <w:right w:val="nil"/>
            </w:tcBorders>
          </w:tcPr>
          <w:p w14:paraId="2AA5E36D">
            <w:pPr>
              <w:jc w:val="center"/>
            </w:pPr>
            <w:r>
              <w:drawing>
                <wp:inline distT="0" distB="0" distL="114300" distR="114300">
                  <wp:extent cx="4114800" cy="395605"/>
                  <wp:effectExtent l="0" t="0" r="0" b="1079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6"/>
                          <a:stretch>
                            <a:fillRect/>
                          </a:stretch>
                        </pic:blipFill>
                        <pic:spPr>
                          <a:xfrm>
                            <a:off x="0" y="0"/>
                            <a:ext cx="4114800" cy="396145"/>
                          </a:xfrm>
                          <a:prstGeom prst="rect">
                            <a:avLst/>
                          </a:prstGeom>
                        </pic:spPr>
                      </pic:pic>
                    </a:graphicData>
                  </a:graphic>
                </wp:inline>
              </w:drawing>
            </w:r>
          </w:p>
        </w:tc>
        <w:tc>
          <w:tcPr>
            <w:tcW w:w="1440" w:type="dxa"/>
            <w:tcBorders>
              <w:top w:val="nil"/>
              <w:left w:val="nil"/>
              <w:bottom w:val="nil"/>
              <w:right w:val="nil"/>
            </w:tcBorders>
          </w:tcPr>
          <w:p w14:paraId="2A529A52">
            <w:pPr>
              <w:jc w:val="right"/>
            </w:pPr>
            <w:r>
              <w:rPr>
                <w:rFonts w:ascii="Times New Roman" w:hAnsi="Times New Roman" w:eastAsia="Times New Roman"/>
                <w:b w:val="0"/>
                <w:sz w:val="24"/>
              </w:rPr>
              <w:t>(2-1),</w:t>
            </w:r>
          </w:p>
        </w:tc>
      </w:tr>
    </w:tbl>
    <w:p w14:paraId="7DF1281F">
      <w:pPr>
        <w:spacing w:line="360" w:lineRule="auto"/>
        <w:ind w:firstLine="480"/>
      </w:pPr>
      <w:r>
        <w:rPr>
          <w:rFonts w:ascii="宋体" w:hAnsi="宋体" w:eastAsia="宋体"/>
          <w:b w:val="0"/>
          <w:sz w:val="24"/>
        </w:rPr>
        <w:t>其中I为输入图像或特征图，K为可学习的卷积核权重矩阵，S为输出特征图。卷积核以固定步长在输入上滑动，每次计算覆盖区域与卷积核的逐元素乘积之和。不同卷积核学习检测不同的视觉模式：浅层倾向学习边缘、角点、纹理等低级特征，深层则学习物体部件、形状等高级语义特征。</w:t>
      </w:r>
    </w:p>
    <w:p w14:paraId="4A4A4AD1">
      <w:pPr>
        <w:spacing w:before="120" w:line="360" w:lineRule="auto"/>
      </w:pPr>
      <w:r>
        <w:rPr>
          <w:rFonts w:ascii="黑体" w:hAnsi="黑体" w:eastAsia="黑体"/>
          <w:b/>
          <w:sz w:val="26"/>
        </w:rPr>
        <w:t>4.3 本文CNN模型架构</w:t>
      </w:r>
    </w:p>
    <w:p w14:paraId="2C32BD33">
      <w:pPr>
        <w:spacing w:line="360" w:lineRule="auto"/>
        <w:ind w:firstLine="480"/>
      </w:pPr>
      <w:r>
        <w:rPr>
          <w:rFonts w:ascii="宋体" w:hAnsi="宋体" w:eastAsia="宋体"/>
          <w:b w:val="0"/>
          <w:sz w:val="24"/>
        </w:rPr>
        <w:t>本文设计的CNN模型由4个卷积块组成，每个卷积块包含Conv2d卷积层、BatchNorm2d批归一化层、ReLU激活函数和MaxPool2d最大池化层。卷积层之后使用全局平均池化（Global Average Pooling）将特征图压缩为向量，经过一个全连接层（含Dropout正则化）和Softmax输出层得到分类结果。模型详细架构见表1。</w:t>
      </w:r>
    </w:p>
    <w:tbl>
      <w:tblPr>
        <w:tblStyle w:val="3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8"/>
        <w:gridCol w:w="3521"/>
        <w:gridCol w:w="2687"/>
      </w:tblGrid>
      <w:tr w14:paraId="364DDA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8" w:type="dxa"/>
            <w:tcBorders>
              <w:tl2br w:val="nil"/>
              <w:tr2bl w:val="nil"/>
            </w:tcBorders>
            <w:vAlign w:val="center"/>
          </w:tcPr>
          <w:p w14:paraId="539DF32A">
            <w:pPr>
              <w:spacing w:after="0"/>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层名称</w:t>
            </w:r>
          </w:p>
        </w:tc>
        <w:tc>
          <w:tcPr>
            <w:tcW w:w="3521" w:type="dxa"/>
            <w:tcBorders>
              <w:tl2br w:val="nil"/>
              <w:tr2bl w:val="nil"/>
            </w:tcBorders>
            <w:vAlign w:val="center"/>
          </w:tcPr>
          <w:p w14:paraId="506BAD6F">
            <w:pPr>
              <w:spacing w:after="0"/>
              <w:jc w:val="center"/>
              <w:rPr>
                <w:rFonts w:ascii="Times New Roman" w:hAnsi="Times New Roman"/>
                <w:b/>
                <w:color w:val="000000" w:themeColor="text1"/>
                <w:sz w:val="21"/>
                <w14:textFill>
                  <w14:solidFill>
                    <w14:schemeClr w14:val="tx1"/>
                  </w14:solidFill>
                </w14:textFill>
              </w:rPr>
            </w:pPr>
            <w:r>
              <w:rPr>
                <w:rFonts w:ascii="Times New Roman" w:hAnsi="Times New Roman"/>
                <w:b/>
                <w:color w:val="000000" w:themeColor="text1"/>
                <w:sz w:val="21"/>
                <w14:textFill>
                  <w14:solidFill>
                    <w14:schemeClr w14:val="tx1"/>
                  </w14:solidFill>
                </w14:textFill>
              </w:rPr>
              <w:t>类型/参数</w:t>
            </w:r>
          </w:p>
        </w:tc>
        <w:tc>
          <w:tcPr>
            <w:tcW w:w="2687" w:type="dxa"/>
            <w:tcBorders>
              <w:tl2br w:val="nil"/>
              <w:tr2bl w:val="nil"/>
            </w:tcBorders>
            <w:vAlign w:val="center"/>
          </w:tcPr>
          <w:p w14:paraId="6CFF50F1">
            <w:pPr>
              <w:spacing w:after="0"/>
              <w:jc w:val="center"/>
              <w:rPr>
                <w:rFonts w:ascii="Times New Roman" w:hAnsi="Times New Roman"/>
                <w:b/>
                <w:color w:val="000000" w:themeColor="text1"/>
                <w:sz w:val="21"/>
                <w14:textFill>
                  <w14:solidFill>
                    <w14:schemeClr w14:val="tx1"/>
                  </w14:solidFill>
                </w14:textFill>
              </w:rPr>
            </w:pPr>
            <w:r>
              <w:rPr>
                <w:rFonts w:ascii="Times New Roman" w:hAnsi="Times New Roman"/>
                <w:b/>
                <w:color w:val="000000" w:themeColor="text1"/>
                <w:sz w:val="21"/>
                <w14:textFill>
                  <w14:solidFill>
                    <w14:schemeClr w14:val="tx1"/>
                  </w14:solidFill>
                </w14:textFill>
              </w:rPr>
              <w:t>输出形状</w:t>
            </w:r>
          </w:p>
        </w:tc>
      </w:tr>
      <w:tr w14:paraId="03B6C8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8" w:type="dxa"/>
            <w:tcBorders>
              <w:tl2br w:val="nil"/>
              <w:tr2bl w:val="nil"/>
            </w:tcBorders>
            <w:vAlign w:val="center"/>
          </w:tcPr>
          <w:p w14:paraId="6C43928B">
            <w:pPr>
              <w:spacing w:after="0" w:line="360" w:lineRule="auto"/>
              <w:jc w:val="center"/>
              <w:rPr>
                <w:rFonts w:ascii="Times New Roman" w:hAnsi="Times New Roman"/>
                <w:b/>
                <w:color w:val="000000" w:themeColor="text1"/>
                <w:sz w:val="21"/>
                <w14:textFill>
                  <w14:solidFill>
                    <w14:schemeClr w14:val="tx1"/>
                  </w14:solidFill>
                </w14:textFill>
              </w:rPr>
            </w:pPr>
            <w:r>
              <w:rPr>
                <w:rFonts w:ascii="Times New Roman" w:hAnsi="Times New Roman"/>
                <w:b/>
                <w:color w:val="000000" w:themeColor="text1"/>
                <w:sz w:val="21"/>
                <w14:textFill>
                  <w14:solidFill>
                    <w14:schemeClr w14:val="tx1"/>
                  </w14:solidFill>
                </w14:textFill>
              </w:rPr>
              <w:t>输入层</w:t>
            </w:r>
          </w:p>
        </w:tc>
        <w:tc>
          <w:tcPr>
            <w:tcW w:w="3521" w:type="dxa"/>
            <w:tcBorders>
              <w:tl2br w:val="nil"/>
              <w:tr2bl w:val="nil"/>
            </w:tcBorders>
            <w:vAlign w:val="center"/>
          </w:tcPr>
          <w:p w14:paraId="7667618F">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28×28×1 灰度图像</w:t>
            </w:r>
          </w:p>
        </w:tc>
        <w:tc>
          <w:tcPr>
            <w:tcW w:w="2687" w:type="dxa"/>
            <w:tcBorders>
              <w:tl2br w:val="nil"/>
              <w:tr2bl w:val="nil"/>
            </w:tcBorders>
            <w:vAlign w:val="center"/>
          </w:tcPr>
          <w:p w14:paraId="70AB659C">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28×28×1</w:t>
            </w:r>
          </w:p>
        </w:tc>
      </w:tr>
      <w:tr w14:paraId="48936F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8" w:type="dxa"/>
            <w:tcBorders>
              <w:tl2br w:val="nil"/>
              <w:tr2bl w:val="nil"/>
            </w:tcBorders>
            <w:vAlign w:val="center"/>
          </w:tcPr>
          <w:p w14:paraId="3DA707B9">
            <w:pPr>
              <w:spacing w:after="0" w:line="360" w:lineRule="auto"/>
              <w:jc w:val="center"/>
              <w:rPr>
                <w:rFonts w:ascii="Times New Roman" w:hAnsi="Times New Roman"/>
                <w:b/>
                <w:color w:val="000000" w:themeColor="text1"/>
                <w:sz w:val="21"/>
                <w14:textFill>
                  <w14:solidFill>
                    <w14:schemeClr w14:val="tx1"/>
                  </w14:solidFill>
                </w14:textFill>
              </w:rPr>
            </w:pPr>
            <w:r>
              <w:rPr>
                <w:rFonts w:ascii="Times New Roman" w:hAnsi="Times New Roman"/>
                <w:b/>
                <w:color w:val="000000" w:themeColor="text1"/>
                <w:sz w:val="21"/>
                <w14:textFill>
                  <w14:solidFill>
                    <w14:schemeClr w14:val="tx1"/>
                  </w14:solidFill>
                </w14:textFill>
              </w:rPr>
              <w:t>Conv Block 1</w:t>
            </w:r>
          </w:p>
        </w:tc>
        <w:tc>
          <w:tcPr>
            <w:tcW w:w="3521" w:type="dxa"/>
            <w:tcBorders>
              <w:tl2br w:val="nil"/>
              <w:tr2bl w:val="nil"/>
            </w:tcBorders>
            <w:vAlign w:val="center"/>
          </w:tcPr>
          <w:p w14:paraId="454FBC8E">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Conv(32,3×3)+BN+ReLU+Pool(2×2)</w:t>
            </w:r>
          </w:p>
        </w:tc>
        <w:tc>
          <w:tcPr>
            <w:tcW w:w="2687" w:type="dxa"/>
            <w:tcBorders>
              <w:tl2br w:val="nil"/>
              <w:tr2bl w:val="nil"/>
            </w:tcBorders>
            <w:vAlign w:val="center"/>
          </w:tcPr>
          <w:p w14:paraId="6656ECC7">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14×14×32</w:t>
            </w:r>
          </w:p>
        </w:tc>
      </w:tr>
      <w:tr w14:paraId="08AD08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8" w:type="dxa"/>
            <w:tcBorders>
              <w:tl2br w:val="nil"/>
              <w:tr2bl w:val="nil"/>
            </w:tcBorders>
            <w:vAlign w:val="center"/>
          </w:tcPr>
          <w:p w14:paraId="43963B3B">
            <w:pPr>
              <w:spacing w:after="0" w:line="360" w:lineRule="auto"/>
              <w:jc w:val="center"/>
              <w:rPr>
                <w:rFonts w:ascii="Times New Roman" w:hAnsi="Times New Roman"/>
                <w:b/>
                <w:color w:val="000000" w:themeColor="text1"/>
                <w:sz w:val="21"/>
                <w14:textFill>
                  <w14:solidFill>
                    <w14:schemeClr w14:val="tx1"/>
                  </w14:solidFill>
                </w14:textFill>
              </w:rPr>
            </w:pPr>
            <w:r>
              <w:rPr>
                <w:rFonts w:ascii="Times New Roman" w:hAnsi="Times New Roman"/>
                <w:b/>
                <w:color w:val="000000" w:themeColor="text1"/>
                <w:sz w:val="21"/>
                <w14:textFill>
                  <w14:solidFill>
                    <w14:schemeClr w14:val="tx1"/>
                  </w14:solidFill>
                </w14:textFill>
              </w:rPr>
              <w:t>Conv Block 2</w:t>
            </w:r>
          </w:p>
        </w:tc>
        <w:tc>
          <w:tcPr>
            <w:tcW w:w="3521" w:type="dxa"/>
            <w:tcBorders>
              <w:tl2br w:val="nil"/>
              <w:tr2bl w:val="nil"/>
            </w:tcBorders>
            <w:vAlign w:val="center"/>
          </w:tcPr>
          <w:p w14:paraId="286DBF4B">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Conv(64,3×3)+BN+ReLU+Pool(2×2)</w:t>
            </w:r>
          </w:p>
        </w:tc>
        <w:tc>
          <w:tcPr>
            <w:tcW w:w="2687" w:type="dxa"/>
            <w:tcBorders>
              <w:tl2br w:val="nil"/>
              <w:tr2bl w:val="nil"/>
            </w:tcBorders>
            <w:vAlign w:val="center"/>
          </w:tcPr>
          <w:p w14:paraId="3523B431">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7×7×64</w:t>
            </w:r>
          </w:p>
        </w:tc>
      </w:tr>
      <w:tr w14:paraId="5E915A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8" w:type="dxa"/>
            <w:tcBorders>
              <w:tl2br w:val="nil"/>
              <w:tr2bl w:val="nil"/>
            </w:tcBorders>
            <w:vAlign w:val="center"/>
          </w:tcPr>
          <w:p w14:paraId="78544176">
            <w:pPr>
              <w:spacing w:after="0" w:line="360" w:lineRule="auto"/>
              <w:jc w:val="center"/>
              <w:rPr>
                <w:rFonts w:ascii="Times New Roman" w:hAnsi="Times New Roman"/>
                <w:b/>
                <w:color w:val="000000" w:themeColor="text1"/>
                <w:sz w:val="21"/>
                <w14:textFill>
                  <w14:solidFill>
                    <w14:schemeClr w14:val="tx1"/>
                  </w14:solidFill>
                </w14:textFill>
              </w:rPr>
            </w:pPr>
            <w:r>
              <w:rPr>
                <w:rFonts w:ascii="Times New Roman" w:hAnsi="Times New Roman"/>
                <w:b/>
                <w:color w:val="000000" w:themeColor="text1"/>
                <w:sz w:val="21"/>
                <w14:textFill>
                  <w14:solidFill>
                    <w14:schemeClr w14:val="tx1"/>
                  </w14:solidFill>
                </w14:textFill>
              </w:rPr>
              <w:t>Conv Block 3</w:t>
            </w:r>
          </w:p>
        </w:tc>
        <w:tc>
          <w:tcPr>
            <w:tcW w:w="3521" w:type="dxa"/>
            <w:tcBorders>
              <w:tl2br w:val="nil"/>
              <w:tr2bl w:val="nil"/>
            </w:tcBorders>
            <w:vAlign w:val="center"/>
          </w:tcPr>
          <w:p w14:paraId="5AF108DE">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Conv(128,3×3)+BN+ReLU+Pool(2×2)</w:t>
            </w:r>
          </w:p>
        </w:tc>
        <w:tc>
          <w:tcPr>
            <w:tcW w:w="2687" w:type="dxa"/>
            <w:tcBorders>
              <w:tl2br w:val="nil"/>
              <w:tr2bl w:val="nil"/>
            </w:tcBorders>
            <w:vAlign w:val="center"/>
          </w:tcPr>
          <w:p w14:paraId="502A6F24">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3×3×128</w:t>
            </w:r>
          </w:p>
        </w:tc>
      </w:tr>
      <w:tr w14:paraId="217FFA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8" w:type="dxa"/>
            <w:tcBorders>
              <w:tl2br w:val="nil"/>
              <w:tr2bl w:val="nil"/>
            </w:tcBorders>
            <w:vAlign w:val="center"/>
          </w:tcPr>
          <w:p w14:paraId="37404036">
            <w:pPr>
              <w:spacing w:after="0" w:line="360" w:lineRule="auto"/>
              <w:jc w:val="center"/>
              <w:rPr>
                <w:rFonts w:ascii="Times New Roman" w:hAnsi="Times New Roman"/>
                <w:b/>
                <w:color w:val="000000" w:themeColor="text1"/>
                <w:sz w:val="21"/>
                <w14:textFill>
                  <w14:solidFill>
                    <w14:schemeClr w14:val="tx1"/>
                  </w14:solidFill>
                </w14:textFill>
              </w:rPr>
            </w:pPr>
            <w:r>
              <w:rPr>
                <w:rFonts w:ascii="Times New Roman" w:hAnsi="Times New Roman"/>
                <w:b/>
                <w:color w:val="000000" w:themeColor="text1"/>
                <w:sz w:val="21"/>
                <w14:textFill>
                  <w14:solidFill>
                    <w14:schemeClr w14:val="tx1"/>
                  </w14:solidFill>
                </w14:textFill>
              </w:rPr>
              <w:t>Conv Block 4</w:t>
            </w:r>
          </w:p>
        </w:tc>
        <w:tc>
          <w:tcPr>
            <w:tcW w:w="3521" w:type="dxa"/>
            <w:tcBorders>
              <w:tl2br w:val="nil"/>
              <w:tr2bl w:val="nil"/>
            </w:tcBorders>
            <w:vAlign w:val="center"/>
          </w:tcPr>
          <w:p w14:paraId="20713980">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Conv(128,3×3)+BN+ReLU</w:t>
            </w:r>
          </w:p>
        </w:tc>
        <w:tc>
          <w:tcPr>
            <w:tcW w:w="2687" w:type="dxa"/>
            <w:tcBorders>
              <w:tl2br w:val="nil"/>
              <w:tr2bl w:val="nil"/>
            </w:tcBorders>
            <w:vAlign w:val="center"/>
          </w:tcPr>
          <w:p w14:paraId="23E24B29">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3×3×128</w:t>
            </w:r>
          </w:p>
        </w:tc>
      </w:tr>
      <w:tr w14:paraId="165C63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8" w:type="dxa"/>
            <w:tcBorders>
              <w:tl2br w:val="nil"/>
              <w:tr2bl w:val="nil"/>
            </w:tcBorders>
            <w:vAlign w:val="center"/>
          </w:tcPr>
          <w:p w14:paraId="5990BC25">
            <w:pPr>
              <w:spacing w:after="0" w:line="360" w:lineRule="auto"/>
              <w:jc w:val="center"/>
              <w:rPr>
                <w:rFonts w:ascii="Times New Roman" w:hAnsi="Times New Roman"/>
                <w:b/>
                <w:color w:val="000000" w:themeColor="text1"/>
                <w:sz w:val="21"/>
                <w14:textFill>
                  <w14:solidFill>
                    <w14:schemeClr w14:val="tx1"/>
                  </w14:solidFill>
                </w14:textFill>
              </w:rPr>
            </w:pPr>
            <w:r>
              <w:rPr>
                <w:rFonts w:ascii="Times New Roman" w:hAnsi="Times New Roman"/>
                <w:b/>
                <w:color w:val="000000" w:themeColor="text1"/>
                <w:sz w:val="21"/>
                <w14:textFill>
                  <w14:solidFill>
                    <w14:schemeClr w14:val="tx1"/>
                  </w14:solidFill>
                </w14:textFill>
              </w:rPr>
              <w:t>全局平均池化</w:t>
            </w:r>
          </w:p>
        </w:tc>
        <w:tc>
          <w:tcPr>
            <w:tcW w:w="3521" w:type="dxa"/>
            <w:tcBorders>
              <w:tl2br w:val="nil"/>
              <w:tr2bl w:val="nil"/>
            </w:tcBorders>
            <w:vAlign w:val="center"/>
          </w:tcPr>
          <w:p w14:paraId="232FFA1E">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AdaptiveAvgPool2d(1×1)</w:t>
            </w:r>
          </w:p>
        </w:tc>
        <w:tc>
          <w:tcPr>
            <w:tcW w:w="2687" w:type="dxa"/>
            <w:tcBorders>
              <w:tl2br w:val="nil"/>
              <w:tr2bl w:val="nil"/>
            </w:tcBorders>
            <w:vAlign w:val="center"/>
          </w:tcPr>
          <w:p w14:paraId="3D440CC7">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1×1×128</w:t>
            </w:r>
          </w:p>
        </w:tc>
      </w:tr>
      <w:tr w14:paraId="3ACA02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8" w:type="dxa"/>
            <w:tcBorders>
              <w:tl2br w:val="nil"/>
              <w:tr2bl w:val="nil"/>
            </w:tcBorders>
            <w:vAlign w:val="center"/>
          </w:tcPr>
          <w:p w14:paraId="333C9E3A">
            <w:pPr>
              <w:spacing w:after="0" w:line="360" w:lineRule="auto"/>
              <w:jc w:val="center"/>
              <w:rPr>
                <w:rFonts w:ascii="Times New Roman" w:hAnsi="Times New Roman"/>
                <w:b/>
                <w:color w:val="000000" w:themeColor="text1"/>
                <w:sz w:val="21"/>
                <w14:textFill>
                  <w14:solidFill>
                    <w14:schemeClr w14:val="tx1"/>
                  </w14:solidFill>
                </w14:textFill>
              </w:rPr>
            </w:pPr>
            <w:r>
              <w:rPr>
                <w:rFonts w:ascii="Times New Roman" w:hAnsi="Times New Roman"/>
                <w:b/>
                <w:color w:val="000000" w:themeColor="text1"/>
                <w:sz w:val="21"/>
                <w14:textFill>
                  <w14:solidFill>
                    <w14:schemeClr w14:val="tx1"/>
                  </w14:solidFill>
                </w14:textFill>
              </w:rPr>
              <w:t>展平</w:t>
            </w:r>
          </w:p>
        </w:tc>
        <w:tc>
          <w:tcPr>
            <w:tcW w:w="3521" w:type="dxa"/>
            <w:tcBorders>
              <w:tl2br w:val="nil"/>
              <w:tr2bl w:val="nil"/>
            </w:tcBorders>
            <w:vAlign w:val="center"/>
          </w:tcPr>
          <w:p w14:paraId="10617289">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w:t>
            </w:r>
          </w:p>
        </w:tc>
        <w:tc>
          <w:tcPr>
            <w:tcW w:w="2687" w:type="dxa"/>
            <w:tcBorders>
              <w:tl2br w:val="nil"/>
              <w:tr2bl w:val="nil"/>
            </w:tcBorders>
            <w:vAlign w:val="center"/>
          </w:tcPr>
          <w:p w14:paraId="6E33A449">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128</w:t>
            </w:r>
          </w:p>
        </w:tc>
      </w:tr>
      <w:tr w14:paraId="67EE4D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8" w:type="dxa"/>
            <w:tcBorders>
              <w:tl2br w:val="nil"/>
              <w:tr2bl w:val="nil"/>
            </w:tcBorders>
            <w:vAlign w:val="center"/>
          </w:tcPr>
          <w:p w14:paraId="7BFA95A7">
            <w:pPr>
              <w:spacing w:after="0" w:line="360" w:lineRule="auto"/>
              <w:jc w:val="center"/>
              <w:rPr>
                <w:rFonts w:ascii="Times New Roman" w:hAnsi="Times New Roman"/>
                <w:b/>
                <w:color w:val="000000" w:themeColor="text1"/>
                <w:sz w:val="21"/>
                <w14:textFill>
                  <w14:solidFill>
                    <w14:schemeClr w14:val="tx1"/>
                  </w14:solidFill>
                </w14:textFill>
              </w:rPr>
            </w:pPr>
            <w:r>
              <w:rPr>
                <w:rFonts w:ascii="Times New Roman" w:hAnsi="Times New Roman"/>
                <w:b/>
                <w:color w:val="000000" w:themeColor="text1"/>
                <w:sz w:val="21"/>
                <w14:textFill>
                  <w14:solidFill>
                    <w14:schemeClr w14:val="tx1"/>
                  </w14:solidFill>
                </w14:textFill>
              </w:rPr>
              <w:t>全连接层</w:t>
            </w:r>
          </w:p>
        </w:tc>
        <w:tc>
          <w:tcPr>
            <w:tcW w:w="3521" w:type="dxa"/>
            <w:tcBorders>
              <w:tl2br w:val="nil"/>
              <w:tr2bl w:val="nil"/>
            </w:tcBorders>
            <w:vAlign w:val="center"/>
          </w:tcPr>
          <w:p w14:paraId="116C400A">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Linear(128,256)+ReLU+Dropout(0.5)</w:t>
            </w:r>
          </w:p>
        </w:tc>
        <w:tc>
          <w:tcPr>
            <w:tcW w:w="2687" w:type="dxa"/>
            <w:tcBorders>
              <w:tl2br w:val="nil"/>
              <w:tr2bl w:val="nil"/>
            </w:tcBorders>
            <w:vAlign w:val="center"/>
          </w:tcPr>
          <w:p w14:paraId="74285BB6">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256</w:t>
            </w:r>
          </w:p>
        </w:tc>
      </w:tr>
      <w:tr w14:paraId="085B72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8" w:type="dxa"/>
            <w:tcBorders>
              <w:tl2br w:val="nil"/>
              <w:tr2bl w:val="nil"/>
            </w:tcBorders>
            <w:vAlign w:val="center"/>
          </w:tcPr>
          <w:p w14:paraId="2808D8E7">
            <w:pPr>
              <w:spacing w:after="0" w:line="360" w:lineRule="auto"/>
              <w:jc w:val="center"/>
              <w:rPr>
                <w:rFonts w:ascii="Times New Roman" w:hAnsi="Times New Roman"/>
                <w:b/>
                <w:color w:val="000000" w:themeColor="text1"/>
                <w:sz w:val="21"/>
                <w14:textFill>
                  <w14:solidFill>
                    <w14:schemeClr w14:val="tx1"/>
                  </w14:solidFill>
                </w14:textFill>
              </w:rPr>
            </w:pPr>
            <w:r>
              <w:rPr>
                <w:rFonts w:ascii="Times New Roman" w:hAnsi="Times New Roman"/>
                <w:b/>
                <w:color w:val="000000" w:themeColor="text1"/>
                <w:sz w:val="21"/>
                <w14:textFill>
                  <w14:solidFill>
                    <w14:schemeClr w14:val="tx1"/>
                  </w14:solidFill>
                </w14:textFill>
              </w:rPr>
              <w:t>输出层</w:t>
            </w:r>
          </w:p>
        </w:tc>
        <w:tc>
          <w:tcPr>
            <w:tcW w:w="3521" w:type="dxa"/>
            <w:tcBorders>
              <w:tl2br w:val="nil"/>
              <w:tr2bl w:val="nil"/>
            </w:tcBorders>
            <w:vAlign w:val="center"/>
          </w:tcPr>
          <w:p w14:paraId="5988496E">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Linear(256,10)+Softmax</w:t>
            </w:r>
          </w:p>
        </w:tc>
        <w:tc>
          <w:tcPr>
            <w:tcW w:w="2687" w:type="dxa"/>
            <w:tcBorders>
              <w:tl2br w:val="nil"/>
              <w:tr2bl w:val="nil"/>
            </w:tcBorders>
            <w:vAlign w:val="center"/>
          </w:tcPr>
          <w:p w14:paraId="453F223D">
            <w:pPr>
              <w:spacing w:after="0" w:line="360" w:lineRule="auto"/>
              <w:jc w:val="center"/>
              <w:rPr>
                <w:rFonts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10</w:t>
            </w:r>
          </w:p>
        </w:tc>
      </w:tr>
    </w:tbl>
    <w:p w14:paraId="0C543038"/>
    <w:p w14:paraId="52C7EE04">
      <w:pPr>
        <w:jc w:val="center"/>
      </w:pPr>
      <w:r>
        <w:rPr>
          <w:rFonts w:ascii="宋体" w:hAnsi="宋体" w:eastAsia="宋体"/>
          <w:b w:val="0"/>
          <w:sz w:val="18"/>
        </w:rPr>
        <w:t>表1  CNN模型架构（总参数量：276,554）</w:t>
      </w:r>
    </w:p>
    <w:p w14:paraId="64F127B6">
      <w:pPr>
        <w:spacing w:before="120" w:line="360" w:lineRule="auto"/>
      </w:pPr>
      <w:r>
        <w:rPr>
          <w:rFonts w:ascii="黑体" w:hAnsi="黑体" w:eastAsia="黑体"/>
          <w:b/>
          <w:sz w:val="26"/>
        </w:rPr>
        <w:t>4.4 训练与优化</w:t>
      </w:r>
    </w:p>
    <w:p w14:paraId="5A3A399F">
      <w:pPr>
        <w:spacing w:line="360" w:lineRule="auto"/>
        <w:ind w:firstLine="480"/>
        <w:rPr>
          <w:rFonts w:ascii="宋体" w:hAnsi="宋体" w:eastAsia="宋体"/>
          <w:b w:val="0"/>
          <w:sz w:val="24"/>
        </w:rPr>
      </w:pPr>
      <w:r>
        <w:rPr>
          <w:rFonts w:ascii="宋体" w:hAnsi="宋体" w:eastAsia="宋体"/>
          <w:b w:val="0"/>
          <w:sz w:val="24"/>
        </w:rPr>
        <w:t>CNN的训练采用监督学习范式，使用交叉熵损失作为目标函数：</w:t>
      </w:r>
    </w:p>
    <w:tbl>
      <w:tblPr>
        <w:tblStyle w:val="32"/>
        <w:tblW w:w="0" w:type="auto"/>
        <w:jc w:val="center"/>
        <w:tblLayout w:type="autofit"/>
        <w:tblCellMar>
          <w:top w:w="0" w:type="dxa"/>
          <w:left w:w="108" w:type="dxa"/>
          <w:bottom w:w="0" w:type="dxa"/>
          <w:right w:w="108" w:type="dxa"/>
        </w:tblCellMar>
      </w:tblPr>
      <w:tblGrid>
        <w:gridCol w:w="6696"/>
        <w:gridCol w:w="496"/>
      </w:tblGrid>
      <w:tr w14:paraId="3B165123">
        <w:tblPrEx>
          <w:tblCellMar>
            <w:top w:w="0" w:type="dxa"/>
            <w:left w:w="108" w:type="dxa"/>
            <w:bottom w:w="0" w:type="dxa"/>
            <w:right w:w="108" w:type="dxa"/>
          </w:tblCellMar>
        </w:tblPrEx>
        <w:trPr>
          <w:trHeight w:val="90" w:hRule="atLeast"/>
          <w:jc w:val="center"/>
        </w:trPr>
        <w:tc>
          <w:tcPr>
            <w:tcW w:w="5679" w:type="dxa"/>
            <w:tcBorders>
              <w:top w:val="nil"/>
              <w:left w:val="nil"/>
              <w:bottom w:val="nil"/>
              <w:right w:val="nil"/>
            </w:tcBorders>
          </w:tcPr>
          <w:p w14:paraId="665A6049">
            <w:pPr>
              <w:jc w:val="center"/>
            </w:pPr>
            <w:r>
              <w:drawing>
                <wp:inline distT="0" distB="0" distL="114300" distR="114300">
                  <wp:extent cx="4114800" cy="678815"/>
                  <wp:effectExtent l="0" t="0" r="0" b="698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7"/>
                          <a:stretch>
                            <a:fillRect/>
                          </a:stretch>
                        </pic:blipFill>
                        <pic:spPr>
                          <a:xfrm>
                            <a:off x="0" y="0"/>
                            <a:ext cx="4114800" cy="679142"/>
                          </a:xfrm>
                          <a:prstGeom prst="rect">
                            <a:avLst/>
                          </a:prstGeom>
                        </pic:spPr>
                      </pic:pic>
                    </a:graphicData>
                  </a:graphic>
                </wp:inline>
              </w:drawing>
            </w:r>
          </w:p>
        </w:tc>
        <w:tc>
          <w:tcPr>
            <w:tcW w:w="420" w:type="dxa"/>
            <w:tcBorders>
              <w:top w:val="nil"/>
              <w:left w:val="nil"/>
              <w:bottom w:val="nil"/>
              <w:right w:val="nil"/>
            </w:tcBorders>
          </w:tcPr>
          <w:p w14:paraId="05ACB52C">
            <w:pPr>
              <w:jc w:val="right"/>
            </w:pPr>
            <w:r>
              <w:rPr>
                <w:rFonts w:ascii="Times New Roman" w:hAnsi="Times New Roman" w:eastAsia="Times New Roman"/>
                <w:b w:val="0"/>
                <w:sz w:val="24"/>
              </w:rPr>
              <w:t>(2-2),</w:t>
            </w:r>
          </w:p>
        </w:tc>
      </w:tr>
    </w:tbl>
    <w:p w14:paraId="410ECDC9">
      <w:pPr>
        <w:spacing w:line="360" w:lineRule="auto"/>
        <w:ind w:firstLine="480"/>
      </w:pPr>
      <w:r>
        <w:rPr>
          <w:rFonts w:ascii="宋体" w:hAnsi="宋体" w:eastAsia="宋体"/>
          <w:b w:val="0"/>
          <w:sz w:val="24"/>
        </w:rPr>
        <w:t>。训练中通过反向传播算法计算损失对每个参数的梯度，再用梯度下降法更新参数：</w:t>
      </w:r>
    </w:p>
    <w:tbl>
      <w:tblPr>
        <w:tblStyle w:val="32"/>
        <w:tblW w:w="0" w:type="auto"/>
        <w:jc w:val="center"/>
        <w:tblLayout w:type="autofit"/>
        <w:tblCellMar>
          <w:top w:w="0" w:type="dxa"/>
          <w:left w:w="108" w:type="dxa"/>
          <w:bottom w:w="0" w:type="dxa"/>
          <w:right w:w="108" w:type="dxa"/>
        </w:tblCellMar>
      </w:tblPr>
      <w:tblGrid>
        <w:gridCol w:w="6696"/>
        <w:gridCol w:w="943"/>
      </w:tblGrid>
      <w:tr w14:paraId="711514EE">
        <w:tblPrEx>
          <w:tblCellMar>
            <w:top w:w="0" w:type="dxa"/>
            <w:left w:w="108" w:type="dxa"/>
            <w:bottom w:w="0" w:type="dxa"/>
            <w:right w:w="108" w:type="dxa"/>
          </w:tblCellMar>
        </w:tblPrEx>
        <w:trPr>
          <w:trHeight w:val="610" w:hRule="atLeast"/>
          <w:jc w:val="center"/>
        </w:trPr>
        <w:tc>
          <w:tcPr>
            <w:tcW w:w="5896" w:type="dxa"/>
            <w:tcBorders>
              <w:top w:val="nil"/>
              <w:left w:val="nil"/>
              <w:bottom w:val="nil"/>
              <w:right w:val="nil"/>
            </w:tcBorders>
          </w:tcPr>
          <w:p w14:paraId="70F6508A">
            <w:pPr>
              <w:jc w:val="center"/>
            </w:pPr>
            <w:r>
              <w:drawing>
                <wp:inline distT="0" distB="0" distL="114300" distR="114300">
                  <wp:extent cx="4114800" cy="524510"/>
                  <wp:effectExtent l="0" t="0" r="0" b="889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8"/>
                          <a:stretch>
                            <a:fillRect/>
                          </a:stretch>
                        </pic:blipFill>
                        <pic:spPr>
                          <a:xfrm>
                            <a:off x="0" y="0"/>
                            <a:ext cx="4114800" cy="524933"/>
                          </a:xfrm>
                          <a:prstGeom prst="rect">
                            <a:avLst/>
                          </a:prstGeom>
                        </pic:spPr>
                      </pic:pic>
                    </a:graphicData>
                  </a:graphic>
                </wp:inline>
              </w:drawing>
            </w:r>
          </w:p>
        </w:tc>
        <w:tc>
          <w:tcPr>
            <w:tcW w:w="943" w:type="dxa"/>
            <w:tcBorders>
              <w:top w:val="nil"/>
              <w:left w:val="nil"/>
              <w:bottom w:val="nil"/>
              <w:right w:val="nil"/>
            </w:tcBorders>
          </w:tcPr>
          <w:p w14:paraId="579832CA">
            <w:pPr>
              <w:jc w:val="right"/>
            </w:pPr>
            <w:r>
              <w:rPr>
                <w:rFonts w:ascii="Times New Roman" w:hAnsi="Times New Roman" w:eastAsia="Times New Roman"/>
                <w:b w:val="0"/>
                <w:sz w:val="24"/>
              </w:rPr>
              <w:t>(2-3),</w:t>
            </w:r>
          </w:p>
        </w:tc>
      </w:tr>
    </w:tbl>
    <w:p w14:paraId="18E319B5">
      <w:pPr>
        <w:spacing w:line="360" w:lineRule="auto"/>
        <w:ind w:firstLine="480"/>
      </w:pPr>
    </w:p>
    <w:p w14:paraId="12621A49">
      <w:pPr>
        <w:spacing w:line="360" w:lineRule="auto"/>
        <w:ind w:firstLine="480"/>
      </w:pPr>
      <w:r>
        <w:rPr>
          <w:rFonts w:ascii="宋体" w:hAnsi="宋体" w:eastAsia="宋体"/>
          <w:b w:val="0"/>
          <w:sz w:val="24"/>
        </w:rPr>
        <w:t>本文采用Adam优化器（Kingma &amp; Ba, 2015），它结合动量法和自适应学习率的优点，能为每个参数自适应调整学习率。为防止过拟合，采用三种策略：Dropout正则化（丢弃率0.5）、早停机制（验证损失多轮不下降则停止）和数据增强（随机水平翻转和随机旋转）。学习率调度采用ReduceLROnPlateau策略。</w:t>
      </w:r>
    </w:p>
    <w:p w14:paraId="31D7B486">
      <w:pPr>
        <w:spacing w:before="240" w:line="360" w:lineRule="auto"/>
      </w:pPr>
      <w:r>
        <w:rPr>
          <w:rFonts w:ascii="黑体" w:hAnsi="黑体" w:eastAsia="黑体"/>
          <w:b/>
          <w:sz w:val="30"/>
        </w:rPr>
        <w:t>5. 实验设计与应用场景</w:t>
      </w:r>
    </w:p>
    <w:p w14:paraId="3F37DAD3">
      <w:pPr>
        <w:spacing w:before="120" w:line="360" w:lineRule="auto"/>
      </w:pPr>
      <w:r>
        <w:rPr>
          <w:rFonts w:ascii="黑体" w:hAnsi="黑体" w:eastAsia="黑体"/>
          <w:b/>
          <w:sz w:val="26"/>
        </w:rPr>
        <w:t>(一) 数据介绍</w:t>
      </w:r>
    </w:p>
    <w:p w14:paraId="275D32B4">
      <w:pPr>
        <w:spacing w:line="360" w:lineRule="auto"/>
        <w:ind w:firstLine="480"/>
      </w:pPr>
      <w:r>
        <w:rPr>
          <w:rFonts w:ascii="宋体" w:hAnsi="宋体" w:eastAsia="宋体"/>
          <w:b w:val="0"/>
          <w:sz w:val="24"/>
        </w:rPr>
        <w:t>Fashion-MNIST数据集由Zalando Research于2017年发布（Xiao et al., 2017），包含10个服装类别的70,000张28×28像素灰度图像，每类7,000张。10个类别分别为：T恤/上衣、裤子、套头衫、连衣裙、外套、凉鞋、衬衫、运动鞋、包、短靴。数据集分布均衡（每类训练6,000张、测试1,000张），原始像素值范围0-255。本文从原始60,000张训练集中随机划分15%（9,000张）作为验证集，剩余51,000张为实际训练集，测试集保持10,000张不变。</w:t>
      </w:r>
    </w:p>
    <w:p w14:paraId="51021AA1">
      <w:pPr>
        <w:spacing w:before="120" w:line="360" w:lineRule="auto"/>
      </w:pPr>
      <w:r>
        <w:rPr>
          <w:rFonts w:ascii="黑体" w:hAnsi="黑体" w:eastAsia="黑体"/>
          <w:b/>
          <w:sz w:val="26"/>
        </w:rPr>
        <w:t>(二) 数据预处理</w:t>
      </w:r>
    </w:p>
    <w:p w14:paraId="0DBE1CAF">
      <w:pPr>
        <w:spacing w:line="360" w:lineRule="auto"/>
      </w:pPr>
      <w:r>
        <w:rPr>
          <w:rFonts w:ascii="宋体" w:hAnsi="宋体" w:eastAsia="宋体"/>
          <w:b w:val="0"/>
          <w:sz w:val="24"/>
        </w:rPr>
        <w:t>数据预处理包含以下步骤：</w:t>
      </w:r>
    </w:p>
    <w:p w14:paraId="363345CB">
      <w:pPr>
        <w:spacing w:line="360" w:lineRule="auto"/>
        <w:ind w:firstLine="480"/>
      </w:pPr>
      <w:r>
        <w:rPr>
          <w:rFonts w:ascii="宋体" w:hAnsi="宋体" w:eastAsia="宋体"/>
          <w:b w:val="0"/>
          <w:sz w:val="24"/>
        </w:rPr>
        <w:t>(1) 归一化与标准化：将像素值从[0,255]缩放到[0,1]，再使用Fashion-MNIST的全局均值0.2860和标准差0.3530进行标准化，使数据分布接近标准正态分布，加速模型收敛。</w:t>
      </w:r>
    </w:p>
    <w:p w14:paraId="0FB95E51">
      <w:pPr>
        <w:spacing w:line="360" w:lineRule="auto"/>
        <w:ind w:firstLine="480"/>
      </w:pPr>
      <w:r>
        <w:rPr>
          <w:rFonts w:ascii="宋体" w:hAnsi="宋体" w:eastAsia="宋体"/>
          <w:b w:val="0"/>
          <w:sz w:val="24"/>
        </w:rPr>
        <w:t>(2) 数据增强（仅训练集）：应用随机水平翻转（概率0.5）和随机旋转（±10度），扩充训练样本多样性，提高模型泛化能力和对形变的鲁棒性。验证集和测试集不做增强。</w:t>
      </w:r>
    </w:p>
    <w:p w14:paraId="6F6EEB32">
      <w:pPr>
        <w:spacing w:line="360" w:lineRule="auto"/>
        <w:ind w:firstLine="480"/>
      </w:pPr>
      <w:r>
        <w:rPr>
          <w:rFonts w:ascii="宋体" w:hAnsi="宋体" w:eastAsia="宋体"/>
          <w:b w:val="0"/>
          <w:sz w:val="24"/>
        </w:rPr>
        <w:t>(3) 数据加载：使用PyTorch DataLoader进行批次加载，训练时随机打乱，验证和测试时保持固定顺序以确保结果可复现。</w:t>
      </w:r>
    </w:p>
    <w:p w14:paraId="1D3153C2">
      <w:pPr>
        <w:spacing w:before="120" w:line="360" w:lineRule="auto"/>
      </w:pPr>
      <w:r>
        <w:rPr>
          <w:rFonts w:ascii="黑体" w:hAnsi="黑体" w:eastAsia="黑体"/>
          <w:b/>
          <w:sz w:val="26"/>
        </w:rPr>
        <w:t>(三) 数据可视化</w:t>
      </w:r>
    </w:p>
    <w:p w14:paraId="05F39181">
      <w:pPr>
        <w:spacing w:line="360" w:lineRule="auto"/>
        <w:ind w:firstLine="480"/>
      </w:pPr>
      <w:r>
        <w:rPr>
          <w:rFonts w:ascii="宋体" w:hAnsi="宋体" w:eastAsia="宋体"/>
          <w:b w:val="0"/>
          <w:sz w:val="24"/>
        </w:rPr>
        <w:t>为直观了解数据集特征，本文进行了数据可视化分析。图1展示了每个类别的5个随机样本。图2展示了训练集中各类别的样本数量分布，验证了数据集的类别均衡性。图3展示了数据增强前后的样本对比。</w:t>
      </w:r>
    </w:p>
    <w:p w14:paraId="7C82B8A7">
      <w:pPr>
        <w:jc w:val="center"/>
      </w:pPr>
      <w:r>
        <w:drawing>
          <wp:inline distT="0" distB="0" distL="114300" distR="114300">
            <wp:extent cx="4389120" cy="8721725"/>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4389120" cy="8722007"/>
                    </a:xfrm>
                    <a:prstGeom prst="rect">
                      <a:avLst/>
                    </a:prstGeom>
                  </pic:spPr>
                </pic:pic>
              </a:graphicData>
            </a:graphic>
          </wp:inline>
        </w:drawing>
      </w:r>
    </w:p>
    <w:p w14:paraId="4DC37F50">
      <w:pPr>
        <w:jc w:val="center"/>
      </w:pPr>
      <w:r>
        <w:rPr>
          <w:rFonts w:ascii="宋体" w:hAnsi="宋体" w:eastAsia="宋体"/>
          <w:b w:val="0"/>
          <w:sz w:val="18"/>
        </w:rPr>
        <w:t>图1  Fashion-MNIST数据集各类别样本展示（图片来源：使用</w:t>
      </w:r>
      <w:r>
        <w:rPr>
          <w:rFonts w:hint="eastAsia"/>
          <w:b w:val="0"/>
          <w:sz w:val="18"/>
          <w:lang w:val="en-US" w:eastAsia="zh-CN"/>
        </w:rPr>
        <w:t>WPS</w:t>
      </w:r>
      <w:r>
        <w:rPr>
          <w:rFonts w:ascii="宋体" w:hAnsi="宋体" w:eastAsia="宋体"/>
          <w:b w:val="0"/>
          <w:sz w:val="18"/>
        </w:rPr>
        <w:t>自行绘制）</w:t>
      </w:r>
    </w:p>
    <w:p w14:paraId="7C5CF83C">
      <w:pPr>
        <w:jc w:val="center"/>
      </w:pPr>
      <w:r>
        <w:drawing>
          <wp:inline distT="0" distB="0" distL="114300" distR="114300">
            <wp:extent cx="4389120" cy="261620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4389120" cy="2616306"/>
                    </a:xfrm>
                    <a:prstGeom prst="rect">
                      <a:avLst/>
                    </a:prstGeom>
                  </pic:spPr>
                </pic:pic>
              </a:graphicData>
            </a:graphic>
          </wp:inline>
        </w:drawing>
      </w:r>
    </w:p>
    <w:p w14:paraId="30F9767B">
      <w:pPr>
        <w:jc w:val="center"/>
      </w:pPr>
      <w:r>
        <w:rPr>
          <w:rFonts w:ascii="宋体" w:hAnsi="宋体" w:eastAsia="宋体"/>
          <w:b w:val="0"/>
          <w:sz w:val="18"/>
        </w:rPr>
        <w:t>图2  训练集各类别样本数量分布（图片来源：使用</w:t>
      </w:r>
      <w:r>
        <w:rPr>
          <w:rFonts w:hint="eastAsia"/>
          <w:b w:val="0"/>
          <w:sz w:val="18"/>
          <w:lang w:val="en-US" w:eastAsia="zh-CN"/>
        </w:rPr>
        <w:t>WPS</w:t>
      </w:r>
      <w:r>
        <w:rPr>
          <w:rFonts w:ascii="宋体" w:hAnsi="宋体" w:eastAsia="宋体"/>
          <w:b w:val="0"/>
          <w:sz w:val="18"/>
        </w:rPr>
        <w:t>自行绘制）</w:t>
      </w:r>
    </w:p>
    <w:p w14:paraId="31D5284E">
      <w:pPr>
        <w:jc w:val="center"/>
      </w:pPr>
      <w:r>
        <w:drawing>
          <wp:inline distT="0" distB="0" distL="114300" distR="114300">
            <wp:extent cx="4389120" cy="3940810"/>
            <wp:effectExtent l="0" t="0" r="508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4389120" cy="3940948"/>
                    </a:xfrm>
                    <a:prstGeom prst="rect">
                      <a:avLst/>
                    </a:prstGeom>
                  </pic:spPr>
                </pic:pic>
              </a:graphicData>
            </a:graphic>
          </wp:inline>
        </w:drawing>
      </w:r>
    </w:p>
    <w:p w14:paraId="60C5530C">
      <w:pPr>
        <w:jc w:val="center"/>
      </w:pPr>
      <w:r>
        <w:rPr>
          <w:rFonts w:ascii="宋体" w:hAnsi="宋体" w:eastAsia="宋体"/>
          <w:b w:val="0"/>
          <w:sz w:val="18"/>
        </w:rPr>
        <w:t>图3  数据增强效果展示（图片来源：使用</w:t>
      </w:r>
      <w:r>
        <w:rPr>
          <w:rFonts w:hint="eastAsia"/>
          <w:b w:val="0"/>
          <w:sz w:val="18"/>
          <w:lang w:val="en-US" w:eastAsia="zh-CN"/>
        </w:rPr>
        <w:t>WPS</w:t>
      </w:r>
      <w:r>
        <w:rPr>
          <w:rFonts w:ascii="宋体" w:hAnsi="宋体" w:eastAsia="宋体"/>
          <w:b w:val="0"/>
          <w:sz w:val="18"/>
        </w:rPr>
        <w:t>自行绘制）</w:t>
      </w:r>
    </w:p>
    <w:p w14:paraId="40B39116">
      <w:pPr>
        <w:spacing w:before="120" w:line="360" w:lineRule="auto"/>
      </w:pPr>
      <w:r>
        <w:rPr>
          <w:rFonts w:ascii="黑体" w:hAnsi="黑体" w:eastAsia="黑体"/>
          <w:b/>
          <w:sz w:val="26"/>
        </w:rPr>
        <w:t>(四) 实验设置</w:t>
      </w:r>
    </w:p>
    <w:p w14:paraId="6EB6A951">
      <w:pPr>
        <w:spacing w:line="360" w:lineRule="auto"/>
        <w:ind w:firstLine="480"/>
      </w:pPr>
      <w:r>
        <w:rPr>
          <w:rFonts w:ascii="宋体" w:hAnsi="宋体" w:eastAsia="宋体"/>
          <w:b w:val="0"/>
          <w:sz w:val="24"/>
        </w:rPr>
        <w:t>硬件环境：Intel Core i7-13620H处理器（10核16线程），16GB DDR5 RAM，Windows 11操作系统。由于本机未配备独立GPU，所有实验均在CPU上完成。</w:t>
      </w:r>
    </w:p>
    <w:p w14:paraId="29FE1E37">
      <w:pPr>
        <w:spacing w:line="360" w:lineRule="auto"/>
        <w:ind w:firstLine="480"/>
      </w:pPr>
      <w:r>
        <w:rPr>
          <w:rFonts w:ascii="宋体" w:hAnsi="宋体" w:eastAsia="宋体"/>
          <w:b w:val="0"/>
          <w:sz w:val="24"/>
        </w:rPr>
        <w:t>软件环境：Python 3.12，PyTorch 2.12（CPU版本），NumPy，Matplotlib，Seaborn，Scikit-learn。所有代码使用VS Code编辑器编写，项目结构模块化管理。</w:t>
      </w:r>
    </w:p>
    <w:p w14:paraId="5629B43B">
      <w:pPr>
        <w:spacing w:line="360" w:lineRule="auto"/>
      </w:pPr>
      <w:r>
        <w:rPr>
          <w:rFonts w:ascii="宋体" w:hAnsi="宋体" w:eastAsia="宋体"/>
          <w:b w:val="0"/>
          <w:sz w:val="24"/>
        </w:rPr>
        <w:t>模型训练的基础超参数配置见表2。</w:t>
      </w:r>
    </w:p>
    <w:tbl>
      <w:tblPr>
        <w:tblStyle w:val="3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2808"/>
        <w:gridCol w:w="3189"/>
      </w:tblGrid>
      <w:tr w14:paraId="154E03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3" w:type="dxa"/>
            <w:tcBorders>
              <w:tl2br w:val="nil"/>
              <w:tr2bl w:val="nil"/>
            </w:tcBorders>
            <w:vAlign w:val="center"/>
          </w:tcPr>
          <w:p w14:paraId="147CB6B2">
            <w:pPr>
              <w:spacing w:after="0" w:line="360" w:lineRule="auto"/>
              <w:jc w:val="center"/>
              <w:rPr>
                <w:rFonts w:ascii="Times New Roman" w:hAnsi="Times New Roman"/>
                <w:b/>
                <w:color w:val="auto"/>
                <w:sz w:val="21"/>
              </w:rPr>
            </w:pPr>
            <w:r>
              <w:rPr>
                <w:rFonts w:ascii="Times New Roman" w:hAnsi="Times New Roman"/>
                <w:b/>
                <w:color w:val="auto"/>
                <w:sz w:val="21"/>
              </w:rPr>
              <w:t>超参数</w:t>
            </w:r>
          </w:p>
        </w:tc>
        <w:tc>
          <w:tcPr>
            <w:tcW w:w="2808" w:type="dxa"/>
            <w:tcBorders>
              <w:tl2br w:val="nil"/>
              <w:tr2bl w:val="nil"/>
            </w:tcBorders>
            <w:vAlign w:val="center"/>
          </w:tcPr>
          <w:p w14:paraId="258D1B27">
            <w:pPr>
              <w:spacing w:after="0" w:line="360" w:lineRule="auto"/>
              <w:jc w:val="center"/>
              <w:rPr>
                <w:rFonts w:ascii="Times New Roman" w:hAnsi="Times New Roman"/>
                <w:b/>
                <w:color w:val="auto"/>
                <w:sz w:val="21"/>
              </w:rPr>
            </w:pPr>
            <w:r>
              <w:rPr>
                <w:rFonts w:ascii="Times New Roman" w:hAnsi="Times New Roman"/>
                <w:b/>
                <w:color w:val="auto"/>
                <w:sz w:val="21"/>
              </w:rPr>
              <w:t>取值</w:t>
            </w:r>
          </w:p>
        </w:tc>
        <w:tc>
          <w:tcPr>
            <w:tcW w:w="3189" w:type="dxa"/>
            <w:tcBorders>
              <w:tl2br w:val="nil"/>
              <w:tr2bl w:val="nil"/>
            </w:tcBorders>
            <w:vAlign w:val="center"/>
          </w:tcPr>
          <w:p w14:paraId="7B7A6E57">
            <w:pPr>
              <w:spacing w:after="0" w:line="360" w:lineRule="auto"/>
              <w:jc w:val="center"/>
              <w:rPr>
                <w:rFonts w:ascii="Times New Roman" w:hAnsi="Times New Roman"/>
                <w:b/>
                <w:color w:val="auto"/>
                <w:sz w:val="21"/>
              </w:rPr>
            </w:pPr>
            <w:r>
              <w:rPr>
                <w:rFonts w:ascii="Times New Roman" w:hAnsi="Times New Roman"/>
                <w:b/>
                <w:color w:val="auto"/>
                <w:sz w:val="21"/>
              </w:rPr>
              <w:t>选择依据</w:t>
            </w:r>
          </w:p>
        </w:tc>
      </w:tr>
      <w:tr w14:paraId="7C4447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3" w:type="dxa"/>
            <w:tcBorders>
              <w:tl2br w:val="nil"/>
              <w:tr2bl w:val="nil"/>
            </w:tcBorders>
            <w:vAlign w:val="center"/>
          </w:tcPr>
          <w:p w14:paraId="34F52D54">
            <w:pPr>
              <w:spacing w:after="0" w:line="360" w:lineRule="auto"/>
              <w:jc w:val="center"/>
              <w:rPr>
                <w:rFonts w:ascii="Times New Roman" w:hAnsi="Times New Roman"/>
                <w:b/>
                <w:color w:val="auto"/>
                <w:sz w:val="21"/>
              </w:rPr>
            </w:pPr>
            <w:r>
              <w:rPr>
                <w:rFonts w:ascii="Times New Roman" w:hAnsi="Times New Roman"/>
                <w:b/>
                <w:color w:val="auto"/>
                <w:sz w:val="21"/>
              </w:rPr>
              <w:t>优化器</w:t>
            </w:r>
          </w:p>
        </w:tc>
        <w:tc>
          <w:tcPr>
            <w:tcW w:w="2808" w:type="dxa"/>
            <w:tcBorders>
              <w:tl2br w:val="nil"/>
              <w:tr2bl w:val="nil"/>
            </w:tcBorders>
            <w:vAlign w:val="center"/>
          </w:tcPr>
          <w:p w14:paraId="00A54395">
            <w:pPr>
              <w:spacing w:after="0" w:line="360" w:lineRule="auto"/>
              <w:jc w:val="center"/>
              <w:rPr>
                <w:rFonts w:ascii="Times New Roman" w:hAnsi="Times New Roman"/>
                <w:color w:val="auto"/>
                <w:sz w:val="21"/>
              </w:rPr>
            </w:pPr>
            <w:r>
              <w:rPr>
                <w:rFonts w:ascii="Times New Roman" w:hAnsi="Times New Roman"/>
                <w:color w:val="auto"/>
                <w:sz w:val="21"/>
              </w:rPr>
              <w:t>Adam</w:t>
            </w:r>
          </w:p>
        </w:tc>
        <w:tc>
          <w:tcPr>
            <w:tcW w:w="3189" w:type="dxa"/>
            <w:tcBorders>
              <w:tl2br w:val="nil"/>
              <w:tr2bl w:val="nil"/>
            </w:tcBorders>
            <w:vAlign w:val="center"/>
          </w:tcPr>
          <w:p w14:paraId="2F650539">
            <w:pPr>
              <w:spacing w:after="0" w:line="360" w:lineRule="auto"/>
              <w:jc w:val="center"/>
              <w:rPr>
                <w:rFonts w:ascii="Times New Roman" w:hAnsi="Times New Roman"/>
                <w:color w:val="auto"/>
                <w:sz w:val="21"/>
              </w:rPr>
            </w:pPr>
            <w:r>
              <w:rPr>
                <w:rFonts w:ascii="Times New Roman" w:hAnsi="Times New Roman"/>
                <w:color w:val="auto"/>
                <w:sz w:val="21"/>
              </w:rPr>
              <w:t>自适应学习率，收敛快</w:t>
            </w:r>
          </w:p>
        </w:tc>
      </w:tr>
      <w:tr w14:paraId="46DA00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3" w:type="dxa"/>
            <w:tcBorders>
              <w:tl2br w:val="nil"/>
              <w:tr2bl w:val="nil"/>
            </w:tcBorders>
            <w:vAlign w:val="center"/>
          </w:tcPr>
          <w:p w14:paraId="76E01A18">
            <w:pPr>
              <w:spacing w:after="0" w:line="360" w:lineRule="auto"/>
              <w:jc w:val="center"/>
              <w:rPr>
                <w:rFonts w:ascii="Times New Roman" w:hAnsi="Times New Roman"/>
                <w:b/>
                <w:color w:val="auto"/>
                <w:sz w:val="21"/>
              </w:rPr>
            </w:pPr>
            <w:r>
              <w:rPr>
                <w:rFonts w:ascii="Times New Roman" w:hAnsi="Times New Roman"/>
                <w:b/>
                <w:color w:val="auto"/>
                <w:sz w:val="21"/>
              </w:rPr>
              <w:t>初始学习率</w:t>
            </w:r>
          </w:p>
        </w:tc>
        <w:tc>
          <w:tcPr>
            <w:tcW w:w="2808" w:type="dxa"/>
            <w:tcBorders>
              <w:tl2br w:val="nil"/>
              <w:tr2bl w:val="nil"/>
            </w:tcBorders>
            <w:vAlign w:val="center"/>
          </w:tcPr>
          <w:p w14:paraId="22BA2638">
            <w:pPr>
              <w:spacing w:after="0" w:line="360" w:lineRule="auto"/>
              <w:jc w:val="center"/>
              <w:rPr>
                <w:rFonts w:ascii="Times New Roman" w:hAnsi="Times New Roman"/>
                <w:color w:val="auto"/>
                <w:sz w:val="21"/>
              </w:rPr>
            </w:pPr>
            <w:r>
              <w:rPr>
                <w:rFonts w:ascii="Times New Roman" w:hAnsi="Times New Roman"/>
                <w:color w:val="auto"/>
                <w:sz w:val="21"/>
              </w:rPr>
              <w:t>0.001</w:t>
            </w:r>
          </w:p>
        </w:tc>
        <w:tc>
          <w:tcPr>
            <w:tcW w:w="3189" w:type="dxa"/>
            <w:tcBorders>
              <w:tl2br w:val="nil"/>
              <w:tr2bl w:val="nil"/>
            </w:tcBorders>
            <w:vAlign w:val="center"/>
          </w:tcPr>
          <w:p w14:paraId="33D243A9">
            <w:pPr>
              <w:spacing w:after="0" w:line="360" w:lineRule="auto"/>
              <w:jc w:val="center"/>
              <w:rPr>
                <w:rFonts w:ascii="Times New Roman" w:hAnsi="Times New Roman"/>
                <w:color w:val="auto"/>
                <w:sz w:val="21"/>
              </w:rPr>
            </w:pPr>
            <w:r>
              <w:rPr>
                <w:rFonts w:ascii="Times New Roman" w:hAnsi="Times New Roman"/>
                <w:color w:val="auto"/>
                <w:sz w:val="21"/>
              </w:rPr>
              <w:t>经验值，过大发散、过小收敛慢</w:t>
            </w:r>
          </w:p>
        </w:tc>
      </w:tr>
      <w:tr w14:paraId="736994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3" w:type="dxa"/>
            <w:tcBorders>
              <w:tl2br w:val="nil"/>
              <w:tr2bl w:val="nil"/>
            </w:tcBorders>
            <w:vAlign w:val="center"/>
          </w:tcPr>
          <w:p w14:paraId="12A0CFAF">
            <w:pPr>
              <w:spacing w:after="0" w:line="360" w:lineRule="auto"/>
              <w:jc w:val="center"/>
              <w:rPr>
                <w:rFonts w:ascii="Times New Roman" w:hAnsi="Times New Roman"/>
                <w:b/>
                <w:color w:val="auto"/>
                <w:sz w:val="21"/>
              </w:rPr>
            </w:pPr>
            <w:r>
              <w:rPr>
                <w:rFonts w:ascii="Times New Roman" w:hAnsi="Times New Roman"/>
                <w:b/>
                <w:color w:val="auto"/>
                <w:sz w:val="21"/>
              </w:rPr>
              <w:t>权重衰减</w:t>
            </w:r>
          </w:p>
        </w:tc>
        <w:tc>
          <w:tcPr>
            <w:tcW w:w="2808" w:type="dxa"/>
            <w:tcBorders>
              <w:tl2br w:val="nil"/>
              <w:tr2bl w:val="nil"/>
            </w:tcBorders>
            <w:vAlign w:val="center"/>
          </w:tcPr>
          <w:p w14:paraId="0A6DA182">
            <w:pPr>
              <w:spacing w:after="0" w:line="360" w:lineRule="auto"/>
              <w:jc w:val="center"/>
              <w:rPr>
                <w:rFonts w:ascii="Times New Roman" w:hAnsi="Times New Roman"/>
                <w:color w:val="auto"/>
                <w:sz w:val="21"/>
              </w:rPr>
            </w:pPr>
            <w:r>
              <w:rPr>
                <w:rFonts w:ascii="Times New Roman" w:hAnsi="Times New Roman"/>
                <w:color w:val="auto"/>
                <w:sz w:val="21"/>
              </w:rPr>
              <w:t>1e-4</w:t>
            </w:r>
          </w:p>
        </w:tc>
        <w:tc>
          <w:tcPr>
            <w:tcW w:w="3189" w:type="dxa"/>
            <w:tcBorders>
              <w:tl2br w:val="nil"/>
              <w:tr2bl w:val="nil"/>
            </w:tcBorders>
            <w:vAlign w:val="center"/>
          </w:tcPr>
          <w:p w14:paraId="3AFF4624">
            <w:pPr>
              <w:spacing w:after="0" w:line="360" w:lineRule="auto"/>
              <w:jc w:val="center"/>
              <w:rPr>
                <w:rFonts w:ascii="Times New Roman" w:hAnsi="Times New Roman"/>
                <w:color w:val="auto"/>
                <w:sz w:val="21"/>
              </w:rPr>
            </w:pPr>
            <w:r>
              <w:rPr>
                <w:rFonts w:ascii="Times New Roman" w:hAnsi="Times New Roman"/>
                <w:color w:val="auto"/>
                <w:sz w:val="21"/>
              </w:rPr>
              <w:t>L2正则化，抑制过拟合</w:t>
            </w:r>
          </w:p>
        </w:tc>
      </w:tr>
      <w:tr w14:paraId="336B0E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3" w:type="dxa"/>
            <w:tcBorders>
              <w:tl2br w:val="nil"/>
              <w:tr2bl w:val="nil"/>
            </w:tcBorders>
            <w:vAlign w:val="center"/>
          </w:tcPr>
          <w:p w14:paraId="319F45AF">
            <w:pPr>
              <w:spacing w:after="0" w:line="360" w:lineRule="auto"/>
              <w:jc w:val="center"/>
              <w:rPr>
                <w:rFonts w:ascii="Times New Roman" w:hAnsi="Times New Roman"/>
                <w:b/>
                <w:color w:val="auto"/>
                <w:sz w:val="21"/>
              </w:rPr>
            </w:pPr>
            <w:r>
              <w:rPr>
                <w:rFonts w:ascii="Times New Roman" w:hAnsi="Times New Roman"/>
                <w:b/>
                <w:color w:val="auto"/>
                <w:sz w:val="21"/>
              </w:rPr>
              <w:t>批次大小</w:t>
            </w:r>
          </w:p>
        </w:tc>
        <w:tc>
          <w:tcPr>
            <w:tcW w:w="2808" w:type="dxa"/>
            <w:tcBorders>
              <w:tl2br w:val="nil"/>
              <w:tr2bl w:val="nil"/>
            </w:tcBorders>
            <w:vAlign w:val="center"/>
          </w:tcPr>
          <w:p w14:paraId="3A405BC5">
            <w:pPr>
              <w:spacing w:after="0" w:line="360" w:lineRule="auto"/>
              <w:jc w:val="center"/>
              <w:rPr>
                <w:rFonts w:ascii="Times New Roman" w:hAnsi="Times New Roman"/>
                <w:color w:val="auto"/>
                <w:sz w:val="21"/>
              </w:rPr>
            </w:pPr>
            <w:r>
              <w:rPr>
                <w:rFonts w:ascii="Times New Roman" w:hAnsi="Times New Roman"/>
                <w:color w:val="auto"/>
                <w:sz w:val="21"/>
              </w:rPr>
              <w:t>32</w:t>
            </w:r>
          </w:p>
        </w:tc>
        <w:tc>
          <w:tcPr>
            <w:tcW w:w="3189" w:type="dxa"/>
            <w:tcBorders>
              <w:tl2br w:val="nil"/>
              <w:tr2bl w:val="nil"/>
            </w:tcBorders>
            <w:vAlign w:val="center"/>
          </w:tcPr>
          <w:p w14:paraId="5FE76A46">
            <w:pPr>
              <w:spacing w:after="0" w:line="360" w:lineRule="auto"/>
              <w:jc w:val="center"/>
              <w:rPr>
                <w:rFonts w:ascii="Times New Roman" w:hAnsi="Times New Roman"/>
                <w:color w:val="auto"/>
                <w:sz w:val="21"/>
              </w:rPr>
            </w:pPr>
            <w:r>
              <w:rPr>
                <w:rFonts w:ascii="Times New Roman" w:hAnsi="Times New Roman"/>
                <w:color w:val="auto"/>
                <w:sz w:val="21"/>
              </w:rPr>
              <w:t>CPU训练下速度与稳定性的平衡</w:t>
            </w:r>
          </w:p>
        </w:tc>
      </w:tr>
      <w:tr w14:paraId="2DC45C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3" w:type="dxa"/>
            <w:tcBorders>
              <w:tl2br w:val="nil"/>
              <w:tr2bl w:val="nil"/>
            </w:tcBorders>
            <w:vAlign w:val="center"/>
          </w:tcPr>
          <w:p w14:paraId="46A33B43">
            <w:pPr>
              <w:spacing w:after="0" w:line="360" w:lineRule="auto"/>
              <w:jc w:val="center"/>
              <w:rPr>
                <w:rFonts w:ascii="Times New Roman" w:hAnsi="Times New Roman"/>
                <w:b/>
                <w:color w:val="auto"/>
                <w:sz w:val="21"/>
              </w:rPr>
            </w:pPr>
            <w:r>
              <w:rPr>
                <w:rFonts w:ascii="Times New Roman" w:hAnsi="Times New Roman"/>
                <w:b/>
                <w:color w:val="auto"/>
                <w:sz w:val="21"/>
              </w:rPr>
              <w:t>最大训练轮数</w:t>
            </w:r>
          </w:p>
        </w:tc>
        <w:tc>
          <w:tcPr>
            <w:tcW w:w="2808" w:type="dxa"/>
            <w:tcBorders>
              <w:tl2br w:val="nil"/>
              <w:tr2bl w:val="nil"/>
            </w:tcBorders>
            <w:vAlign w:val="center"/>
          </w:tcPr>
          <w:p w14:paraId="1F898104">
            <w:pPr>
              <w:spacing w:after="0" w:line="360" w:lineRule="auto"/>
              <w:jc w:val="center"/>
              <w:rPr>
                <w:rFonts w:ascii="Times New Roman" w:hAnsi="Times New Roman"/>
                <w:color w:val="auto"/>
                <w:sz w:val="21"/>
              </w:rPr>
            </w:pPr>
            <w:r>
              <w:rPr>
                <w:rFonts w:ascii="Times New Roman" w:hAnsi="Times New Roman"/>
                <w:color w:val="auto"/>
                <w:sz w:val="21"/>
              </w:rPr>
              <w:t>30</w:t>
            </w:r>
          </w:p>
        </w:tc>
        <w:tc>
          <w:tcPr>
            <w:tcW w:w="3189" w:type="dxa"/>
            <w:tcBorders>
              <w:tl2br w:val="nil"/>
              <w:tr2bl w:val="nil"/>
            </w:tcBorders>
            <w:vAlign w:val="center"/>
          </w:tcPr>
          <w:p w14:paraId="68281D99">
            <w:pPr>
              <w:spacing w:after="0" w:line="360" w:lineRule="auto"/>
              <w:jc w:val="center"/>
              <w:rPr>
                <w:rFonts w:ascii="Times New Roman" w:hAnsi="Times New Roman"/>
                <w:color w:val="auto"/>
                <w:sz w:val="21"/>
              </w:rPr>
            </w:pPr>
            <w:r>
              <w:rPr>
                <w:rFonts w:ascii="Times New Roman" w:hAnsi="Times New Roman"/>
                <w:color w:val="auto"/>
                <w:sz w:val="21"/>
              </w:rPr>
              <w:t>留有收敛空间，配合早停</w:t>
            </w:r>
          </w:p>
        </w:tc>
      </w:tr>
      <w:tr w14:paraId="11766B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3" w:type="dxa"/>
            <w:tcBorders>
              <w:tl2br w:val="nil"/>
              <w:tr2bl w:val="nil"/>
            </w:tcBorders>
            <w:vAlign w:val="center"/>
          </w:tcPr>
          <w:p w14:paraId="175BAA4B">
            <w:pPr>
              <w:spacing w:after="0" w:line="360" w:lineRule="auto"/>
              <w:jc w:val="center"/>
              <w:rPr>
                <w:rFonts w:ascii="Times New Roman" w:hAnsi="Times New Roman"/>
                <w:b/>
                <w:color w:val="auto"/>
                <w:sz w:val="21"/>
              </w:rPr>
            </w:pPr>
            <w:r>
              <w:rPr>
                <w:rFonts w:ascii="Times New Roman" w:hAnsi="Times New Roman"/>
                <w:b/>
                <w:color w:val="auto"/>
                <w:sz w:val="21"/>
              </w:rPr>
              <w:t>早停耐心值</w:t>
            </w:r>
          </w:p>
        </w:tc>
        <w:tc>
          <w:tcPr>
            <w:tcW w:w="2808" w:type="dxa"/>
            <w:tcBorders>
              <w:tl2br w:val="nil"/>
              <w:tr2bl w:val="nil"/>
            </w:tcBorders>
            <w:vAlign w:val="center"/>
          </w:tcPr>
          <w:p w14:paraId="14261B47">
            <w:pPr>
              <w:spacing w:after="0" w:line="360" w:lineRule="auto"/>
              <w:jc w:val="center"/>
              <w:rPr>
                <w:rFonts w:ascii="Times New Roman" w:hAnsi="Times New Roman"/>
                <w:color w:val="auto"/>
                <w:sz w:val="21"/>
              </w:rPr>
            </w:pPr>
            <w:r>
              <w:rPr>
                <w:rFonts w:ascii="Times New Roman" w:hAnsi="Times New Roman"/>
                <w:color w:val="auto"/>
                <w:sz w:val="21"/>
              </w:rPr>
              <w:t>8</w:t>
            </w:r>
          </w:p>
        </w:tc>
        <w:tc>
          <w:tcPr>
            <w:tcW w:w="3189" w:type="dxa"/>
            <w:tcBorders>
              <w:tl2br w:val="nil"/>
              <w:tr2bl w:val="nil"/>
            </w:tcBorders>
            <w:vAlign w:val="center"/>
          </w:tcPr>
          <w:p w14:paraId="2001F13A">
            <w:pPr>
              <w:spacing w:after="0" w:line="360" w:lineRule="auto"/>
              <w:jc w:val="center"/>
              <w:rPr>
                <w:rFonts w:ascii="Times New Roman" w:hAnsi="Times New Roman"/>
                <w:color w:val="auto"/>
                <w:sz w:val="21"/>
              </w:rPr>
            </w:pPr>
            <w:r>
              <w:rPr>
                <w:rFonts w:ascii="Times New Roman" w:hAnsi="Times New Roman"/>
                <w:color w:val="auto"/>
                <w:sz w:val="21"/>
              </w:rPr>
              <w:t>验证损失不降则停止</w:t>
            </w:r>
          </w:p>
        </w:tc>
      </w:tr>
      <w:tr w14:paraId="6A6777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3" w:type="dxa"/>
            <w:tcBorders>
              <w:tl2br w:val="nil"/>
              <w:tr2bl w:val="nil"/>
            </w:tcBorders>
            <w:vAlign w:val="center"/>
          </w:tcPr>
          <w:p w14:paraId="6A6162BD">
            <w:pPr>
              <w:spacing w:after="0" w:line="360" w:lineRule="auto"/>
              <w:jc w:val="center"/>
              <w:rPr>
                <w:rFonts w:ascii="Times New Roman" w:hAnsi="Times New Roman"/>
                <w:b/>
                <w:color w:val="auto"/>
                <w:sz w:val="21"/>
              </w:rPr>
            </w:pPr>
            <w:r>
              <w:rPr>
                <w:rFonts w:ascii="Times New Roman" w:hAnsi="Times New Roman"/>
                <w:b/>
                <w:color w:val="auto"/>
                <w:sz w:val="21"/>
              </w:rPr>
              <w:t>学习率调度</w:t>
            </w:r>
          </w:p>
        </w:tc>
        <w:tc>
          <w:tcPr>
            <w:tcW w:w="2808" w:type="dxa"/>
            <w:tcBorders>
              <w:tl2br w:val="nil"/>
              <w:tr2bl w:val="nil"/>
            </w:tcBorders>
            <w:vAlign w:val="center"/>
          </w:tcPr>
          <w:p w14:paraId="2934728E">
            <w:pPr>
              <w:spacing w:after="0" w:line="360" w:lineRule="auto"/>
              <w:jc w:val="center"/>
              <w:rPr>
                <w:rFonts w:ascii="Times New Roman" w:hAnsi="Times New Roman"/>
                <w:color w:val="auto"/>
                <w:sz w:val="21"/>
              </w:rPr>
            </w:pPr>
            <w:r>
              <w:rPr>
                <w:rFonts w:ascii="Times New Roman" w:hAnsi="Times New Roman"/>
                <w:color w:val="auto"/>
                <w:sz w:val="21"/>
              </w:rPr>
              <w:t>ReduceLROnPlateau</w:t>
            </w:r>
          </w:p>
        </w:tc>
        <w:tc>
          <w:tcPr>
            <w:tcW w:w="3189" w:type="dxa"/>
            <w:tcBorders>
              <w:tl2br w:val="nil"/>
              <w:tr2bl w:val="nil"/>
            </w:tcBorders>
            <w:vAlign w:val="center"/>
          </w:tcPr>
          <w:p w14:paraId="68458888">
            <w:pPr>
              <w:spacing w:after="0" w:line="360" w:lineRule="auto"/>
              <w:jc w:val="center"/>
              <w:rPr>
                <w:rFonts w:ascii="Times New Roman" w:hAnsi="Times New Roman"/>
                <w:color w:val="auto"/>
                <w:sz w:val="21"/>
              </w:rPr>
            </w:pPr>
            <w:r>
              <w:rPr>
                <w:rFonts w:ascii="Times New Roman" w:hAnsi="Times New Roman"/>
                <w:color w:val="auto"/>
                <w:sz w:val="21"/>
              </w:rPr>
              <w:t>patience=5, factor=0.5</w:t>
            </w:r>
          </w:p>
        </w:tc>
      </w:tr>
      <w:tr w14:paraId="1AED90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43" w:type="dxa"/>
            <w:tcBorders>
              <w:tl2br w:val="nil"/>
              <w:tr2bl w:val="nil"/>
            </w:tcBorders>
            <w:vAlign w:val="center"/>
          </w:tcPr>
          <w:p w14:paraId="1209A20C">
            <w:pPr>
              <w:spacing w:after="0" w:line="360" w:lineRule="auto"/>
              <w:jc w:val="center"/>
              <w:rPr>
                <w:rFonts w:ascii="Times New Roman" w:hAnsi="Times New Roman"/>
                <w:b/>
                <w:color w:val="auto"/>
                <w:sz w:val="21"/>
              </w:rPr>
            </w:pPr>
            <w:r>
              <w:rPr>
                <w:rFonts w:ascii="Times New Roman" w:hAnsi="Times New Roman"/>
                <w:b/>
                <w:color w:val="auto"/>
                <w:sz w:val="21"/>
              </w:rPr>
              <w:t>Dropout率</w:t>
            </w:r>
          </w:p>
        </w:tc>
        <w:tc>
          <w:tcPr>
            <w:tcW w:w="2808" w:type="dxa"/>
            <w:tcBorders>
              <w:tl2br w:val="nil"/>
              <w:tr2bl w:val="nil"/>
            </w:tcBorders>
            <w:vAlign w:val="center"/>
          </w:tcPr>
          <w:p w14:paraId="526EBC95">
            <w:pPr>
              <w:spacing w:after="0" w:line="360" w:lineRule="auto"/>
              <w:jc w:val="center"/>
              <w:rPr>
                <w:rFonts w:ascii="Times New Roman" w:hAnsi="Times New Roman"/>
                <w:color w:val="auto"/>
                <w:sz w:val="21"/>
              </w:rPr>
            </w:pPr>
            <w:r>
              <w:rPr>
                <w:rFonts w:ascii="Times New Roman" w:hAnsi="Times New Roman"/>
                <w:color w:val="auto"/>
                <w:sz w:val="21"/>
              </w:rPr>
              <w:t>0.5</w:t>
            </w:r>
          </w:p>
        </w:tc>
        <w:tc>
          <w:tcPr>
            <w:tcW w:w="3189" w:type="dxa"/>
            <w:tcBorders>
              <w:tl2br w:val="nil"/>
              <w:tr2bl w:val="nil"/>
            </w:tcBorders>
            <w:vAlign w:val="center"/>
          </w:tcPr>
          <w:p w14:paraId="46CC8121">
            <w:pPr>
              <w:spacing w:after="0" w:line="360" w:lineRule="auto"/>
              <w:jc w:val="center"/>
              <w:rPr>
                <w:rFonts w:ascii="Times New Roman" w:hAnsi="Times New Roman"/>
                <w:color w:val="auto"/>
                <w:sz w:val="21"/>
              </w:rPr>
            </w:pPr>
            <w:r>
              <w:rPr>
                <w:rFonts w:ascii="Times New Roman" w:hAnsi="Times New Roman"/>
                <w:color w:val="auto"/>
                <w:sz w:val="21"/>
              </w:rPr>
              <w:t>随机丢弃一半神经元</w:t>
            </w:r>
          </w:p>
        </w:tc>
      </w:tr>
    </w:tbl>
    <w:p w14:paraId="4121F96E"/>
    <w:p w14:paraId="0B58CFC8">
      <w:pPr>
        <w:jc w:val="center"/>
      </w:pPr>
      <w:r>
        <w:rPr>
          <w:rFonts w:ascii="宋体" w:hAnsi="宋体" w:eastAsia="宋体"/>
          <w:b w:val="0"/>
          <w:sz w:val="18"/>
        </w:rPr>
        <w:t>表2  模型训练超参数配置</w:t>
      </w:r>
    </w:p>
    <w:p w14:paraId="16CE3C5A">
      <w:pPr>
        <w:spacing w:line="360" w:lineRule="auto"/>
        <w:ind w:firstLine="480"/>
      </w:pPr>
      <w:r>
        <w:rPr>
          <w:rFonts w:ascii="宋体" w:hAnsi="宋体" w:eastAsia="宋体"/>
          <w:b w:val="0"/>
          <w:sz w:val="24"/>
        </w:rPr>
        <w:t>为验证CNN在图像分类任务中的优势，设置两组基线模型进行对比：(1) 三层MLP基线（隐藏层512→256→128，含Dropout和ReLU），输入784维展平像素向量，参数量39,456,768个；(2) 逻辑回归基线，将784维像素向量直接输入Softmax回归模型，参数量7,850个。所有模型使用相同的数据划分和评估指标。</w:t>
      </w:r>
    </w:p>
    <w:p w14:paraId="176161C6">
      <w:pPr>
        <w:spacing w:before="240" w:line="360" w:lineRule="auto"/>
      </w:pPr>
      <w:r>
        <w:rPr>
          <w:rFonts w:ascii="黑体" w:hAnsi="黑体" w:eastAsia="黑体"/>
          <w:b/>
          <w:sz w:val="30"/>
        </w:rPr>
        <w:t>6. 实验结果与分析</w:t>
      </w:r>
    </w:p>
    <w:p w14:paraId="0824710C">
      <w:pPr>
        <w:spacing w:before="120" w:line="360" w:lineRule="auto"/>
      </w:pPr>
      <w:r>
        <w:rPr>
          <w:rFonts w:ascii="黑体" w:hAnsi="黑体" w:eastAsia="黑体"/>
          <w:b/>
          <w:sz w:val="26"/>
        </w:rPr>
        <w:t>(一) 定量评估</w:t>
      </w:r>
    </w:p>
    <w:p w14:paraId="5620FF5A">
      <w:pPr>
        <w:spacing w:line="360" w:lineRule="auto"/>
        <w:ind w:firstLine="480"/>
      </w:pPr>
      <w:r>
        <w:rPr>
          <w:rFonts w:ascii="宋体" w:hAnsi="宋体" w:eastAsia="宋体"/>
          <w:b w:val="0"/>
          <w:sz w:val="24"/>
        </w:rPr>
        <w:t>图4展示了CNN模型在训练过程中的损失值和准确率变化曲线。训练损失持续下降并趋于稳定，验证损失在训练后期略有回升，早停机制适时触发防止过拟合。</w:t>
      </w:r>
    </w:p>
    <w:p w14:paraId="4B5D0B2D">
      <w:pPr>
        <w:jc w:val="center"/>
      </w:pPr>
      <w:r>
        <w:drawing>
          <wp:inline distT="0" distB="0" distL="114300" distR="114300">
            <wp:extent cx="4389120" cy="1545590"/>
            <wp:effectExtent l="0" t="0" r="508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4389120" cy="1545880"/>
                    </a:xfrm>
                    <a:prstGeom prst="rect">
                      <a:avLst/>
                    </a:prstGeom>
                  </pic:spPr>
                </pic:pic>
              </a:graphicData>
            </a:graphic>
          </wp:inline>
        </w:drawing>
      </w:r>
    </w:p>
    <w:p w14:paraId="01B5E588">
      <w:pPr>
        <w:jc w:val="center"/>
      </w:pPr>
      <w:r>
        <w:rPr>
          <w:rFonts w:ascii="宋体" w:hAnsi="宋体" w:eastAsia="宋体"/>
          <w:b w:val="0"/>
          <w:sz w:val="18"/>
        </w:rPr>
        <w:t>图4  CNN训练与验证曲线（图片来源：使用</w:t>
      </w:r>
      <w:r>
        <w:rPr>
          <w:rFonts w:hint="eastAsia"/>
          <w:b w:val="0"/>
          <w:sz w:val="18"/>
          <w:lang w:val="en-US" w:eastAsia="zh-CN"/>
        </w:rPr>
        <w:t>WPS</w:t>
      </w:r>
      <w:r>
        <w:rPr>
          <w:rFonts w:ascii="宋体" w:hAnsi="宋体" w:eastAsia="宋体"/>
          <w:b w:val="0"/>
          <w:sz w:val="18"/>
        </w:rPr>
        <w:t>自行绘制）</w:t>
      </w:r>
    </w:p>
    <w:p w14:paraId="0A83F19C">
      <w:pPr>
        <w:spacing w:line="360" w:lineRule="auto"/>
        <w:ind w:firstLine="480"/>
      </w:pPr>
      <w:r>
        <w:rPr>
          <w:rFonts w:ascii="宋体" w:hAnsi="宋体" w:eastAsia="宋体"/>
          <w:b w:val="0"/>
          <w:sz w:val="24"/>
        </w:rPr>
        <w:t>表3展示了三种模型在测试集上的性能对比。CNN模型以90.1%的测试准确率和0.900的宏平均F1分数显著优于MLP（84.8%）和逻辑回归（80.1%）。值得关注的是，CNN仅使用276,554个参数，约为MLP参数的0.7%，却取得了更优的分类性能，充分验证了卷积运算中局部连接和权重共享在图像特征提取中的高效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3572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12" w:space="0"/>
              <w:left w:val="nil"/>
              <w:bottom w:val="nil"/>
              <w:right w:val="nil"/>
            </w:tcBorders>
            <w:vAlign w:val="center"/>
          </w:tcPr>
          <w:p w14:paraId="0D7346AF">
            <w:pPr>
              <w:spacing w:after="0" w:line="360" w:lineRule="auto"/>
              <w:jc w:val="center"/>
              <w:rPr>
                <w:rFonts w:ascii="Times New Roman" w:hAnsi="Times New Roman"/>
                <w:b/>
                <w:color w:val="auto"/>
                <w:sz w:val="21"/>
              </w:rPr>
            </w:pPr>
            <w:r>
              <w:rPr>
                <w:rFonts w:ascii="Times New Roman" w:hAnsi="Times New Roman"/>
                <w:b/>
                <w:color w:val="auto"/>
                <w:sz w:val="21"/>
              </w:rPr>
              <w:t>模型</w:t>
            </w:r>
          </w:p>
        </w:tc>
        <w:tc>
          <w:tcPr>
            <w:tcW w:w="2160" w:type="dxa"/>
            <w:tcBorders>
              <w:top w:val="single" w:color="auto" w:sz="12" w:space="0"/>
              <w:left w:val="nil"/>
              <w:bottom w:val="nil"/>
              <w:right w:val="nil"/>
            </w:tcBorders>
            <w:vAlign w:val="center"/>
          </w:tcPr>
          <w:p w14:paraId="1EE0B17B">
            <w:pPr>
              <w:spacing w:after="0" w:line="360" w:lineRule="auto"/>
              <w:jc w:val="center"/>
              <w:rPr>
                <w:rFonts w:ascii="Times New Roman" w:hAnsi="Times New Roman"/>
                <w:b/>
                <w:color w:val="auto"/>
                <w:sz w:val="21"/>
              </w:rPr>
            </w:pPr>
            <w:r>
              <w:rPr>
                <w:rFonts w:ascii="Times New Roman" w:hAnsi="Times New Roman"/>
                <w:b/>
                <w:color w:val="auto"/>
                <w:sz w:val="21"/>
              </w:rPr>
              <w:t>测试准确率</w:t>
            </w:r>
          </w:p>
        </w:tc>
        <w:tc>
          <w:tcPr>
            <w:tcW w:w="2160" w:type="dxa"/>
            <w:tcBorders>
              <w:top w:val="single" w:color="auto" w:sz="12" w:space="0"/>
              <w:left w:val="nil"/>
              <w:bottom w:val="nil"/>
              <w:right w:val="nil"/>
            </w:tcBorders>
            <w:vAlign w:val="center"/>
          </w:tcPr>
          <w:p w14:paraId="4B603FC2">
            <w:pPr>
              <w:spacing w:after="0" w:line="360" w:lineRule="auto"/>
              <w:jc w:val="center"/>
              <w:rPr>
                <w:rFonts w:ascii="Times New Roman" w:hAnsi="Times New Roman"/>
                <w:b/>
                <w:color w:val="auto"/>
                <w:sz w:val="21"/>
              </w:rPr>
            </w:pPr>
            <w:r>
              <w:rPr>
                <w:rFonts w:ascii="Times New Roman" w:hAnsi="Times New Roman"/>
                <w:b/>
                <w:color w:val="auto"/>
                <w:sz w:val="21"/>
              </w:rPr>
              <w:t>宏平均F1</w:t>
            </w:r>
          </w:p>
        </w:tc>
        <w:tc>
          <w:tcPr>
            <w:tcW w:w="2160" w:type="dxa"/>
            <w:tcBorders>
              <w:top w:val="single" w:color="auto" w:sz="12" w:space="0"/>
              <w:left w:val="nil"/>
              <w:bottom w:val="nil"/>
              <w:right w:val="nil"/>
            </w:tcBorders>
            <w:vAlign w:val="center"/>
          </w:tcPr>
          <w:p w14:paraId="56F6DD47">
            <w:pPr>
              <w:spacing w:after="0" w:line="360" w:lineRule="auto"/>
              <w:jc w:val="center"/>
              <w:rPr>
                <w:rFonts w:ascii="Times New Roman" w:hAnsi="Times New Roman"/>
                <w:b/>
                <w:color w:val="auto"/>
                <w:sz w:val="21"/>
              </w:rPr>
            </w:pPr>
            <w:r>
              <w:rPr>
                <w:rFonts w:ascii="Times New Roman" w:hAnsi="Times New Roman"/>
                <w:b/>
                <w:color w:val="auto"/>
                <w:sz w:val="21"/>
              </w:rPr>
              <w:t>参数量</w:t>
            </w:r>
          </w:p>
        </w:tc>
      </w:tr>
      <w:tr w14:paraId="2866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nil"/>
              <w:left w:val="nil"/>
              <w:bottom w:val="nil"/>
              <w:right w:val="nil"/>
            </w:tcBorders>
            <w:vAlign w:val="center"/>
          </w:tcPr>
          <w:p w14:paraId="346D56A3">
            <w:pPr>
              <w:spacing w:after="0" w:line="360" w:lineRule="auto"/>
              <w:jc w:val="center"/>
              <w:rPr>
                <w:rFonts w:ascii="Times New Roman" w:hAnsi="Times New Roman"/>
                <w:b/>
                <w:bCs/>
                <w:color w:val="auto"/>
                <w:sz w:val="21"/>
              </w:rPr>
            </w:pPr>
            <w:r>
              <w:rPr>
                <w:rFonts w:ascii="Times New Roman" w:hAnsi="Times New Roman"/>
                <w:b/>
                <w:bCs/>
                <w:color w:val="auto"/>
                <w:sz w:val="21"/>
              </w:rPr>
              <w:t>逻辑回归（基线）</w:t>
            </w:r>
          </w:p>
        </w:tc>
        <w:tc>
          <w:tcPr>
            <w:tcW w:w="2160" w:type="dxa"/>
            <w:tcBorders>
              <w:top w:val="nil"/>
              <w:left w:val="nil"/>
              <w:bottom w:val="nil"/>
              <w:right w:val="nil"/>
            </w:tcBorders>
            <w:vAlign w:val="center"/>
          </w:tcPr>
          <w:p w14:paraId="62A05ADF">
            <w:pPr>
              <w:spacing w:after="0" w:line="360" w:lineRule="auto"/>
              <w:jc w:val="center"/>
              <w:rPr>
                <w:rFonts w:ascii="Times New Roman" w:hAnsi="Times New Roman"/>
                <w:color w:val="auto"/>
                <w:sz w:val="21"/>
              </w:rPr>
            </w:pPr>
            <w:r>
              <w:rPr>
                <w:rFonts w:ascii="Times New Roman" w:hAnsi="Times New Roman"/>
                <w:color w:val="auto"/>
                <w:sz w:val="21"/>
              </w:rPr>
              <w:t>0.8012</w:t>
            </w:r>
          </w:p>
        </w:tc>
        <w:tc>
          <w:tcPr>
            <w:tcW w:w="2160" w:type="dxa"/>
            <w:tcBorders>
              <w:top w:val="nil"/>
              <w:left w:val="nil"/>
              <w:bottom w:val="nil"/>
              <w:right w:val="nil"/>
            </w:tcBorders>
            <w:vAlign w:val="center"/>
          </w:tcPr>
          <w:p w14:paraId="1EE8C980">
            <w:pPr>
              <w:spacing w:after="0" w:line="360" w:lineRule="auto"/>
              <w:jc w:val="center"/>
              <w:rPr>
                <w:rFonts w:ascii="Times New Roman" w:hAnsi="Times New Roman"/>
                <w:color w:val="auto"/>
                <w:sz w:val="21"/>
              </w:rPr>
            </w:pPr>
            <w:r>
              <w:rPr>
                <w:rFonts w:ascii="Times New Roman" w:hAnsi="Times New Roman"/>
                <w:color w:val="auto"/>
                <w:sz w:val="21"/>
              </w:rPr>
              <w:t>0.8010</w:t>
            </w:r>
          </w:p>
        </w:tc>
        <w:tc>
          <w:tcPr>
            <w:tcW w:w="2160" w:type="dxa"/>
            <w:tcBorders>
              <w:top w:val="nil"/>
              <w:left w:val="nil"/>
              <w:bottom w:val="nil"/>
              <w:right w:val="nil"/>
            </w:tcBorders>
            <w:vAlign w:val="center"/>
          </w:tcPr>
          <w:p w14:paraId="621A060B">
            <w:pPr>
              <w:spacing w:after="0" w:line="360" w:lineRule="auto"/>
              <w:jc w:val="center"/>
              <w:rPr>
                <w:rFonts w:ascii="Times New Roman" w:hAnsi="Times New Roman"/>
                <w:color w:val="auto"/>
                <w:sz w:val="21"/>
              </w:rPr>
            </w:pPr>
            <w:r>
              <w:rPr>
                <w:rFonts w:ascii="Times New Roman" w:hAnsi="Times New Roman"/>
                <w:color w:val="auto"/>
                <w:sz w:val="21"/>
              </w:rPr>
              <w:t>7,850</w:t>
            </w:r>
          </w:p>
        </w:tc>
      </w:tr>
      <w:tr w14:paraId="3D33D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nil"/>
              <w:left w:val="nil"/>
              <w:bottom w:val="nil"/>
              <w:right w:val="nil"/>
            </w:tcBorders>
            <w:vAlign w:val="center"/>
          </w:tcPr>
          <w:p w14:paraId="24A40938">
            <w:pPr>
              <w:spacing w:after="0" w:line="360" w:lineRule="auto"/>
              <w:jc w:val="center"/>
              <w:rPr>
                <w:rFonts w:ascii="Times New Roman" w:hAnsi="Times New Roman"/>
                <w:b/>
                <w:bCs/>
                <w:color w:val="auto"/>
                <w:sz w:val="21"/>
              </w:rPr>
            </w:pPr>
            <w:r>
              <w:rPr>
                <w:rFonts w:ascii="Times New Roman" w:hAnsi="Times New Roman"/>
                <w:b/>
                <w:bCs/>
                <w:color w:val="auto"/>
                <w:sz w:val="21"/>
              </w:rPr>
              <w:t>MLP 3层（基线）</w:t>
            </w:r>
          </w:p>
        </w:tc>
        <w:tc>
          <w:tcPr>
            <w:tcW w:w="2160" w:type="dxa"/>
            <w:tcBorders>
              <w:top w:val="nil"/>
              <w:left w:val="nil"/>
              <w:bottom w:val="nil"/>
              <w:right w:val="nil"/>
            </w:tcBorders>
            <w:vAlign w:val="center"/>
          </w:tcPr>
          <w:p w14:paraId="2B98EEA3">
            <w:pPr>
              <w:spacing w:after="0" w:line="360" w:lineRule="auto"/>
              <w:jc w:val="center"/>
              <w:rPr>
                <w:rFonts w:ascii="Times New Roman" w:hAnsi="Times New Roman"/>
                <w:color w:val="auto"/>
                <w:sz w:val="21"/>
              </w:rPr>
            </w:pPr>
            <w:r>
              <w:rPr>
                <w:rFonts w:ascii="Times New Roman" w:hAnsi="Times New Roman"/>
                <w:color w:val="auto"/>
                <w:sz w:val="21"/>
              </w:rPr>
              <w:t>0.8476</w:t>
            </w:r>
          </w:p>
        </w:tc>
        <w:tc>
          <w:tcPr>
            <w:tcW w:w="2160" w:type="dxa"/>
            <w:tcBorders>
              <w:top w:val="nil"/>
              <w:left w:val="nil"/>
              <w:bottom w:val="nil"/>
              <w:right w:val="nil"/>
            </w:tcBorders>
            <w:vAlign w:val="center"/>
          </w:tcPr>
          <w:p w14:paraId="2903DF82">
            <w:pPr>
              <w:spacing w:after="0" w:line="360" w:lineRule="auto"/>
              <w:jc w:val="center"/>
              <w:rPr>
                <w:rFonts w:ascii="Times New Roman" w:hAnsi="Times New Roman"/>
                <w:color w:val="auto"/>
                <w:sz w:val="21"/>
              </w:rPr>
            </w:pPr>
            <w:r>
              <w:rPr>
                <w:rFonts w:ascii="Times New Roman" w:hAnsi="Times New Roman"/>
                <w:color w:val="auto"/>
                <w:sz w:val="21"/>
              </w:rPr>
              <w:t>0.8460</w:t>
            </w:r>
          </w:p>
        </w:tc>
        <w:tc>
          <w:tcPr>
            <w:tcW w:w="2160" w:type="dxa"/>
            <w:tcBorders>
              <w:top w:val="nil"/>
              <w:left w:val="nil"/>
              <w:bottom w:val="nil"/>
              <w:right w:val="nil"/>
            </w:tcBorders>
            <w:vAlign w:val="center"/>
          </w:tcPr>
          <w:p w14:paraId="56EDF3A8">
            <w:pPr>
              <w:spacing w:after="0" w:line="360" w:lineRule="auto"/>
              <w:jc w:val="center"/>
              <w:rPr>
                <w:rFonts w:ascii="Times New Roman" w:hAnsi="Times New Roman"/>
                <w:color w:val="auto"/>
                <w:sz w:val="21"/>
              </w:rPr>
            </w:pPr>
            <w:r>
              <w:rPr>
                <w:rFonts w:ascii="Times New Roman" w:hAnsi="Times New Roman"/>
                <w:color w:val="auto"/>
                <w:sz w:val="21"/>
              </w:rPr>
              <w:t>39,456,768</w:t>
            </w:r>
          </w:p>
        </w:tc>
      </w:tr>
      <w:tr w14:paraId="38EA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nil"/>
              <w:left w:val="nil"/>
              <w:bottom w:val="single" w:color="auto" w:sz="12" w:space="0"/>
              <w:right w:val="nil"/>
            </w:tcBorders>
            <w:vAlign w:val="center"/>
          </w:tcPr>
          <w:p w14:paraId="596112CC">
            <w:pPr>
              <w:spacing w:after="0" w:line="360" w:lineRule="auto"/>
              <w:jc w:val="center"/>
              <w:rPr>
                <w:rFonts w:ascii="Times New Roman" w:hAnsi="Times New Roman"/>
                <w:b/>
                <w:bCs/>
                <w:color w:val="auto"/>
                <w:sz w:val="21"/>
              </w:rPr>
            </w:pPr>
            <w:r>
              <w:rPr>
                <w:rFonts w:ascii="Times New Roman" w:hAnsi="Times New Roman"/>
                <w:b/>
                <w:bCs/>
                <w:color w:val="auto"/>
                <w:sz w:val="21"/>
              </w:rPr>
              <w:t>CNN 4层（本文）</w:t>
            </w:r>
          </w:p>
        </w:tc>
        <w:tc>
          <w:tcPr>
            <w:tcW w:w="2160" w:type="dxa"/>
            <w:tcBorders>
              <w:top w:val="nil"/>
              <w:left w:val="nil"/>
              <w:bottom w:val="single" w:color="auto" w:sz="12" w:space="0"/>
              <w:right w:val="nil"/>
            </w:tcBorders>
            <w:vAlign w:val="center"/>
          </w:tcPr>
          <w:p w14:paraId="381372E2">
            <w:pPr>
              <w:spacing w:after="0" w:line="360" w:lineRule="auto"/>
              <w:jc w:val="center"/>
              <w:rPr>
                <w:rFonts w:ascii="Times New Roman" w:hAnsi="Times New Roman"/>
                <w:color w:val="auto"/>
                <w:sz w:val="21"/>
              </w:rPr>
            </w:pPr>
            <w:r>
              <w:rPr>
                <w:rFonts w:ascii="Times New Roman" w:hAnsi="Times New Roman"/>
                <w:color w:val="auto"/>
                <w:sz w:val="21"/>
              </w:rPr>
              <w:t>0.9006</w:t>
            </w:r>
          </w:p>
        </w:tc>
        <w:tc>
          <w:tcPr>
            <w:tcW w:w="2160" w:type="dxa"/>
            <w:tcBorders>
              <w:top w:val="nil"/>
              <w:left w:val="nil"/>
              <w:bottom w:val="single" w:color="auto" w:sz="12" w:space="0"/>
              <w:right w:val="nil"/>
            </w:tcBorders>
            <w:vAlign w:val="center"/>
          </w:tcPr>
          <w:p w14:paraId="27F1E15B">
            <w:pPr>
              <w:spacing w:after="0" w:line="360" w:lineRule="auto"/>
              <w:jc w:val="center"/>
              <w:rPr>
                <w:rFonts w:ascii="Times New Roman" w:hAnsi="Times New Roman"/>
                <w:color w:val="auto"/>
                <w:sz w:val="21"/>
              </w:rPr>
            </w:pPr>
            <w:r>
              <w:rPr>
                <w:rFonts w:ascii="Times New Roman" w:hAnsi="Times New Roman"/>
                <w:color w:val="auto"/>
                <w:sz w:val="21"/>
              </w:rPr>
              <w:t>0.9000</w:t>
            </w:r>
          </w:p>
        </w:tc>
        <w:tc>
          <w:tcPr>
            <w:tcW w:w="2160" w:type="dxa"/>
            <w:tcBorders>
              <w:top w:val="nil"/>
              <w:left w:val="nil"/>
              <w:bottom w:val="single" w:color="auto" w:sz="12" w:space="0"/>
              <w:right w:val="nil"/>
            </w:tcBorders>
            <w:vAlign w:val="center"/>
          </w:tcPr>
          <w:p w14:paraId="47FB92BE">
            <w:pPr>
              <w:spacing w:after="0" w:line="360" w:lineRule="auto"/>
              <w:jc w:val="center"/>
              <w:rPr>
                <w:rFonts w:ascii="Times New Roman" w:hAnsi="Times New Roman"/>
                <w:color w:val="auto"/>
                <w:sz w:val="21"/>
              </w:rPr>
            </w:pPr>
            <w:r>
              <w:rPr>
                <w:rFonts w:ascii="Times New Roman" w:hAnsi="Times New Roman"/>
                <w:color w:val="auto"/>
                <w:sz w:val="21"/>
              </w:rPr>
              <w:t>276,554</w:t>
            </w:r>
          </w:p>
        </w:tc>
      </w:tr>
    </w:tbl>
    <w:p w14:paraId="5F39D914"/>
    <w:p w14:paraId="0BFD14F4">
      <w:pPr>
        <w:jc w:val="center"/>
      </w:pPr>
      <w:r>
        <w:rPr>
          <w:rFonts w:ascii="宋体" w:hAnsi="宋体" w:eastAsia="宋体"/>
          <w:b w:val="0"/>
          <w:sz w:val="18"/>
        </w:rPr>
        <w:t>表3  三种模型的性能与参数量对比</w:t>
      </w:r>
    </w:p>
    <w:p w14:paraId="0B96AFA5">
      <w:pPr>
        <w:jc w:val="center"/>
      </w:pPr>
      <w:r>
        <w:drawing>
          <wp:inline distT="0" distB="0" distL="114300" distR="114300">
            <wp:extent cx="4389120" cy="1542415"/>
            <wp:effectExtent l="0" t="0" r="508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4389120" cy="1543034"/>
                    </a:xfrm>
                    <a:prstGeom prst="rect">
                      <a:avLst/>
                    </a:prstGeom>
                  </pic:spPr>
                </pic:pic>
              </a:graphicData>
            </a:graphic>
          </wp:inline>
        </w:drawing>
      </w:r>
    </w:p>
    <w:p w14:paraId="0E3DF45F">
      <w:pPr>
        <w:jc w:val="center"/>
      </w:pPr>
      <w:r>
        <w:rPr>
          <w:rFonts w:ascii="宋体" w:hAnsi="宋体" w:eastAsia="宋体"/>
          <w:b w:val="0"/>
          <w:sz w:val="18"/>
        </w:rPr>
        <w:t>图5  模型性能与参数量对比（图片来源：使用</w:t>
      </w:r>
      <w:r>
        <w:rPr>
          <w:rFonts w:hint="eastAsia"/>
          <w:b w:val="0"/>
          <w:sz w:val="18"/>
          <w:lang w:val="en-US" w:eastAsia="zh-CN"/>
        </w:rPr>
        <w:t>WPS</w:t>
      </w:r>
      <w:r>
        <w:rPr>
          <w:rFonts w:ascii="宋体" w:hAnsi="宋体" w:eastAsia="宋体"/>
          <w:b w:val="0"/>
          <w:sz w:val="18"/>
        </w:rPr>
        <w:t>自行绘制）</w:t>
      </w:r>
    </w:p>
    <w:p w14:paraId="7CED3BDB">
      <w:pPr>
        <w:spacing w:line="360" w:lineRule="auto"/>
        <w:ind w:firstLine="480"/>
      </w:pPr>
      <w:r>
        <w:rPr>
          <w:rFonts w:ascii="宋体" w:hAnsi="宋体" w:eastAsia="宋体"/>
          <w:b w:val="0"/>
          <w:sz w:val="24"/>
        </w:rPr>
        <w:t>MLP性能较差的原因在于：展平破坏空间结构，全连接参数量过大导致过拟合风险增加。逻辑回归作为线性模型只能学习线性决策边界。CNN通过层次化卷积特征提取，以更少的参数实现了更好的性能。</w:t>
      </w:r>
    </w:p>
    <w:p w14:paraId="1563B1F5">
      <w:pPr>
        <w:spacing w:line="360" w:lineRule="auto"/>
      </w:pPr>
      <w:r>
        <w:rPr>
          <w:rFonts w:ascii="宋体" w:hAnsi="宋体" w:eastAsia="宋体"/>
          <w:b w:val="0"/>
          <w:sz w:val="24"/>
        </w:rPr>
        <w:t>以下为超参数调优实验的结果：</w:t>
      </w:r>
    </w:p>
    <w:p w14:paraId="23B42DB1">
      <w:pPr>
        <w:spacing w:line="360" w:lineRule="auto"/>
        <w:ind w:firstLine="480"/>
      </w:pPr>
      <w:r>
        <w:rPr>
          <w:rFonts w:ascii="宋体" w:hAnsi="宋体" w:eastAsia="宋体"/>
          <w:b w:val="0"/>
          <w:sz w:val="24"/>
        </w:rPr>
        <w:t>学习率调优：测试了{0.1, 0.01, 0.001, 0.0001}四个值。0.001时最优；0.1时步长过大导致发散（准确率仅10%，等同于随机猜测）；0.0001时收敛极慢。这与课程第4课所学【过大学习率跳过最优点，过小学习率收敛过慢】的规律一致（见图6）。</w:t>
      </w:r>
    </w:p>
    <w:p w14:paraId="35B2AA9C">
      <w:pPr>
        <w:jc w:val="center"/>
      </w:pPr>
      <w:r>
        <w:drawing>
          <wp:inline distT="0" distB="0" distL="114300" distR="114300">
            <wp:extent cx="4389120" cy="1546860"/>
            <wp:effectExtent l="0" t="0" r="508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4389120" cy="1547244"/>
                    </a:xfrm>
                    <a:prstGeom prst="rect">
                      <a:avLst/>
                    </a:prstGeom>
                  </pic:spPr>
                </pic:pic>
              </a:graphicData>
            </a:graphic>
          </wp:inline>
        </w:drawing>
      </w:r>
    </w:p>
    <w:p w14:paraId="30201085">
      <w:pPr>
        <w:jc w:val="center"/>
      </w:pPr>
      <w:r>
        <w:rPr>
          <w:rFonts w:ascii="宋体" w:hAnsi="宋体" w:eastAsia="宋体"/>
          <w:b w:val="0"/>
          <w:sz w:val="18"/>
        </w:rPr>
        <w:t>图6  学习率调优对比（图片来源：使用</w:t>
      </w:r>
      <w:r>
        <w:rPr>
          <w:rFonts w:hint="eastAsia"/>
          <w:b w:val="0"/>
          <w:sz w:val="18"/>
          <w:lang w:val="en-US" w:eastAsia="zh-CN"/>
        </w:rPr>
        <w:t>WPS</w:t>
      </w:r>
      <w:r>
        <w:rPr>
          <w:rFonts w:ascii="宋体" w:hAnsi="宋体" w:eastAsia="宋体"/>
          <w:b w:val="0"/>
          <w:sz w:val="18"/>
        </w:rPr>
        <w:t>自行绘制）</w:t>
      </w:r>
    </w:p>
    <w:p w14:paraId="3ABEAC0C">
      <w:pPr>
        <w:spacing w:line="360" w:lineRule="auto"/>
        <w:ind w:firstLine="480"/>
      </w:pPr>
      <w:r>
        <w:rPr>
          <w:rFonts w:ascii="宋体" w:hAnsi="宋体" w:eastAsia="宋体"/>
          <w:b w:val="0"/>
          <w:sz w:val="24"/>
        </w:rPr>
        <w:t>批次大小对比：测试了{16, 32, 64}。三种批次大小的测试准确率差异小于0.5%，批次32在速度和性能之间取得最佳平衡，验证了课程第5课关于小批量梯度下降的理论（见图7）。</w:t>
      </w:r>
    </w:p>
    <w:p w14:paraId="7E5A5813">
      <w:pPr>
        <w:jc w:val="center"/>
      </w:pPr>
      <w:r>
        <w:drawing>
          <wp:inline distT="0" distB="0" distL="114300" distR="114300">
            <wp:extent cx="4389120" cy="1548765"/>
            <wp:effectExtent l="0" t="0" r="508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4389120" cy="1549349"/>
                    </a:xfrm>
                    <a:prstGeom prst="rect">
                      <a:avLst/>
                    </a:prstGeom>
                  </pic:spPr>
                </pic:pic>
              </a:graphicData>
            </a:graphic>
          </wp:inline>
        </w:drawing>
      </w:r>
    </w:p>
    <w:p w14:paraId="222F2607">
      <w:pPr>
        <w:jc w:val="center"/>
      </w:pPr>
      <w:r>
        <w:rPr>
          <w:rFonts w:ascii="宋体" w:hAnsi="宋体" w:eastAsia="宋体"/>
          <w:b w:val="0"/>
          <w:sz w:val="18"/>
        </w:rPr>
        <w:t>图7  批次大小对比（图片来源：使用</w:t>
      </w:r>
      <w:r>
        <w:rPr>
          <w:rFonts w:hint="eastAsia"/>
          <w:b w:val="0"/>
          <w:sz w:val="18"/>
          <w:lang w:val="en-US" w:eastAsia="zh-CN"/>
        </w:rPr>
        <w:t>WPS</w:t>
      </w:r>
      <w:r>
        <w:rPr>
          <w:rFonts w:ascii="宋体" w:hAnsi="宋体" w:eastAsia="宋体"/>
          <w:b w:val="0"/>
          <w:sz w:val="18"/>
        </w:rPr>
        <w:t>自行绘制）</w:t>
      </w:r>
    </w:p>
    <w:p w14:paraId="596867D7">
      <w:pPr>
        <w:spacing w:line="360" w:lineRule="auto"/>
        <w:ind w:firstLine="480"/>
      </w:pPr>
      <w:r>
        <w:rPr>
          <w:rFonts w:ascii="宋体" w:hAnsi="宋体" w:eastAsia="宋体"/>
          <w:b w:val="0"/>
          <w:sz w:val="24"/>
        </w:rPr>
        <w:t>优化器对比：对比了SGD、SGD+Momentum（动量0.9）、Adam和RMSprop。Adam以最快收敛速度和最高准确率胜出，带动量的SGD优于普通SGD，验证了动量法的有效性，与课程第9课的优化器分析一致（见图8）。</w:t>
      </w:r>
    </w:p>
    <w:p w14:paraId="6ED218A8">
      <w:pPr>
        <w:jc w:val="center"/>
      </w:pPr>
      <w:r>
        <w:drawing>
          <wp:inline distT="0" distB="0" distL="114300" distR="114300">
            <wp:extent cx="4389120" cy="1548765"/>
            <wp:effectExtent l="0" t="0" r="508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4389120" cy="1549349"/>
                    </a:xfrm>
                    <a:prstGeom prst="rect">
                      <a:avLst/>
                    </a:prstGeom>
                  </pic:spPr>
                </pic:pic>
              </a:graphicData>
            </a:graphic>
          </wp:inline>
        </w:drawing>
      </w:r>
    </w:p>
    <w:p w14:paraId="31C53AFC">
      <w:pPr>
        <w:jc w:val="center"/>
      </w:pPr>
      <w:r>
        <w:rPr>
          <w:rFonts w:ascii="宋体" w:hAnsi="宋体" w:eastAsia="宋体"/>
          <w:b w:val="0"/>
          <w:sz w:val="18"/>
        </w:rPr>
        <w:t>图8  优化器对比（图片来源：使用</w:t>
      </w:r>
      <w:r>
        <w:rPr>
          <w:rFonts w:hint="eastAsia"/>
          <w:b w:val="0"/>
          <w:sz w:val="18"/>
          <w:lang w:val="en-US" w:eastAsia="zh-CN"/>
        </w:rPr>
        <w:t>WPS</w:t>
      </w:r>
      <w:r>
        <w:rPr>
          <w:rFonts w:ascii="宋体" w:hAnsi="宋体" w:eastAsia="宋体"/>
          <w:b w:val="0"/>
          <w:sz w:val="18"/>
        </w:rPr>
        <w:t>自行绘制）</w:t>
      </w:r>
    </w:p>
    <w:p w14:paraId="47E8DF74">
      <w:pPr>
        <w:spacing w:line="360" w:lineRule="auto"/>
        <w:ind w:firstLine="480"/>
      </w:pPr>
      <w:r>
        <w:rPr>
          <w:rFonts w:ascii="宋体" w:hAnsi="宋体" w:eastAsia="宋体"/>
          <w:b w:val="0"/>
          <w:sz w:val="24"/>
        </w:rPr>
        <w:t>图9和图10分别展示了CNN在测试集上的混淆矩阵（绝对数量和行归一化）。从混淆矩阵可看出，大多数类别准确率较高。衬衫类召回率最低，最容易与T恤、外套和套头衫混淆——这三类服装在28×28低分辨率灰度图中视觉非常相似。裤子、凉鞋、运动鞋和包类召回率超过90%，这些类别具有独特的视觉特征。图11展示了各类别的精确率、召回率和F1分数。</w:t>
      </w:r>
    </w:p>
    <w:p w14:paraId="18CC59ED">
      <w:pPr>
        <w:jc w:val="center"/>
      </w:pPr>
      <w:r>
        <w:drawing>
          <wp:inline distT="0" distB="0" distL="114300" distR="114300">
            <wp:extent cx="4389120" cy="3705860"/>
            <wp:effectExtent l="0" t="0" r="508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4389120" cy="3706159"/>
                    </a:xfrm>
                    <a:prstGeom prst="rect">
                      <a:avLst/>
                    </a:prstGeom>
                  </pic:spPr>
                </pic:pic>
              </a:graphicData>
            </a:graphic>
          </wp:inline>
        </w:drawing>
      </w:r>
    </w:p>
    <w:p w14:paraId="48E36EE6">
      <w:pPr>
        <w:jc w:val="center"/>
      </w:pPr>
      <w:r>
        <w:rPr>
          <w:rFonts w:ascii="宋体" w:hAnsi="宋体" w:eastAsia="宋体"/>
          <w:b w:val="0"/>
          <w:sz w:val="18"/>
        </w:rPr>
        <w:t>图9  CNN测试集混淆矩阵（数量）（图片来源：使用</w:t>
      </w:r>
      <w:r>
        <w:rPr>
          <w:rFonts w:hint="eastAsia"/>
          <w:b w:val="0"/>
          <w:sz w:val="18"/>
          <w:lang w:val="en-US" w:eastAsia="zh-CN"/>
        </w:rPr>
        <w:t>Claude绘制</w:t>
      </w:r>
      <w:r>
        <w:rPr>
          <w:rFonts w:ascii="宋体" w:hAnsi="宋体" w:eastAsia="宋体"/>
          <w:b w:val="0"/>
          <w:sz w:val="18"/>
        </w:rPr>
        <w:t>）</w:t>
      </w:r>
    </w:p>
    <w:p w14:paraId="14CCCCDC">
      <w:pPr>
        <w:jc w:val="center"/>
      </w:pPr>
      <w:r>
        <w:drawing>
          <wp:inline distT="0" distB="0" distL="114300" distR="114300">
            <wp:extent cx="4389120" cy="3703320"/>
            <wp:effectExtent l="0" t="0" r="508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4389120" cy="3703516"/>
                    </a:xfrm>
                    <a:prstGeom prst="rect">
                      <a:avLst/>
                    </a:prstGeom>
                  </pic:spPr>
                </pic:pic>
              </a:graphicData>
            </a:graphic>
          </wp:inline>
        </w:drawing>
      </w:r>
    </w:p>
    <w:p w14:paraId="043026D2">
      <w:pPr>
        <w:jc w:val="center"/>
      </w:pPr>
      <w:r>
        <w:rPr>
          <w:rFonts w:ascii="宋体" w:hAnsi="宋体" w:eastAsia="宋体"/>
          <w:b w:val="0"/>
          <w:sz w:val="18"/>
        </w:rPr>
        <w:t>图10  CNN测试集混淆矩阵（行归一化）（图片来源：使用</w:t>
      </w:r>
      <w:r>
        <w:rPr>
          <w:rFonts w:hint="eastAsia"/>
          <w:b w:val="0"/>
          <w:sz w:val="18"/>
          <w:lang w:val="en-US" w:eastAsia="zh-CN"/>
        </w:rPr>
        <w:t>Claude绘制</w:t>
      </w:r>
      <w:r>
        <w:rPr>
          <w:rFonts w:ascii="宋体" w:hAnsi="宋体" w:eastAsia="宋体"/>
          <w:b w:val="0"/>
          <w:sz w:val="18"/>
        </w:rPr>
        <w:t>）</w:t>
      </w:r>
    </w:p>
    <w:p w14:paraId="69C757D1">
      <w:pPr>
        <w:jc w:val="center"/>
      </w:pPr>
      <w:r>
        <w:drawing>
          <wp:inline distT="0" distB="0" distL="114300" distR="114300">
            <wp:extent cx="4389120" cy="2174875"/>
            <wp:effectExtent l="0" t="0" r="508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4389120" cy="2174878"/>
                    </a:xfrm>
                    <a:prstGeom prst="rect">
                      <a:avLst/>
                    </a:prstGeom>
                  </pic:spPr>
                </pic:pic>
              </a:graphicData>
            </a:graphic>
          </wp:inline>
        </w:drawing>
      </w:r>
    </w:p>
    <w:p w14:paraId="5321C208">
      <w:pPr>
        <w:jc w:val="center"/>
      </w:pPr>
      <w:r>
        <w:rPr>
          <w:rFonts w:ascii="宋体" w:hAnsi="宋体" w:eastAsia="宋体"/>
          <w:b w:val="0"/>
          <w:sz w:val="18"/>
        </w:rPr>
        <w:t>图11  各类别分类指标对比（图片来源：使用</w:t>
      </w:r>
      <w:r>
        <w:rPr>
          <w:rFonts w:hint="eastAsia"/>
          <w:b w:val="0"/>
          <w:sz w:val="18"/>
          <w:lang w:val="en-US" w:eastAsia="zh-CN"/>
        </w:rPr>
        <w:t>Claude绘制</w:t>
      </w:r>
      <w:r>
        <w:rPr>
          <w:rFonts w:ascii="宋体" w:hAnsi="宋体" w:eastAsia="宋体"/>
          <w:b w:val="0"/>
          <w:sz w:val="18"/>
        </w:rPr>
        <w:t>）</w:t>
      </w:r>
    </w:p>
    <w:p w14:paraId="4DC94E10">
      <w:pPr>
        <w:spacing w:before="120" w:line="360" w:lineRule="auto"/>
      </w:pPr>
      <w:r>
        <w:rPr>
          <w:rFonts w:ascii="黑体" w:hAnsi="黑体" w:eastAsia="黑体"/>
          <w:b/>
          <w:sz w:val="26"/>
        </w:rPr>
        <w:t>(二) 定性评估</w:t>
      </w:r>
    </w:p>
    <w:p w14:paraId="13E43A18">
      <w:pPr>
        <w:spacing w:line="360" w:lineRule="auto"/>
        <w:ind w:firstLine="480"/>
      </w:pPr>
      <w:r>
        <w:rPr>
          <w:rFonts w:ascii="宋体" w:hAnsi="宋体" w:eastAsia="宋体"/>
          <w:b w:val="0"/>
          <w:sz w:val="24"/>
        </w:rPr>
        <w:t>图12展示了各卷积层输出的特征图（前16个通道），清晰呈现了CNN的层次化特征学习特性。浅层（Conv1）特征图保留丰富的空间细节，不同通道分别对水平边缘、垂直边缘、对角纹理等低级视觉模式做出响应，验证了课程第10课所讲授的【浅层卷积核学习边缘和纹理等低级特征】的原理。中层（Conv2/Conv3）空间分辨率逐步降低，语义抽象程度提高，激活模式聚集在服装关键区域。深层（Conv4）激活模式高度抽象，与具体像素位置脱钩，更多反映整体服装类型的高层语义信息。这种从具体到抽象、从局部到全局的层次化学习过程，正是CNN高效的核心所在。</w:t>
      </w:r>
    </w:p>
    <w:p w14:paraId="165F81BF">
      <w:pPr>
        <w:jc w:val="center"/>
      </w:pPr>
      <w:r>
        <w:drawing>
          <wp:inline distT="0" distB="0" distL="114300" distR="114300">
            <wp:extent cx="4389120" cy="1269365"/>
            <wp:effectExtent l="0" t="0" r="508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4389120" cy="1269600"/>
                    </a:xfrm>
                    <a:prstGeom prst="rect">
                      <a:avLst/>
                    </a:prstGeom>
                  </pic:spPr>
                </pic:pic>
              </a:graphicData>
            </a:graphic>
          </wp:inline>
        </w:drawing>
      </w:r>
    </w:p>
    <w:p w14:paraId="001D25DE">
      <w:pPr>
        <w:jc w:val="center"/>
      </w:pPr>
      <w:r>
        <w:rPr>
          <w:rFonts w:ascii="宋体" w:hAnsi="宋体" w:eastAsia="宋体"/>
          <w:b w:val="0"/>
          <w:sz w:val="18"/>
        </w:rPr>
        <w:t>图12  卷积特征图可视化——从浅层边缘纹理到深层语义特征（图片来源：使用</w:t>
      </w:r>
      <w:r>
        <w:rPr>
          <w:rFonts w:hint="eastAsia"/>
          <w:b w:val="0"/>
          <w:sz w:val="18"/>
          <w:lang w:val="en-US" w:eastAsia="zh-CN"/>
        </w:rPr>
        <w:t>Claude绘制</w:t>
      </w:r>
      <w:r>
        <w:rPr>
          <w:rFonts w:ascii="宋体" w:hAnsi="宋体" w:eastAsia="宋体"/>
          <w:b w:val="0"/>
          <w:sz w:val="18"/>
        </w:rPr>
        <w:t>）</w:t>
      </w:r>
    </w:p>
    <w:p w14:paraId="1164AAD1">
      <w:pPr>
        <w:spacing w:line="360" w:lineRule="auto"/>
        <w:ind w:firstLine="480"/>
      </w:pPr>
      <w:r>
        <w:rPr>
          <w:rFonts w:ascii="宋体" w:hAnsi="宋体" w:eastAsia="宋体"/>
          <w:b w:val="0"/>
          <w:sz w:val="24"/>
        </w:rPr>
        <w:t>图13展示了10个被CNN错误分类的测试样本。通过分析归纳出三种主要错误模式：(1) 类别间视觉相似性——衬衫误判为T恤、套头衫误判为外套，上衣类服装在去除颜色和纹理后仅凭轮廓难以区分；(2) 姿态和形变——部分服装因拍摄角度导致形态变异；(3) 灰度图局限——无法利用颜色信息区分相似款式。未来可引入注意力机制聚焦区分性区域、增加输入分辨率或采用更强数据增强策略（如随机裁剪、CutOut等）。</w:t>
      </w:r>
    </w:p>
    <w:p w14:paraId="600A2FE8">
      <w:pPr>
        <w:jc w:val="center"/>
      </w:pPr>
      <w:r>
        <w:drawing>
          <wp:inline distT="0" distB="0" distL="114300" distR="114300">
            <wp:extent cx="4389120" cy="1807210"/>
            <wp:effectExtent l="0" t="0" r="508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389120" cy="1807285"/>
                    </a:xfrm>
                    <a:prstGeom prst="rect">
                      <a:avLst/>
                    </a:prstGeom>
                  </pic:spPr>
                </pic:pic>
              </a:graphicData>
            </a:graphic>
          </wp:inline>
        </w:drawing>
      </w:r>
    </w:p>
    <w:p w14:paraId="0AACEBAE">
      <w:pPr>
        <w:jc w:val="center"/>
      </w:pPr>
      <w:r>
        <w:rPr>
          <w:rFonts w:ascii="宋体" w:hAnsi="宋体" w:eastAsia="宋体"/>
          <w:b w:val="0"/>
          <w:sz w:val="18"/>
        </w:rPr>
        <w:t>图13  错误分类样本分析，红色标签为错误预测，绿色标签为真实类别（图片来源：使用</w:t>
      </w:r>
      <w:r>
        <w:rPr>
          <w:rFonts w:hint="eastAsia"/>
          <w:b w:val="0"/>
          <w:sz w:val="18"/>
          <w:lang w:val="en-US" w:eastAsia="zh-CN"/>
        </w:rPr>
        <w:t>WPS自行绘制</w:t>
      </w:r>
      <w:r>
        <w:rPr>
          <w:rFonts w:ascii="宋体" w:hAnsi="宋体" w:eastAsia="宋体"/>
          <w:b w:val="0"/>
          <w:sz w:val="18"/>
        </w:rPr>
        <w:t>）</w:t>
      </w:r>
    </w:p>
    <w:p w14:paraId="4A39FBC0">
      <w:pPr>
        <w:spacing w:before="120" w:line="360" w:lineRule="auto"/>
      </w:pPr>
      <w:r>
        <w:rPr>
          <w:rFonts w:ascii="黑体" w:hAnsi="黑体" w:eastAsia="黑体"/>
          <w:b/>
          <w:sz w:val="26"/>
        </w:rPr>
        <w:t>(三) 代码运行截图</w:t>
      </w:r>
    </w:p>
    <w:p w14:paraId="78BC7FAF">
      <w:pPr>
        <w:spacing w:line="360" w:lineRule="auto"/>
        <w:ind w:firstLine="480"/>
      </w:pPr>
      <w:r>
        <w:rPr>
          <w:rFonts w:ascii="宋体" w:hAnsi="宋体" w:eastAsia="宋体"/>
          <w:b w:val="0"/>
          <w:sz w:val="24"/>
        </w:rPr>
        <w:t>以下为实验代码运行过程中的关键截图。所有实验代码均可从GitHub仓库获取，运行环境配置见仓库中的README.md文件。</w:t>
      </w:r>
    </w:p>
    <w:p w14:paraId="424E8556">
      <w:pPr>
        <w:spacing w:before="120" w:line="360" w:lineRule="auto"/>
      </w:pPr>
      <w:r>
        <w:rPr>
          <w:rFonts w:ascii="黑体" w:hAnsi="黑体" w:eastAsia="黑体"/>
          <w:b/>
          <w:sz w:val="26"/>
        </w:rPr>
        <w:drawing>
          <wp:inline distT="0" distB="0" distL="114300" distR="114300">
            <wp:extent cx="5473065" cy="2565400"/>
            <wp:effectExtent l="0" t="0" r="635" b="0"/>
            <wp:docPr id="15" name="图片 15" descr="屏幕截图 2026-06-21 23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6-21 233117"/>
                    <pic:cNvPicPr>
                      <a:picLocks noChangeAspect="1"/>
                    </pic:cNvPicPr>
                  </pic:nvPicPr>
                  <pic:blipFill>
                    <a:blip r:embed="rId22"/>
                    <a:stretch>
                      <a:fillRect/>
                    </a:stretch>
                  </pic:blipFill>
                  <pic:spPr>
                    <a:xfrm>
                      <a:off x="0" y="0"/>
                      <a:ext cx="5473065" cy="2565400"/>
                    </a:xfrm>
                    <a:prstGeom prst="rect">
                      <a:avLst/>
                    </a:prstGeom>
                  </pic:spPr>
                </pic:pic>
              </a:graphicData>
            </a:graphic>
          </wp:inline>
        </w:drawing>
      </w:r>
      <w:r>
        <w:drawing>
          <wp:inline distT="0" distB="0" distL="114300" distR="114300">
            <wp:extent cx="5463540" cy="1181100"/>
            <wp:effectExtent l="0" t="0" r="10160" b="0"/>
            <wp:docPr id="1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3"/>
                    <pic:cNvPicPr>
                      <a:picLocks noChangeAspect="1"/>
                    </pic:cNvPicPr>
                  </pic:nvPicPr>
                  <pic:blipFill>
                    <a:blip r:embed="rId23"/>
                    <a:stretch>
                      <a:fillRect/>
                    </a:stretch>
                  </pic:blipFill>
                  <pic:spPr>
                    <a:xfrm>
                      <a:off x="0" y="0"/>
                      <a:ext cx="5463540" cy="1181100"/>
                    </a:xfrm>
                    <a:prstGeom prst="rect">
                      <a:avLst/>
                    </a:prstGeom>
                    <a:noFill/>
                    <a:ln>
                      <a:noFill/>
                    </a:ln>
                  </pic:spPr>
                </pic:pic>
              </a:graphicData>
            </a:graphic>
          </wp:inline>
        </w:drawing>
      </w:r>
      <w:r>
        <w:rPr>
          <w:rFonts w:ascii="黑体" w:hAnsi="黑体" w:eastAsia="黑体"/>
          <w:b/>
          <w:sz w:val="26"/>
        </w:rPr>
        <w:t>四) 讨论</w:t>
      </w:r>
    </w:p>
    <w:p w14:paraId="0A3C12CE">
      <w:pPr>
        <w:spacing w:line="360" w:lineRule="auto"/>
        <w:ind w:firstLine="480"/>
      </w:pPr>
      <w:r>
        <w:rPr>
          <w:rFonts w:ascii="宋体" w:hAnsi="宋体" w:eastAsia="宋体"/>
          <w:b w:val="0"/>
          <w:sz w:val="24"/>
        </w:rPr>
        <w:t>本文通过系统的实验验证了CNN在服装图像分类任务中的有效性。CNN模型以276,554个参数取得了90.1%的测试准确率，充分体现了卷积结构的高效特征提取能力。</w:t>
      </w:r>
    </w:p>
    <w:p w14:paraId="6AF36161">
      <w:pPr>
        <w:spacing w:line="360" w:lineRule="auto"/>
      </w:pPr>
      <w:r>
        <w:rPr>
          <w:rFonts w:ascii="宋体" w:hAnsi="宋体" w:eastAsia="宋体"/>
          <w:b w:val="0"/>
          <w:sz w:val="24"/>
        </w:rPr>
        <w:t>本文方法的优势在于：</w:t>
      </w:r>
    </w:p>
    <w:p w14:paraId="0F49ACE5">
      <w:pPr>
        <w:spacing w:line="360" w:lineRule="auto"/>
        <w:ind w:firstLine="480"/>
      </w:pPr>
      <w:r>
        <w:rPr>
          <w:rFonts w:ascii="宋体" w:hAnsi="宋体" w:eastAsia="宋体"/>
          <w:b w:val="0"/>
          <w:sz w:val="24"/>
        </w:rPr>
        <w:t>(1) 模型轻量高效：四层CNN仅27.6万参数，可在普通CPU上完成训练和推理，实际部署门槛低。(2) 实验完整系统：覆盖数据可视化、预处理、基线对比、超参数调优、特征图可视化和错误案例分析等完整流程。(3) 可解释性强：通过特征图可视化直观展示了CNN的工作机制。</w:t>
      </w:r>
    </w:p>
    <w:p w14:paraId="736C8839">
      <w:pPr>
        <w:spacing w:line="360" w:lineRule="auto"/>
      </w:pPr>
      <w:r>
        <w:rPr>
          <w:rFonts w:ascii="宋体" w:hAnsi="宋体" w:eastAsia="宋体"/>
          <w:b w:val="0"/>
          <w:sz w:val="24"/>
        </w:rPr>
        <w:t>本文方法也存在局限性：</w:t>
      </w:r>
    </w:p>
    <w:p w14:paraId="37E5EE79">
      <w:pPr>
        <w:spacing w:line="360" w:lineRule="auto"/>
        <w:ind w:firstLine="480"/>
      </w:pPr>
      <w:r>
        <w:rPr>
          <w:rFonts w:ascii="宋体" w:hAnsi="宋体" w:eastAsia="宋体"/>
          <w:b w:val="0"/>
          <w:sz w:val="24"/>
        </w:rPr>
        <w:t>(1) 数据集简单：Fashion-MNIST为28×28低分辨率灰度图，实际应用中的服装图像通常为高分辨率彩色照片，背景复杂。(2) 模型较浅：四层CNN在更复杂数据集上性能可能不足。(3) 上衣类混淆：T恤、衬衫、套头衫、外套分类准确率较低，是低分辨率灰度条件下的固有难点。(4) 缺乏实际部署验证：仅在离线数据集上评估，未在真实场景中测试。</w:t>
      </w:r>
    </w:p>
    <w:p w14:paraId="03624624">
      <w:pPr>
        <w:spacing w:before="240" w:line="360" w:lineRule="auto"/>
      </w:pPr>
      <w:r>
        <w:rPr>
          <w:rFonts w:ascii="黑体" w:hAnsi="黑体" w:eastAsia="黑体"/>
          <w:b/>
          <w:sz w:val="30"/>
        </w:rPr>
        <w:t>7. 结论</w:t>
      </w:r>
    </w:p>
    <w:p w14:paraId="0EB204C5">
      <w:pPr>
        <w:spacing w:line="360" w:lineRule="auto"/>
        <w:ind w:firstLine="480"/>
      </w:pPr>
      <w:r>
        <w:rPr>
          <w:rFonts w:ascii="宋体" w:hAnsi="宋体" w:eastAsia="宋体"/>
          <w:b w:val="0"/>
          <w:sz w:val="24"/>
        </w:rPr>
        <w:t>本文围绕卷积神经网络在图像分类中的应用，以Fashion-MNIST服装图像分类为任务，完成了从数据预处理、模型设计、训练优化到全面评估的完整深度学习项目实践。主要结论如下：</w:t>
      </w:r>
    </w:p>
    <w:p w14:paraId="38E4C94F">
      <w:pPr>
        <w:spacing w:line="360" w:lineRule="auto"/>
        <w:ind w:firstLine="480"/>
      </w:pPr>
      <w:r>
        <w:rPr>
          <w:rFonts w:ascii="宋体" w:hAnsi="宋体" w:eastAsia="宋体"/>
          <w:b w:val="0"/>
          <w:sz w:val="24"/>
        </w:rPr>
        <w:t>(1) 设计并实现了四层CNN模型，在10类服装分类上取得了90.1%的测试准确率，显著优于MLP基线（84.8%）和逻辑回归基线（80.1%），且CNN参数量仅为MLP的0.7%，验证了卷积结构在图像特征提取中的参数效率和性能优势。</w:t>
      </w:r>
    </w:p>
    <w:p w14:paraId="6FB1D3E9">
      <w:pPr>
        <w:spacing w:line="360" w:lineRule="auto"/>
        <w:ind w:firstLine="480"/>
      </w:pPr>
      <w:r>
        <w:rPr>
          <w:rFonts w:ascii="宋体" w:hAnsi="宋体" w:eastAsia="宋体"/>
          <w:b w:val="0"/>
          <w:sz w:val="24"/>
        </w:rPr>
        <w:t>(2) 超参数调优实验发现Adam优化器配合0.001学习率和32批次大小是该任务上的最优配置，验证了课程所学的梯度下降优化理论。</w:t>
      </w:r>
    </w:p>
    <w:p w14:paraId="05674BD6">
      <w:pPr>
        <w:spacing w:line="360" w:lineRule="auto"/>
        <w:ind w:firstLine="480"/>
      </w:pPr>
      <w:r>
        <w:rPr>
          <w:rFonts w:ascii="宋体" w:hAnsi="宋体" w:eastAsia="宋体"/>
          <w:b w:val="0"/>
          <w:sz w:val="24"/>
        </w:rPr>
        <w:t>(3) 混淆矩阵分析揭示衬衫类是最难分类的类别，主要与T恤和套头衫混淆，反映了低分辨率灰度条件下上衣类服装的区分困难。</w:t>
      </w:r>
    </w:p>
    <w:p w14:paraId="6B421D9B">
      <w:pPr>
        <w:spacing w:line="360" w:lineRule="auto"/>
        <w:ind w:firstLine="480"/>
      </w:pPr>
      <w:r>
        <w:rPr>
          <w:rFonts w:ascii="宋体" w:hAnsi="宋体" w:eastAsia="宋体"/>
          <w:b w:val="0"/>
          <w:sz w:val="24"/>
        </w:rPr>
        <w:t>(4) 卷积特征图可视化直观展示了CNN从低级边缘纹理到高级语义特征的层次化学习过程，为理解CNN的工作机制提供了直观证据。</w:t>
      </w:r>
    </w:p>
    <w:p w14:paraId="7A62E2EA">
      <w:pPr>
        <w:spacing w:line="360" w:lineRule="auto"/>
        <w:ind w:firstLine="480"/>
      </w:pPr>
      <w:r>
        <w:rPr>
          <w:rFonts w:ascii="宋体" w:hAnsi="宋体" w:eastAsia="宋体"/>
          <w:b w:val="0"/>
          <w:sz w:val="24"/>
        </w:rPr>
        <w:t>未来工作可从以下方向展开：尝试ResNet等更深架构或使用迁移学习进一步提升性能；将方法扩展到真实场景服装数据集（如DeepFashion）；引入注意力机制增强模型对区分性区域的关注；增加Grad-CAM等可解释性分析工具。</w:t>
      </w:r>
    </w:p>
    <w:p w14:paraId="3072E1E3">
      <w:pPr>
        <w:spacing w:line="360" w:lineRule="auto"/>
      </w:pPr>
      <w:r>
        <w:rPr>
          <w:rFonts w:ascii="黑体" w:hAnsi="黑体" w:eastAsia="黑体"/>
          <w:b/>
          <w:sz w:val="30"/>
        </w:rPr>
        <w:t>8. 参考文献</w:t>
      </w:r>
    </w:p>
    <w:p w14:paraId="7B090694">
      <w:pPr>
        <w:spacing w:before="240" w:line="360" w:lineRule="auto"/>
      </w:pPr>
      <w:r>
        <w:rPr>
          <w:rFonts w:ascii="黑体" w:hAnsi="黑体" w:eastAsia="黑体"/>
          <w:b/>
          <w:sz w:val="30"/>
        </w:rPr>
        <w:t>GitHub源代码链接</w:t>
      </w:r>
    </w:p>
    <w:p w14:paraId="0D8155AB">
      <w:pPr>
        <w:spacing w:line="360" w:lineRule="auto"/>
        <w:ind w:firstLine="480"/>
      </w:pPr>
      <w:r>
        <w:rPr>
          <w:rFonts w:ascii="宋体" w:hAnsi="宋体" w:eastAsia="宋体"/>
          <w:b w:val="0"/>
          <w:sz w:val="24"/>
        </w:rPr>
        <w:t>本文完整实验代码已上传至GitHub仓库，可通过以下链接获取：</w:t>
      </w:r>
    </w:p>
    <w:p w14:paraId="722CE2C2">
      <w:pPr>
        <w:spacing w:line="360" w:lineRule="auto"/>
      </w:pPr>
      <w:r>
        <w:rPr>
          <w:rFonts w:hint="eastAsia" w:cs="宋体"/>
          <w:sz w:val="24"/>
          <w:szCs w:val="24"/>
          <w:lang w:eastAsia="zh-CN"/>
        </w:rPr>
        <w:t>“</w:t>
      </w:r>
      <w:r>
        <w:rPr>
          <w:rFonts w:hint="eastAsia" w:ascii="宋体" w:hAnsi="宋体" w:eastAsia="宋体" w:cs="宋体"/>
          <w:sz w:val="24"/>
          <w:szCs w:val="24"/>
        </w:rPr>
        <w:t>https://github.com/enormou2/---</w:t>
      </w:r>
      <w:r>
        <w:rPr>
          <w:rFonts w:hint="eastAsia" w:cs="宋体"/>
          <w:sz w:val="24"/>
          <w:szCs w:val="24"/>
          <w:lang w:eastAsia="zh-CN"/>
        </w:rPr>
        <w:t>”</w:t>
      </w:r>
      <w:r>
        <w:rPr>
          <w:rFonts w:ascii="宋体" w:hAnsi="宋体" w:eastAsia="宋体"/>
          <w:b w:val="0"/>
          <w:sz w:val="24"/>
        </w:rPr>
        <w:t>项目目录结构如下：</w:t>
      </w:r>
      <w:bookmarkStart w:id="0" w:name="_GoBack"/>
      <w:bookmarkEnd w:id="0"/>
    </w:p>
    <w:p w14:paraId="09105371">
      <w:pPr>
        <w:spacing w:line="360" w:lineRule="auto"/>
        <w:ind w:firstLine="720" w:firstLineChars="0"/>
        <w:rPr>
          <w:rFonts w:ascii="宋体" w:hAnsi="宋体" w:eastAsia="宋体"/>
          <w:b w:val="0"/>
          <w:sz w:val="24"/>
        </w:rPr>
      </w:pPr>
      <w:r>
        <w:rPr>
          <w:rFonts w:ascii="宋体" w:hAnsi="宋体" w:eastAsia="宋体"/>
          <w:b w:val="0"/>
          <w:sz w:val="24"/>
        </w:rPr>
        <w:t>garbage-cnn-classification/</w:t>
      </w:r>
      <w:r>
        <w:rPr>
          <w:rFonts w:ascii="宋体" w:hAnsi="宋体" w:eastAsia="宋体"/>
          <w:b w:val="0"/>
          <w:sz w:val="24"/>
        </w:rPr>
        <w:br w:type="textWrapping"/>
      </w:r>
      <w:r>
        <w:rPr>
          <w:rFonts w:ascii="宋体" w:hAnsi="宋体" w:eastAsia="宋体"/>
          <w:b w:val="0"/>
          <w:sz w:val="24"/>
        </w:rPr>
        <w:t xml:space="preserve">  README.md                   # 环境配置与运行说明</w:t>
      </w:r>
      <w:r>
        <w:rPr>
          <w:rFonts w:ascii="宋体" w:hAnsi="宋体" w:eastAsia="宋体"/>
          <w:b w:val="0"/>
          <w:sz w:val="24"/>
        </w:rPr>
        <w:br w:type="textWrapping"/>
      </w:r>
      <w:r>
        <w:rPr>
          <w:rFonts w:ascii="宋体" w:hAnsi="宋体" w:eastAsia="宋体"/>
          <w:b w:val="0"/>
          <w:sz w:val="24"/>
        </w:rPr>
        <w:t xml:space="preserve">  requirements.txt            # Python依赖包列表</w:t>
      </w:r>
    </w:p>
    <w:p w14:paraId="7767895B">
      <w:pPr>
        <w:spacing w:line="360" w:lineRule="auto"/>
        <w:ind w:firstLine="240" w:firstLineChars="100"/>
        <w:rPr>
          <w:rFonts w:hint="default"/>
          <w:b w:val="0"/>
          <w:sz w:val="24"/>
          <w:lang w:val="en-US" w:eastAsia="zh-CN"/>
        </w:rPr>
      </w:pPr>
      <w:r>
        <w:rPr>
          <w:rFonts w:hint="eastAsia"/>
          <w:b w:val="0"/>
          <w:sz w:val="24"/>
          <w:lang w:val="en-US" w:eastAsia="zh-CN"/>
        </w:rPr>
        <w:t>main.py                              #主函数开始实验</w:t>
      </w:r>
      <w:r>
        <w:rPr>
          <w:rFonts w:ascii="宋体" w:hAnsi="宋体" w:eastAsia="宋体"/>
          <w:b w:val="0"/>
          <w:sz w:val="24"/>
        </w:rPr>
        <w:br w:type="textWrapping"/>
      </w:r>
      <w:r>
        <w:rPr>
          <w:rFonts w:ascii="宋体" w:hAnsi="宋体" w:eastAsia="宋体"/>
          <w:b w:val="0"/>
          <w:sz w:val="24"/>
        </w:rPr>
        <w:t xml:space="preserve">  data/                       # Fashion-MNIST数据集目录</w:t>
      </w:r>
      <w:r>
        <w:rPr>
          <w:rFonts w:ascii="宋体" w:hAnsi="宋体" w:eastAsia="宋体"/>
          <w:b w:val="0"/>
          <w:sz w:val="24"/>
        </w:rPr>
        <w:br w:type="textWrapping"/>
      </w:r>
      <w:r>
        <w:rPr>
          <w:rFonts w:ascii="宋体" w:hAnsi="宋体" w:eastAsia="宋体"/>
          <w:b w:val="0"/>
          <w:sz w:val="24"/>
        </w:rPr>
        <w:t xml:space="preserve">  src/</w:t>
      </w:r>
      <w:r>
        <w:rPr>
          <w:rFonts w:ascii="宋体" w:hAnsi="宋体" w:eastAsia="宋体"/>
          <w:b w:val="0"/>
          <w:sz w:val="24"/>
        </w:rPr>
        <w:br w:type="textWrapping"/>
      </w:r>
      <w:r>
        <w:rPr>
          <w:rFonts w:ascii="宋体" w:hAnsi="宋体" w:eastAsia="宋体"/>
          <w:b w:val="0"/>
          <w:sz w:val="24"/>
        </w:rPr>
        <w:t xml:space="preserve">    data_preprocessing.py     # 数据加载、预处理、可视化</w:t>
      </w:r>
      <w:r>
        <w:rPr>
          <w:rFonts w:ascii="宋体" w:hAnsi="宋体" w:eastAsia="宋体"/>
          <w:b w:val="0"/>
          <w:sz w:val="24"/>
        </w:rPr>
        <w:br w:type="textWrapping"/>
      </w:r>
      <w:r>
        <w:rPr>
          <w:rFonts w:ascii="宋体" w:hAnsi="宋体" w:eastAsia="宋体"/>
          <w:b w:val="0"/>
          <w:sz w:val="24"/>
        </w:rPr>
        <w:t xml:space="preserve">    model.py                  # CNN/MLP模型定义</w:t>
      </w:r>
      <w:r>
        <w:rPr>
          <w:rFonts w:ascii="宋体" w:hAnsi="宋体" w:eastAsia="宋体"/>
          <w:b w:val="0"/>
          <w:sz w:val="24"/>
        </w:rPr>
        <w:br w:type="textWrapping"/>
      </w:r>
      <w:r>
        <w:rPr>
          <w:rFonts w:ascii="宋体" w:hAnsi="宋体" w:eastAsia="宋体"/>
          <w:b w:val="0"/>
          <w:sz w:val="24"/>
        </w:rPr>
        <w:t xml:space="preserve">    train.py                  # 训练循环、早停、学习率调度</w:t>
      </w:r>
      <w:r>
        <w:rPr>
          <w:rFonts w:ascii="宋体" w:hAnsi="宋体" w:eastAsia="宋体"/>
          <w:b w:val="0"/>
          <w:sz w:val="24"/>
        </w:rPr>
        <w:br w:type="textWrapping"/>
      </w:r>
      <w:r>
        <w:rPr>
          <w:rFonts w:ascii="宋体" w:hAnsi="宋体" w:eastAsia="宋体"/>
          <w:b w:val="0"/>
          <w:sz w:val="24"/>
        </w:rPr>
        <w:t xml:space="preserve">    evaluate.py               # 评估指标、混淆矩阵</w:t>
      </w:r>
      <w:r>
        <w:rPr>
          <w:rFonts w:ascii="宋体" w:hAnsi="宋体" w:eastAsia="宋体"/>
          <w:b w:val="0"/>
          <w:sz w:val="24"/>
        </w:rPr>
        <w:br w:type="textWrapping"/>
      </w:r>
      <w:r>
        <w:rPr>
          <w:rFonts w:ascii="宋体" w:hAnsi="宋体" w:eastAsia="宋体"/>
          <w:b w:val="0"/>
          <w:sz w:val="24"/>
        </w:rPr>
        <w:t xml:space="preserve">    visualize.py              # 训练曲线、特征图可视化</w:t>
      </w:r>
    </w:p>
    <w:sectPr>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F86113"/>
    <w:rsid w:val="17516D4E"/>
    <w:rsid w:val="193A710B"/>
    <w:rsid w:val="1E6B65E4"/>
    <w:rsid w:val="37C87E10"/>
    <w:rsid w:val="402C7D26"/>
    <w:rsid w:val="55BB1FAB"/>
    <w:rsid w:val="5C08398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table" w:customStyle="1" w:styleId="165">
    <w:name w:val="三线表"/>
    <w:basedOn w:val="32"/>
    <w:qFormat/>
    <w:uiPriority w:val="99"/>
    <w:pPr>
      <w:spacing w:after="0" w:line="240" w:lineRule="auto"/>
    </w:pPr>
    <w:rPr>
      <w:rFonts w:ascii="Times New Roman" w:hAnsi="Times New Roman" w:eastAsia="宋体"/>
      <w:color w:val="000000" w:themeColor="text1"/>
      <w:sz w:val="21"/>
      <w14:textFill>
        <w14:solidFill>
          <w14:schemeClr w14:val="tx1"/>
        </w14:solidFill>
      </w14:textFill>
    </w:rPr>
    <w:tblPr>
      <w:jc w:val="center"/>
      <w:tblBorders>
        <w:top w:val="single" w:color="auto" w:sz="12" w:space="0"/>
        <w:bottom w:val="single" w:color="auto" w:sz="12" w:space="0"/>
      </w:tblBorders>
    </w:tblPr>
    <w:trPr>
      <w:jc w:val="center"/>
    </w:trPr>
    <w:tcPr>
      <w:vAlign w:val="center"/>
    </w:tcPr>
    <w:tblStylePr w:type="firstRow">
      <w:rPr>
        <w:b/>
      </w:rPr>
      <w:tcPr>
        <w:tcBorders>
          <w:top w:val="single" w:color="auto" w:sz="12" w:space="0"/>
          <w:left w:val="nil"/>
          <w:bottom w:val="single" w:color="auto" w:sz="6" w:space="0"/>
          <w:right w:val="nil"/>
          <w:insideH w:val="nil"/>
          <w:insideV w:val="nil"/>
          <w:tl2br w:val="nil"/>
          <w:tr2bl w:val="nil"/>
        </w:tcBorders>
      </w:tcPr>
    </w:tblStylePr>
    <w:tblStylePr w:type="firstCol">
      <w:rPr>
        <w:b/>
      </w:r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4</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WPS_1776421216</cp:lastModifiedBy>
  <dcterms:modified xsi:type="dcterms:W3CDTF">2026-06-21T15:54:17Z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4A534C41351E413FAEFCAAA6D1B53599_12</vt:lpwstr>
  </property>
</Properties>
</file>