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751BCD">
      <w:pPr>
        <w:rPr>
          <w:rStyle w:val="9"/>
          <w:rFonts w:hint="default" w:ascii="Arial" w:hAnsi="Arial" w:cs="Arial"/>
          <w:b/>
          <w:bCs/>
          <w:color w:val="auto"/>
          <w:sz w:val="22"/>
          <w:szCs w:val="22"/>
          <w:lang w:val="en-US"/>
        </w:rPr>
      </w:pPr>
    </w:p>
    <w:p w14:paraId="787E491D">
      <w:pPr>
        <w:rPr>
          <w:rStyle w:val="9"/>
          <w:rFonts w:hint="default" w:ascii="Arial" w:hAnsi="Arial" w:cs="Arial"/>
          <w:b/>
          <w:bCs/>
          <w:color w:val="auto"/>
          <w:sz w:val="22"/>
          <w:szCs w:val="22"/>
          <w:lang w:val="en-US"/>
        </w:rPr>
      </w:pPr>
    </w:p>
    <w:p w14:paraId="1256C65E">
      <w:pPr>
        <w:rPr>
          <w:rStyle w:val="9"/>
          <w:rFonts w:hint="default" w:ascii="Arial" w:hAnsi="Arial" w:cs="Arial"/>
          <w:b/>
          <w:bCs/>
          <w:color w:val="auto"/>
          <w:sz w:val="22"/>
          <w:szCs w:val="22"/>
          <w:lang w:val="en-US"/>
        </w:rPr>
      </w:pPr>
    </w:p>
    <w:p w14:paraId="6F1C3272">
      <w:pPr>
        <w:rPr>
          <w:rStyle w:val="9"/>
          <w:rFonts w:hint="default" w:ascii="Arial" w:hAnsi="Arial" w:cs="Arial"/>
          <w:b/>
          <w:bCs/>
          <w:color w:val="auto"/>
          <w:sz w:val="22"/>
          <w:szCs w:val="22"/>
          <w:lang w:val="en-US"/>
        </w:rPr>
      </w:pPr>
    </w:p>
    <w:p w14:paraId="6CAEC8B7">
      <w:pPr>
        <w:rPr>
          <w:rStyle w:val="9"/>
          <w:rFonts w:hint="default" w:ascii="Arial" w:hAnsi="Arial" w:cs="Arial"/>
          <w:b/>
          <w:bCs/>
          <w:color w:val="auto"/>
          <w:sz w:val="22"/>
          <w:szCs w:val="22"/>
          <w:lang w:val="en-US"/>
        </w:rPr>
      </w:pPr>
    </w:p>
    <w:p w14:paraId="7DFDA9DD">
      <w:pPr>
        <w:rPr>
          <w:rStyle w:val="9"/>
          <w:rFonts w:hint="default" w:ascii="Arial" w:hAnsi="Arial" w:cs="Arial"/>
          <w:b/>
          <w:bCs/>
          <w:color w:val="auto"/>
          <w:sz w:val="22"/>
          <w:szCs w:val="22"/>
          <w:lang w:val="en-US"/>
        </w:rPr>
      </w:pPr>
    </w:p>
    <w:p w14:paraId="242A78E4">
      <w:pPr>
        <w:rPr>
          <w:rStyle w:val="9"/>
          <w:rFonts w:hint="default" w:ascii="Arial" w:hAnsi="Arial" w:cs="Arial"/>
          <w:b/>
          <w:bCs/>
          <w:color w:val="auto"/>
          <w:sz w:val="22"/>
          <w:szCs w:val="22"/>
          <w:lang w:val="en-US"/>
        </w:rPr>
      </w:pPr>
    </w:p>
    <w:p w14:paraId="48288030">
      <w:pPr>
        <w:spacing w:line="360" w:lineRule="auto"/>
        <w:rPr>
          <w:rStyle w:val="9"/>
          <w:rFonts w:hint="default" w:ascii="Arial" w:hAnsi="Arial" w:cs="Arial"/>
          <w:b/>
          <w:bCs/>
          <w:color w:val="auto"/>
          <w:sz w:val="22"/>
          <w:szCs w:val="22"/>
          <w:lang w:val="en-US"/>
        </w:rPr>
      </w:pPr>
    </w:p>
    <w:p w14:paraId="5630CA05">
      <w:pPr>
        <w:spacing w:line="360" w:lineRule="auto"/>
        <w:jc w:val="center"/>
        <w:rPr>
          <w:rFonts w:hint="default" w:ascii="Arial" w:hAnsi="Arial" w:eastAsia="SimSun" w:cs="Arial"/>
          <w:b/>
          <w:bCs/>
          <w:sz w:val="22"/>
          <w:szCs w:val="22"/>
        </w:rPr>
      </w:pPr>
      <w:r>
        <w:rPr>
          <w:rFonts w:hint="default" w:ascii="Arial" w:hAnsi="Arial" w:eastAsia="SimSun" w:cs="Arial"/>
          <w:b/>
          <w:bCs/>
          <w:sz w:val="22"/>
          <w:szCs w:val="22"/>
        </w:rPr>
        <w:t>A Critical Reflection on the Design and Delivery of a Micro-Teaching Session in Mental Health Nursing</w:t>
      </w:r>
    </w:p>
    <w:p w14:paraId="6D24C0B2">
      <w:pPr>
        <w:spacing w:line="360" w:lineRule="auto"/>
        <w:jc w:val="center"/>
        <w:rPr>
          <w:rFonts w:hint="default" w:ascii="Arial" w:hAnsi="Arial" w:eastAsia="SimSun" w:cs="Arial"/>
          <w:b/>
          <w:bCs/>
          <w:sz w:val="22"/>
          <w:szCs w:val="22"/>
        </w:rPr>
      </w:pPr>
    </w:p>
    <w:p w14:paraId="3C4A38F9">
      <w:pPr>
        <w:spacing w:line="360" w:lineRule="auto"/>
        <w:jc w:val="center"/>
        <w:rPr>
          <w:rFonts w:hint="default" w:ascii="Arial" w:hAnsi="Arial" w:eastAsia="SimSun" w:cs="Arial"/>
          <w:b/>
          <w:bCs/>
          <w:sz w:val="22"/>
          <w:szCs w:val="22"/>
        </w:rPr>
      </w:pPr>
    </w:p>
    <w:p w14:paraId="66AB04C2">
      <w:pPr>
        <w:spacing w:line="360" w:lineRule="auto"/>
        <w:jc w:val="center"/>
        <w:rPr>
          <w:rFonts w:hint="default" w:ascii="Arial" w:hAnsi="Arial" w:eastAsia="SimSun" w:cs="Arial"/>
          <w:b/>
          <w:bCs/>
          <w:sz w:val="22"/>
          <w:szCs w:val="22"/>
        </w:rPr>
      </w:pPr>
      <w:bookmarkStart w:id="0" w:name="_GoBack"/>
      <w:bookmarkEnd w:id="0"/>
    </w:p>
    <w:p w14:paraId="01438642">
      <w:pPr>
        <w:spacing w:line="360" w:lineRule="auto"/>
        <w:jc w:val="center"/>
        <w:rPr>
          <w:rFonts w:hint="default" w:ascii="Arial" w:hAnsi="Arial" w:eastAsia="SimSun" w:cs="Arial"/>
          <w:b w:val="0"/>
          <w:bCs w:val="0"/>
          <w:sz w:val="22"/>
          <w:szCs w:val="22"/>
          <w:lang w:val="en-US"/>
        </w:rPr>
      </w:pPr>
      <w:r>
        <w:rPr>
          <w:rFonts w:hint="default" w:ascii="Arial" w:hAnsi="Arial" w:eastAsia="SimSun" w:cs="Arial"/>
          <w:b w:val="0"/>
          <w:bCs w:val="0"/>
          <w:sz w:val="22"/>
          <w:szCs w:val="22"/>
          <w:lang w:val="en-US"/>
        </w:rPr>
        <w:t>Student’s name</w:t>
      </w:r>
    </w:p>
    <w:p w14:paraId="74AD416E">
      <w:pPr>
        <w:spacing w:line="360" w:lineRule="auto"/>
        <w:jc w:val="center"/>
        <w:rPr>
          <w:rFonts w:hint="default" w:ascii="Arial" w:hAnsi="Arial" w:eastAsia="SimSun" w:cs="Arial"/>
          <w:b w:val="0"/>
          <w:bCs w:val="0"/>
          <w:sz w:val="22"/>
          <w:szCs w:val="22"/>
          <w:lang w:val="en-US"/>
        </w:rPr>
      </w:pPr>
      <w:r>
        <w:rPr>
          <w:rFonts w:hint="default" w:ascii="Arial" w:hAnsi="Arial" w:eastAsia="SimSun" w:cs="Arial"/>
          <w:b w:val="0"/>
          <w:bCs w:val="0"/>
          <w:sz w:val="22"/>
          <w:szCs w:val="22"/>
          <w:lang w:val="en-US"/>
        </w:rPr>
        <w:t>Institution affliation</w:t>
      </w:r>
      <w:r>
        <w:rPr>
          <w:rFonts w:hint="default" w:ascii="Arial" w:hAnsi="Arial" w:eastAsia="SimSun" w:cs="Arial"/>
          <w:b w:val="0"/>
          <w:bCs w:val="0"/>
          <w:sz w:val="22"/>
          <w:szCs w:val="22"/>
          <w:lang w:val="en-US"/>
        </w:rPr>
        <w:br w:type="textWrapping"/>
      </w:r>
      <w:r>
        <w:rPr>
          <w:rFonts w:hint="default" w:ascii="Arial" w:hAnsi="Arial" w:eastAsia="SimSun" w:cs="Arial"/>
          <w:b w:val="0"/>
          <w:bCs w:val="0"/>
          <w:sz w:val="22"/>
          <w:szCs w:val="22"/>
          <w:lang w:val="en-US"/>
        </w:rPr>
        <w:t>course</w:t>
      </w:r>
    </w:p>
    <w:p w14:paraId="40FE7B90">
      <w:pPr>
        <w:spacing w:line="360" w:lineRule="auto"/>
        <w:jc w:val="center"/>
        <w:rPr>
          <w:rFonts w:hint="default" w:ascii="Arial" w:hAnsi="Arial" w:eastAsia="SimSun" w:cs="Arial"/>
          <w:b w:val="0"/>
          <w:bCs w:val="0"/>
          <w:sz w:val="22"/>
          <w:szCs w:val="22"/>
          <w:lang w:val="en-US"/>
        </w:rPr>
      </w:pPr>
      <w:r>
        <w:rPr>
          <w:rFonts w:hint="default" w:ascii="Arial" w:hAnsi="Arial" w:eastAsia="SimSun" w:cs="Arial"/>
          <w:b w:val="0"/>
          <w:bCs w:val="0"/>
          <w:sz w:val="22"/>
          <w:szCs w:val="22"/>
          <w:lang w:val="en-US"/>
        </w:rPr>
        <w:t>Professor</w:t>
      </w:r>
    </w:p>
    <w:p w14:paraId="00BE4DA5">
      <w:pPr>
        <w:spacing w:line="360" w:lineRule="auto"/>
        <w:jc w:val="center"/>
        <w:rPr>
          <w:rStyle w:val="9"/>
          <w:rFonts w:hint="default" w:ascii="Arial" w:hAnsi="Arial" w:cs="Arial"/>
          <w:b/>
          <w:bCs/>
          <w:color w:val="auto"/>
          <w:sz w:val="22"/>
          <w:szCs w:val="22"/>
          <w:lang w:val="en-US"/>
        </w:rPr>
      </w:pPr>
      <w:r>
        <w:rPr>
          <w:rFonts w:hint="default" w:ascii="Arial" w:hAnsi="Arial" w:eastAsia="SimSun" w:cs="Arial"/>
          <w:b w:val="0"/>
          <w:bCs w:val="0"/>
          <w:sz w:val="22"/>
          <w:szCs w:val="22"/>
          <w:lang w:val="en-US"/>
        </w:rPr>
        <w:t xml:space="preserve">Date </w:t>
      </w:r>
      <w:r>
        <w:rPr>
          <w:rStyle w:val="9"/>
          <w:rFonts w:hint="default" w:ascii="Arial" w:hAnsi="Arial" w:cs="Arial"/>
          <w:b/>
          <w:bCs/>
          <w:color w:val="auto"/>
          <w:sz w:val="22"/>
          <w:szCs w:val="22"/>
          <w:lang w:val="en-US"/>
        </w:rPr>
        <w:br w:type="page"/>
      </w:r>
    </w:p>
    <w:p w14:paraId="7BF501F1">
      <w:pPr>
        <w:pStyle w:val="2"/>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Arial" w:hAnsi="Arial" w:cs="Arial"/>
          <w:b/>
          <w:bCs/>
          <w:color w:val="auto"/>
          <w:sz w:val="22"/>
          <w:szCs w:val="22"/>
          <w:lang w:val="en-US"/>
        </w:rPr>
      </w:pPr>
      <w:r>
        <w:rPr>
          <w:rStyle w:val="9"/>
          <w:rFonts w:hint="default" w:ascii="Arial" w:hAnsi="Arial" w:cs="Arial"/>
          <w:b/>
          <w:bCs/>
          <w:color w:val="auto"/>
          <w:sz w:val="22"/>
          <w:szCs w:val="22"/>
          <w:lang w:val="en-US"/>
        </w:rPr>
        <w:t>Introduction (WHAT?)</w:t>
      </w:r>
    </w:p>
    <w:p w14:paraId="51407BBE">
      <w:pPr>
        <w:pStyle w:val="8"/>
        <w:keepNext w:val="0"/>
        <w:keepLines w:val="0"/>
        <w:pageBreakBefore w:val="0"/>
        <w:widowControl/>
        <w:kinsoku/>
        <w:wordWrap/>
        <w:overflowPunct/>
        <w:topLinePunct w:val="0"/>
        <w:autoSpaceDE/>
        <w:autoSpaceDN/>
        <w:bidi w:val="0"/>
        <w:adjustRightInd/>
        <w:snapToGrid/>
        <w:spacing w:beforeAutospacing="0" w:afterAutospacing="0" w:line="360" w:lineRule="auto"/>
        <w:ind w:left="0" w:firstLine="720"/>
        <w:jc w:val="both"/>
        <w:textAlignment w:val="auto"/>
        <w:rPr>
          <w:rFonts w:hint="default" w:ascii="Arial" w:hAnsi="Arial" w:cs="Arial"/>
          <w:color w:val="auto"/>
          <w:sz w:val="22"/>
          <w:szCs w:val="22"/>
          <w:lang w:val="en-US"/>
        </w:rPr>
      </w:pPr>
      <w:r>
        <w:rPr>
          <w:rFonts w:hint="default" w:ascii="Arial" w:hAnsi="Arial" w:cs="Arial"/>
          <w:color w:val="auto"/>
          <w:sz w:val="22"/>
          <w:szCs w:val="22"/>
          <w:lang w:val="en-US"/>
        </w:rPr>
        <w:t>This essay examines critical reflection on the preparation and implementation of micro-teaching on first episode psychosis (FEP), focusing on medication used to assist the patient in recovering from his/her condition. Specifically, I chose to teach other nursing students about the use of antipsychotic drugs such as olanzapine to support patients suffering from FEP. My rationale behind choosing to teach my peers about this subject matter is that it is relevant to modern nursing practice in relation to mental health. Early diagnosis and treatment of psychosis are known to improve outcomes for patients in the long run. In addition, the subject matter is relevant to the field due to challenges such as non-compliance with medications experienced by many patients. Moreover, having worked in this environment before, I have encountered the problems associated with taking care of patients with FEP, which influenced my choice. The reflective account will utilize the reflection model proposed by Rolfe, which involves using the concepts "What?", "So what?" and "Now what?" in evaluating the session (Rolfe, Freshwater, and Jasper, p104). The reflections will focus on the application of contemporary learning theories when planning and conducting the session (LO1), the skills gained in relation to working collaboratively when teaching (LO2), and communication and relational skills used in conducting the session (LO3). The reflections will also cover how teaching is related to leadership and clinical decision-making (LO4) and why interprofessional working is crucial in mental health services (LO5).</w:t>
      </w:r>
    </w:p>
    <w:p w14:paraId="71DD94F3">
      <w:pPr>
        <w:pStyle w:val="2"/>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Arial" w:hAnsi="Arial" w:cs="Arial"/>
          <w:b/>
          <w:bCs/>
          <w:color w:val="auto"/>
          <w:sz w:val="22"/>
          <w:szCs w:val="22"/>
          <w:lang w:val="en-US"/>
        </w:rPr>
      </w:pPr>
      <w:r>
        <w:rPr>
          <w:rStyle w:val="9"/>
          <w:rFonts w:hint="default" w:ascii="Arial" w:hAnsi="Arial" w:cs="Arial"/>
          <w:b/>
          <w:bCs/>
          <w:color w:val="auto"/>
          <w:sz w:val="22"/>
          <w:szCs w:val="22"/>
          <w:lang w:val="en-US"/>
        </w:rPr>
        <w:t>Learning Theories (WHAT?)</w:t>
      </w:r>
    </w:p>
    <w:p w14:paraId="59F7C51D">
      <w:pPr>
        <w:pStyle w:val="8"/>
        <w:keepNext w:val="0"/>
        <w:keepLines w:val="0"/>
        <w:pageBreakBefore w:val="0"/>
        <w:widowControl/>
        <w:kinsoku/>
        <w:wordWrap/>
        <w:overflowPunct/>
        <w:topLinePunct w:val="0"/>
        <w:autoSpaceDE/>
        <w:autoSpaceDN/>
        <w:bidi w:val="0"/>
        <w:adjustRightInd/>
        <w:snapToGrid/>
        <w:spacing w:beforeAutospacing="0" w:afterAutospacing="0" w:line="360" w:lineRule="auto"/>
        <w:ind w:left="0" w:firstLine="720"/>
        <w:jc w:val="both"/>
        <w:textAlignment w:val="auto"/>
        <w:rPr>
          <w:rFonts w:hint="default" w:ascii="Arial" w:hAnsi="Arial" w:cs="Arial"/>
          <w:color w:val="auto"/>
          <w:sz w:val="22"/>
          <w:szCs w:val="22"/>
          <w:lang w:val="en-US"/>
        </w:rPr>
      </w:pPr>
      <w:r>
        <w:rPr>
          <w:rFonts w:hint="default" w:ascii="Arial" w:hAnsi="Arial" w:cs="Arial"/>
          <w:color w:val="auto"/>
          <w:sz w:val="22"/>
          <w:szCs w:val="22"/>
          <w:lang w:val="en-US"/>
        </w:rPr>
        <w:t>In planning for and carrying out the micro-teaching presentation on FEP, my goal was to increase the awareness of my peers regarding the concept of compliance, especially as it relates to olanzapine. For this purpose, I mainly followed the constructivist learning theory. The theory asserts that knowledge construction occurs from practical experience and social interaction between learners (Do, Do, and Nguyen, 2033, p3). In order to facilitate knowledge acquisition and transfer to practice, I utilized the case-based method focusing on the case of Jordan to offer a clinical environment and make the learning process engaging (Aremu et al., 2022, p106). At the same time, the adult learning theory proposed by Knowles was also considered. It states that adults are self-directing people who appreciate learning focused on solving problems (Knapke et al., 2024, p7). For this reason, an attempt was made to create a realistic clinical environment with problems and concerns, such as dealing with side effects, such as sedation and weight gain. Besides, Kolb's cycle of experiential learning was also used. Specifically, there was provision for the presentation of a concrete experience followed by reflection and application to practice (Henríquez, Rabanal, and Abásolo, 2025, p5).</w:t>
      </w:r>
    </w:p>
    <w:p w14:paraId="54919559">
      <w:pPr>
        <w:pStyle w:val="8"/>
        <w:keepNext w:val="0"/>
        <w:keepLines w:val="0"/>
        <w:pageBreakBefore w:val="0"/>
        <w:widowControl/>
        <w:kinsoku/>
        <w:wordWrap/>
        <w:overflowPunct/>
        <w:topLinePunct w:val="0"/>
        <w:autoSpaceDE/>
        <w:autoSpaceDN/>
        <w:bidi w:val="0"/>
        <w:adjustRightInd/>
        <w:snapToGrid/>
        <w:spacing w:beforeAutospacing="0" w:afterAutospacing="0" w:line="360" w:lineRule="auto"/>
        <w:ind w:left="0" w:firstLine="720"/>
        <w:jc w:val="both"/>
        <w:textAlignment w:val="auto"/>
        <w:rPr>
          <w:rFonts w:hint="default" w:ascii="Arial" w:hAnsi="Arial" w:cs="Arial"/>
          <w:color w:val="auto"/>
          <w:sz w:val="22"/>
          <w:szCs w:val="22"/>
          <w:lang w:val="en-US"/>
        </w:rPr>
      </w:pPr>
      <w:r>
        <w:rPr>
          <w:rFonts w:hint="default" w:ascii="Arial" w:hAnsi="Arial" w:cs="Arial"/>
          <w:color w:val="auto"/>
          <w:sz w:val="22"/>
          <w:szCs w:val="22"/>
          <w:lang w:val="en-US"/>
        </w:rPr>
        <w:t>In another scenario, I will consider how to change the type of learning theories I will use depending on the learner population and the learning environment. For instance, in the situation where I am training patients or their families who have little or no experience regarding health matters, I will adopt the application of behaviorist principles. The latter will entail using explicit instructions, repetitions, and reinforcements in order to foster comprehension and follow-through (Nawi &amp; Nordin, 2025, p43). On the other hand, in the case where I will be teaching practice-based lessons to student nurses as an experienced practitioner myself, I will still adhere to constructivist and experiential theories, but more on facilitating and guiding reflective processes to encourage critical thinking among learners. It could be accomplished by encouraging students to think about their practical experiences in the context of the relevant theoretical framework.</w:t>
      </w:r>
    </w:p>
    <w:p w14:paraId="08AD9E79">
      <w:pPr>
        <w:pStyle w:val="2"/>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Arial" w:hAnsi="Arial" w:cs="Arial"/>
          <w:b/>
          <w:bCs/>
          <w:color w:val="auto"/>
          <w:sz w:val="22"/>
          <w:szCs w:val="22"/>
          <w:lang w:val="en-US"/>
        </w:rPr>
      </w:pPr>
      <w:r>
        <w:rPr>
          <w:rStyle w:val="9"/>
          <w:rFonts w:hint="default" w:ascii="Arial" w:hAnsi="Arial" w:cs="Arial"/>
          <w:b/>
          <w:bCs/>
          <w:color w:val="auto"/>
          <w:sz w:val="22"/>
          <w:szCs w:val="22"/>
          <w:lang w:val="en-US"/>
        </w:rPr>
        <w:t>Collaborative Teaching Skills (SO WHAT?)</w:t>
      </w:r>
    </w:p>
    <w:p w14:paraId="7A3A6879">
      <w:pPr>
        <w:pStyle w:val="8"/>
        <w:keepNext w:val="0"/>
        <w:keepLines w:val="0"/>
        <w:pageBreakBefore w:val="0"/>
        <w:widowControl/>
        <w:kinsoku/>
        <w:wordWrap/>
        <w:overflowPunct/>
        <w:topLinePunct w:val="0"/>
        <w:autoSpaceDE/>
        <w:autoSpaceDN/>
        <w:bidi w:val="0"/>
        <w:adjustRightInd/>
        <w:snapToGrid/>
        <w:spacing w:beforeAutospacing="0" w:afterAutospacing="0" w:line="360" w:lineRule="auto"/>
        <w:ind w:left="0" w:firstLine="720"/>
        <w:jc w:val="both"/>
        <w:textAlignment w:val="auto"/>
        <w:rPr>
          <w:rFonts w:hint="default" w:ascii="Arial" w:hAnsi="Arial" w:cs="Arial"/>
          <w:color w:val="auto"/>
          <w:sz w:val="22"/>
          <w:szCs w:val="22"/>
          <w:lang w:val="en-US"/>
        </w:rPr>
      </w:pPr>
      <w:r>
        <w:rPr>
          <w:rFonts w:hint="default" w:ascii="Arial" w:hAnsi="Arial" w:cs="Arial"/>
          <w:color w:val="auto"/>
          <w:sz w:val="22"/>
          <w:szCs w:val="22"/>
          <w:lang w:val="en-US"/>
        </w:rPr>
        <w:t>Some of the skills I introduced during my micro-teaching were those related to collaborative learning, such as evidence-based knowledge, relational skills, and some aspects of coaching. Evidence-based knowledge was illustrated through presenting detailed explanations on the way olanzapine works, the benefits of its use, and potential side effects. The above information helped ensure the accuracy of what I taught, which in turn led to peer feedback confirming that the session was "well-structured and informative." Moreover, relational skills were evident from the way I facilitated a positive atmosphere for learning, using a friendly approach to encourage participants' contributions. Psychological safety is an important aspect of effective teaching as learners should be encouraged to contribute freely, without worrying about being criticized (Hardie et al., 2022, p3). I was also applying coaching principles by asking questions that stimulated discussions, specifically in relation to issues of medication compliance and concerns. Nevertheless, some aspects could be improved as evidenced by feedback indicating that the session was "rushed." This suggests that while I brought relevant skills to the session, my ability to utilize them fully was constrained by time management and facilitation of interaction.</w:t>
      </w:r>
    </w:p>
    <w:p w14:paraId="5C7DB350">
      <w:pPr>
        <w:pStyle w:val="8"/>
        <w:keepNext w:val="0"/>
        <w:keepLines w:val="0"/>
        <w:pageBreakBefore w:val="0"/>
        <w:widowControl/>
        <w:kinsoku/>
        <w:wordWrap/>
        <w:overflowPunct/>
        <w:topLinePunct w:val="0"/>
        <w:autoSpaceDE/>
        <w:autoSpaceDN/>
        <w:bidi w:val="0"/>
        <w:adjustRightInd/>
        <w:snapToGrid/>
        <w:spacing w:beforeAutospacing="0" w:afterAutospacing="0" w:line="360" w:lineRule="auto"/>
        <w:ind w:left="0" w:firstLine="720"/>
        <w:jc w:val="both"/>
        <w:textAlignment w:val="auto"/>
        <w:rPr>
          <w:rFonts w:hint="default" w:ascii="Arial" w:hAnsi="Arial" w:cs="Arial"/>
          <w:color w:val="auto"/>
          <w:sz w:val="22"/>
          <w:szCs w:val="22"/>
          <w:lang w:val="en-US"/>
        </w:rPr>
      </w:pPr>
      <w:r>
        <w:rPr>
          <w:rFonts w:hint="default" w:ascii="Arial" w:hAnsi="Arial" w:cs="Arial"/>
          <w:color w:val="auto"/>
          <w:sz w:val="22"/>
          <w:szCs w:val="22"/>
          <w:lang w:val="en-US"/>
        </w:rPr>
        <w:t>The competencies I have displayed are highly applicable to the job of a trained nurse, which entails teaching as a key aspect of the profession. The competencies that allow me to employ evidence-based knowledge will prove invaluable in guiding patients and their relatives on treatment alternatives, especially when informing them regarding the decision-making process in mental health treatment (Henríquez et al., 2025, p.294). On the other hand, relational competencies, such as establishing a friendly relationship with the patient and fostering a positive learning atmosphere, will come in handy when interacting with patients, especially those with psychotic disorders, since trust is fundamental in such cases for proper adherence and successful treatment. Moreover, employing coaching strategies, like posing open-ended questions and prompting the patient to reflect, may assist the patient in gaining self-sufficiency in handling the disorder (Matthews et al., 2024, p263). Nonetheless, I will have to improve my facilitation competencies so that all learners participate actively in the learning process. In the future, I will concentrate on bettering my time-management skills and using more participatory techniques, including questioning and discussion, to foster greater involvement.</w:t>
      </w:r>
    </w:p>
    <w:p w14:paraId="0E494FF9">
      <w:pPr>
        <w:pStyle w:val="2"/>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Arial" w:hAnsi="Arial" w:cs="Arial"/>
          <w:b/>
          <w:bCs/>
          <w:color w:val="auto"/>
          <w:sz w:val="22"/>
          <w:szCs w:val="22"/>
          <w:lang w:val="en-US"/>
        </w:rPr>
      </w:pPr>
      <w:r>
        <w:rPr>
          <w:rStyle w:val="9"/>
          <w:rFonts w:hint="default" w:ascii="Arial" w:hAnsi="Arial" w:cs="Arial"/>
          <w:b/>
          <w:bCs/>
          <w:color w:val="auto"/>
          <w:sz w:val="22"/>
          <w:szCs w:val="22"/>
          <w:lang w:val="en-US"/>
        </w:rPr>
        <w:t>Communication and Relational Skills (NOW WHAT?)</w:t>
      </w:r>
    </w:p>
    <w:p w14:paraId="19F6BC3B">
      <w:pPr>
        <w:pStyle w:val="8"/>
        <w:keepNext w:val="0"/>
        <w:keepLines w:val="0"/>
        <w:pageBreakBefore w:val="0"/>
        <w:widowControl/>
        <w:kinsoku/>
        <w:wordWrap/>
        <w:overflowPunct/>
        <w:topLinePunct w:val="0"/>
        <w:autoSpaceDE/>
        <w:autoSpaceDN/>
        <w:bidi w:val="0"/>
        <w:adjustRightInd/>
        <w:snapToGrid/>
        <w:spacing w:beforeAutospacing="0" w:afterAutospacing="0" w:line="360" w:lineRule="auto"/>
        <w:ind w:left="0" w:firstLine="720"/>
        <w:jc w:val="both"/>
        <w:textAlignment w:val="auto"/>
        <w:rPr>
          <w:rFonts w:hint="default" w:ascii="Arial" w:hAnsi="Arial" w:cs="Arial"/>
          <w:color w:val="auto"/>
          <w:sz w:val="22"/>
          <w:szCs w:val="22"/>
          <w:lang w:val="en-US"/>
        </w:rPr>
      </w:pPr>
      <w:r>
        <w:rPr>
          <w:rFonts w:hint="default" w:ascii="Arial" w:hAnsi="Arial" w:cs="Arial"/>
          <w:color w:val="auto"/>
          <w:sz w:val="22"/>
          <w:szCs w:val="22"/>
          <w:lang w:val="en-US"/>
        </w:rPr>
        <w:t>In the micro-teaching activity, there were several communication and relational skills I employed for learning purposes. I made use of good verbal communication when explaining difficult aspects such as the mode of action and the side effects of the drug olanzapine. My communication avoided complicated language that might have confused learners. From the feedback, it was evident that my voice was "clear and easy to hear," and instructions were easily followed. The incorporation of examples from the case study made it easy to relate to the material being discussed. The examples highlighted the importance of adapting communication techniques to suit different audiences (Coles et al., 2020, p14). Additionally, I incorporated relational skills by fostering a comfortable atmosphere during teaching and using a pleasant tone while speaking.</w:t>
      </w:r>
    </w:p>
    <w:p w14:paraId="6342A538">
      <w:pPr>
        <w:pStyle w:val="8"/>
        <w:keepNext w:val="0"/>
        <w:keepLines w:val="0"/>
        <w:pageBreakBefore w:val="0"/>
        <w:widowControl/>
        <w:kinsoku/>
        <w:wordWrap/>
        <w:overflowPunct/>
        <w:topLinePunct w:val="0"/>
        <w:autoSpaceDE/>
        <w:autoSpaceDN/>
        <w:bidi w:val="0"/>
        <w:adjustRightInd/>
        <w:snapToGrid/>
        <w:spacing w:beforeAutospacing="0" w:afterAutospacing="0" w:line="360" w:lineRule="auto"/>
        <w:ind w:left="0" w:firstLine="720"/>
        <w:jc w:val="both"/>
        <w:textAlignment w:val="auto"/>
        <w:rPr>
          <w:rFonts w:hint="default" w:ascii="Arial" w:hAnsi="Arial" w:cs="Arial"/>
          <w:color w:val="auto"/>
          <w:sz w:val="22"/>
          <w:szCs w:val="22"/>
          <w:lang w:val="en-US"/>
        </w:rPr>
      </w:pPr>
      <w:r>
        <w:rPr>
          <w:rFonts w:hint="default" w:ascii="Arial" w:hAnsi="Arial" w:cs="Arial"/>
          <w:color w:val="auto"/>
          <w:sz w:val="22"/>
          <w:szCs w:val="22"/>
          <w:lang w:val="en-US"/>
        </w:rPr>
        <w:t>Nevertheless, there were some shortcomings with regard to my communication skills. For example, this particular session has been called “a bit rushed.” This means that even though I did a good job explaining the material, the poor time management interfered with successful communication. In addition, I realize that my questions could have been more effective at eliciting critical thinking from my audience instead of limiting it to a superficial response. Additionally, I could have involved the participants more effectively by addressing them individually.</w:t>
      </w:r>
    </w:p>
    <w:p w14:paraId="5221551C">
      <w:pPr>
        <w:pStyle w:val="8"/>
        <w:keepNext w:val="0"/>
        <w:keepLines w:val="0"/>
        <w:pageBreakBefore w:val="0"/>
        <w:widowControl/>
        <w:kinsoku/>
        <w:wordWrap/>
        <w:overflowPunct/>
        <w:topLinePunct w:val="0"/>
        <w:autoSpaceDE/>
        <w:autoSpaceDN/>
        <w:bidi w:val="0"/>
        <w:adjustRightInd/>
        <w:snapToGrid/>
        <w:spacing w:beforeAutospacing="0" w:afterAutospacing="0" w:line="360" w:lineRule="auto"/>
        <w:ind w:left="0" w:firstLine="720"/>
        <w:jc w:val="both"/>
        <w:textAlignment w:val="auto"/>
        <w:rPr>
          <w:rFonts w:hint="default" w:ascii="Arial" w:hAnsi="Arial" w:cs="Arial"/>
          <w:color w:val="auto"/>
          <w:sz w:val="22"/>
          <w:szCs w:val="22"/>
          <w:lang w:val="en-US"/>
        </w:rPr>
      </w:pPr>
      <w:r>
        <w:rPr>
          <w:rFonts w:hint="default" w:ascii="Arial" w:hAnsi="Arial" w:cs="Arial"/>
          <w:color w:val="auto"/>
          <w:sz w:val="22"/>
          <w:szCs w:val="22"/>
          <w:lang w:val="en-US"/>
        </w:rPr>
        <w:t>In the future, it is necessary for me to enhance my skills as a communicator and a relationship builder through the use of proper pacing and timing to allow key topics to be thoroughly discussed and summarized. It is equally important for me to learn how to use sophisticated question types like open-ended and reflective questions to facilitate critical thinking and participation (Tofade et al., 2013, p.155). In addition, I will improve my skills as a facilitator by engaging all students and communicating effectively with them according to their personalities. These competencies are critical in my future career in nursing, where communication plays a vital role.</w:t>
      </w:r>
    </w:p>
    <w:p w14:paraId="119C50AB">
      <w:pPr>
        <w:pStyle w:val="2"/>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Arial" w:hAnsi="Arial" w:cs="Arial"/>
          <w:b/>
          <w:bCs/>
          <w:color w:val="auto"/>
          <w:sz w:val="22"/>
          <w:szCs w:val="22"/>
          <w:lang w:val="en-US"/>
        </w:rPr>
      </w:pPr>
      <w:r>
        <w:rPr>
          <w:rStyle w:val="9"/>
          <w:rFonts w:hint="default" w:ascii="Arial" w:hAnsi="Arial" w:cs="Arial"/>
          <w:b/>
          <w:bCs/>
          <w:color w:val="auto"/>
          <w:sz w:val="22"/>
          <w:szCs w:val="22"/>
          <w:lang w:val="en-US"/>
        </w:rPr>
        <w:t>Leadership, Teaching, and Clinical Decision-Making (NOW WHAT?) – Improved with stronger in-text citations</w:t>
      </w:r>
    </w:p>
    <w:p w14:paraId="51DEAE59">
      <w:pPr>
        <w:pStyle w:val="8"/>
        <w:keepNext w:val="0"/>
        <w:keepLines w:val="0"/>
        <w:pageBreakBefore w:val="0"/>
        <w:widowControl/>
        <w:kinsoku/>
        <w:wordWrap/>
        <w:overflowPunct/>
        <w:topLinePunct w:val="0"/>
        <w:autoSpaceDE/>
        <w:autoSpaceDN/>
        <w:bidi w:val="0"/>
        <w:adjustRightInd/>
        <w:snapToGrid/>
        <w:spacing w:beforeAutospacing="0" w:afterAutospacing="0" w:line="360" w:lineRule="auto"/>
        <w:ind w:left="0" w:firstLine="720"/>
        <w:jc w:val="both"/>
        <w:textAlignment w:val="auto"/>
        <w:rPr>
          <w:rFonts w:hint="default" w:ascii="Arial" w:hAnsi="Arial" w:cs="Arial"/>
          <w:color w:val="auto"/>
          <w:sz w:val="22"/>
          <w:szCs w:val="22"/>
          <w:lang w:val="en-US"/>
        </w:rPr>
      </w:pPr>
      <w:r>
        <w:rPr>
          <w:rFonts w:hint="default" w:ascii="Arial" w:hAnsi="Arial" w:cs="Arial"/>
          <w:color w:val="auto"/>
          <w:sz w:val="22"/>
          <w:szCs w:val="22"/>
          <w:lang w:val="en-US"/>
        </w:rPr>
        <w:t>With the delivery of my micro-teaching lesson, I acquired a deeper appreciation of teaching as one of the important leadership competencies in nursing. Teaching plays an important role in nurses' education as it fosters knowledge sharing, ensures safety, and promotes clinical decision-making among team members (Gcawu and Van Rooyen, 2022, p.4). In my lesson, I assumed a leadership position through organizing the material, facilitating discussions, and peer-to-peer learning. In this case, I needed good organization, communication, and coordination skills. According to the feedback I received, my teaching was clear and organized. On the other hand, I experienced some problems with time management, and, therefore, I could not give much room for discussion. In such situations, leaders need to have skills such as prioritization and organization to facilitate the successful completion of tasks (Lysfjord &amp; Skarstein, 2024, p.444).</w:t>
      </w:r>
    </w:p>
    <w:p w14:paraId="6BF420C8">
      <w:pPr>
        <w:pStyle w:val="8"/>
        <w:keepNext w:val="0"/>
        <w:keepLines w:val="0"/>
        <w:pageBreakBefore w:val="0"/>
        <w:widowControl/>
        <w:kinsoku/>
        <w:wordWrap/>
        <w:overflowPunct/>
        <w:topLinePunct w:val="0"/>
        <w:autoSpaceDE/>
        <w:autoSpaceDN/>
        <w:bidi w:val="0"/>
        <w:adjustRightInd/>
        <w:snapToGrid/>
        <w:spacing w:beforeAutospacing="0" w:afterAutospacing="0" w:line="360" w:lineRule="auto"/>
        <w:ind w:left="0" w:firstLine="720"/>
        <w:jc w:val="both"/>
        <w:textAlignment w:val="auto"/>
        <w:rPr>
          <w:rFonts w:hint="default" w:ascii="Arial" w:hAnsi="Arial" w:cs="Arial"/>
          <w:color w:val="auto"/>
          <w:sz w:val="22"/>
          <w:szCs w:val="22"/>
          <w:lang w:val="en-US"/>
        </w:rPr>
      </w:pPr>
      <w:r>
        <w:rPr>
          <w:rFonts w:hint="default" w:ascii="Arial" w:hAnsi="Arial" w:cs="Arial"/>
          <w:color w:val="auto"/>
          <w:sz w:val="22"/>
          <w:szCs w:val="22"/>
          <w:lang w:val="en-US"/>
        </w:rPr>
        <w:t>Teaching is related to the process of clinical reasoning, as nurses should be able to provide justification for their decisions and communicate the rationale behind them to patients, their families, and other professionals. In my educational experience, when discussing issues related to adherence to medications and their side effects, it became necessary to use a comprehensive approach and encourage collaborative decision-making. This aspect of nursing is essential for successful leadership (Hormazábal-Salgado et al., 2024, p. 294). Additionally, education is associated with the professional responsibilities stated by the Nursing and Midwifery Council (NMC, 2018). According to these standards, nurses should contribute to the educational process and be practice educators.</w:t>
      </w:r>
    </w:p>
    <w:p w14:paraId="04C3CFDF">
      <w:pPr>
        <w:pStyle w:val="8"/>
        <w:keepNext w:val="0"/>
        <w:keepLines w:val="0"/>
        <w:pageBreakBefore w:val="0"/>
        <w:widowControl/>
        <w:kinsoku/>
        <w:wordWrap/>
        <w:overflowPunct/>
        <w:topLinePunct w:val="0"/>
        <w:autoSpaceDE/>
        <w:autoSpaceDN/>
        <w:bidi w:val="0"/>
        <w:adjustRightInd/>
        <w:snapToGrid/>
        <w:spacing w:beforeAutospacing="0" w:afterAutospacing="0" w:line="360" w:lineRule="auto"/>
        <w:ind w:left="0" w:firstLine="720"/>
        <w:jc w:val="both"/>
        <w:textAlignment w:val="auto"/>
        <w:rPr>
          <w:rFonts w:hint="default" w:ascii="Arial" w:hAnsi="Arial" w:cs="Arial"/>
          <w:color w:val="auto"/>
          <w:sz w:val="22"/>
          <w:szCs w:val="22"/>
          <w:lang w:val="en-US"/>
        </w:rPr>
      </w:pPr>
      <w:r>
        <w:rPr>
          <w:rFonts w:hint="default" w:ascii="Arial" w:hAnsi="Arial" w:cs="Arial"/>
          <w:color w:val="auto"/>
          <w:sz w:val="22"/>
          <w:szCs w:val="22"/>
          <w:lang w:val="en-US"/>
        </w:rPr>
        <w:t>In the future, I will utilize this knowledge to further build my leadership qualities by proactively taking up chances to mentor and teach other people while working in the clinical environment. My goal is to improve my ability to manage my time effectively and plan the sessions so that the teaching process is balanced and productive. Moreover, I will work on building my self-confidence when it comes to organizing and leading discussions and clinical reasoning. This will assist me in becoming a competent nurse and allow me to fulfill the role of a leader within healthcare (NMC, 2018).</w:t>
      </w:r>
    </w:p>
    <w:p w14:paraId="64615685">
      <w:pPr>
        <w:pStyle w:val="2"/>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Arial" w:hAnsi="Arial" w:cs="Arial"/>
          <w:b/>
          <w:bCs/>
          <w:color w:val="auto"/>
          <w:sz w:val="22"/>
          <w:szCs w:val="22"/>
          <w:lang w:val="en-US"/>
        </w:rPr>
      </w:pPr>
      <w:r>
        <w:rPr>
          <w:rStyle w:val="9"/>
          <w:rFonts w:hint="default" w:ascii="Arial" w:hAnsi="Arial" w:cs="Arial"/>
          <w:b/>
          <w:bCs/>
          <w:color w:val="auto"/>
          <w:sz w:val="22"/>
          <w:szCs w:val="22"/>
          <w:lang w:val="en-US"/>
        </w:rPr>
        <w:t>Interprofessional Working</w:t>
      </w:r>
    </w:p>
    <w:p w14:paraId="285C3DB4">
      <w:pPr>
        <w:pStyle w:val="8"/>
        <w:keepNext w:val="0"/>
        <w:keepLines w:val="0"/>
        <w:pageBreakBefore w:val="0"/>
        <w:widowControl/>
        <w:kinsoku/>
        <w:wordWrap/>
        <w:overflowPunct/>
        <w:topLinePunct w:val="0"/>
        <w:autoSpaceDE/>
        <w:autoSpaceDN/>
        <w:bidi w:val="0"/>
        <w:adjustRightInd/>
        <w:snapToGrid/>
        <w:spacing w:beforeAutospacing="0" w:afterAutospacing="0" w:line="360" w:lineRule="auto"/>
        <w:ind w:left="0" w:firstLine="720"/>
        <w:jc w:val="both"/>
        <w:textAlignment w:val="auto"/>
        <w:rPr>
          <w:rFonts w:hint="default" w:ascii="Arial" w:hAnsi="Arial" w:cs="Arial"/>
          <w:color w:val="auto"/>
          <w:sz w:val="22"/>
          <w:szCs w:val="22"/>
          <w:lang w:val="en-US"/>
        </w:rPr>
      </w:pPr>
      <w:r>
        <w:rPr>
          <w:rFonts w:hint="default" w:ascii="Arial" w:hAnsi="Arial" w:cs="Arial"/>
          <w:color w:val="auto"/>
          <w:sz w:val="22"/>
          <w:szCs w:val="22"/>
          <w:lang w:val="en-US"/>
        </w:rPr>
        <w:t>In their practice, nurses work collectively with a variety of health professionals as part of the multidisciplinary team (MDT). The team includes physicians, pharmacists, psychologists, and social workers. In my micro-teaching session, I emphasised the importance of coordinated efforts, especially in the areas of medication administration, psychological assistance, and social services, in caring for people who have had their first episode of psychosis. It made me realise that nursing education and learning in the MDT are bidirectional; nurses not only impart information to other health professionals but also receive information from them. In this way, learning and teaching improve clinical decision-making and lead to better patient outcomes (Reeves et al., 2017).</w:t>
      </w:r>
    </w:p>
    <w:p w14:paraId="53B50F3F">
      <w:pPr>
        <w:pStyle w:val="2"/>
        <w:keepNext w:val="0"/>
        <w:keepLines w:val="0"/>
        <w:pageBreakBefore w:val="0"/>
        <w:widowControl/>
        <w:kinsoku/>
        <w:wordWrap/>
        <w:overflowPunct/>
        <w:topLinePunct w:val="0"/>
        <w:autoSpaceDE/>
        <w:autoSpaceDN/>
        <w:bidi w:val="0"/>
        <w:adjustRightInd/>
        <w:snapToGrid/>
        <w:spacing w:beforeAutospacing="0" w:afterAutospacing="0" w:line="360" w:lineRule="auto"/>
        <w:jc w:val="both"/>
        <w:textAlignment w:val="auto"/>
        <w:rPr>
          <w:rFonts w:hint="default" w:ascii="Arial" w:hAnsi="Arial" w:cs="Arial"/>
          <w:b/>
          <w:bCs/>
          <w:color w:val="auto"/>
          <w:sz w:val="22"/>
          <w:szCs w:val="22"/>
          <w:lang w:val="en-US"/>
        </w:rPr>
      </w:pPr>
      <w:r>
        <w:rPr>
          <w:rStyle w:val="9"/>
          <w:rFonts w:hint="default" w:ascii="Arial" w:hAnsi="Arial" w:cs="Arial"/>
          <w:b/>
          <w:bCs/>
          <w:color w:val="auto"/>
          <w:sz w:val="22"/>
          <w:szCs w:val="22"/>
          <w:lang w:val="en-US"/>
        </w:rPr>
        <w:t>Conclusion</w:t>
      </w:r>
    </w:p>
    <w:p w14:paraId="002EF40B">
      <w:pPr>
        <w:pStyle w:val="8"/>
        <w:keepNext w:val="0"/>
        <w:keepLines w:val="0"/>
        <w:pageBreakBefore w:val="0"/>
        <w:widowControl/>
        <w:kinsoku/>
        <w:wordWrap/>
        <w:overflowPunct/>
        <w:topLinePunct w:val="0"/>
        <w:autoSpaceDE/>
        <w:autoSpaceDN/>
        <w:bidi w:val="0"/>
        <w:adjustRightInd/>
        <w:snapToGrid/>
        <w:spacing w:beforeAutospacing="0" w:afterAutospacing="0" w:line="360" w:lineRule="auto"/>
        <w:ind w:left="0" w:firstLine="720"/>
        <w:jc w:val="both"/>
        <w:textAlignment w:val="auto"/>
        <w:rPr>
          <w:rFonts w:hint="default" w:ascii="Arial" w:hAnsi="Arial" w:cs="Arial"/>
          <w:color w:val="auto"/>
          <w:sz w:val="22"/>
          <w:szCs w:val="22"/>
          <w:lang w:val="en-US"/>
        </w:rPr>
      </w:pPr>
      <w:r>
        <w:rPr>
          <w:rFonts w:hint="default" w:ascii="Arial" w:hAnsi="Arial" w:cs="Arial"/>
          <w:color w:val="auto"/>
          <w:sz w:val="22"/>
          <w:szCs w:val="22"/>
          <w:lang w:val="en-US"/>
        </w:rPr>
        <w:t>This reflection is a critical analysis of the delivery of my micro-teaching session regarding the theme of first-episode psychosis, with emphasis being placed on medication adherence and usage of olanzapine. By making use of Rolfe's framework, I have analysed how the learning theories including constructivism, andragogy and experiential learning have influenced the process of preparing and delivering my session. The above-mentioned theories allowed me to apply a learner-centered perspective and made it possible to ensure the relevance of the session to my fellow students. Strengths of the micro-teaching included evidence-based knowledge used, clarity of communication, and a positive learning environment created. It was noted in feedback given by other students that the session was well planned and provided important information about the subject matter.</w:t>
      </w:r>
    </w:p>
    <w:p w14:paraId="7FA2D939">
      <w:pPr>
        <w:pStyle w:val="8"/>
        <w:keepNext w:val="0"/>
        <w:keepLines w:val="0"/>
        <w:pageBreakBefore w:val="0"/>
        <w:widowControl/>
        <w:kinsoku/>
        <w:wordWrap/>
        <w:overflowPunct/>
        <w:topLinePunct w:val="0"/>
        <w:autoSpaceDE/>
        <w:autoSpaceDN/>
        <w:bidi w:val="0"/>
        <w:adjustRightInd/>
        <w:snapToGrid/>
        <w:spacing w:beforeAutospacing="0" w:afterAutospacing="0" w:line="360" w:lineRule="auto"/>
        <w:ind w:left="0" w:firstLine="720"/>
        <w:jc w:val="both"/>
        <w:textAlignment w:val="auto"/>
        <w:rPr>
          <w:rFonts w:hint="default" w:ascii="Arial" w:hAnsi="Arial" w:cs="Arial"/>
          <w:color w:val="auto"/>
          <w:sz w:val="22"/>
          <w:szCs w:val="22"/>
          <w:lang w:val="en-US"/>
        </w:rPr>
      </w:pPr>
      <w:r>
        <w:rPr>
          <w:rFonts w:hint="default" w:ascii="Arial" w:hAnsi="Arial" w:cs="Arial"/>
          <w:color w:val="auto"/>
          <w:sz w:val="22"/>
          <w:szCs w:val="22"/>
          <w:lang w:val="en-US"/>
        </w:rPr>
        <w:t>On the other hand, there are some areas requiring improvement, such as time management and the ability to engage learners. Additionally, I came to appreciate the connection between nursing practice and leadership and clinical decision making, since nurses are expected to facilitate the learning process in teams and ensure the provision of quality care based on evidence (Nursing and Midwifery Council, 2018). Interprofessional working played a key role, emphasizing the role of nurses as active participants and learners in the multidisciplinary team. In the future, I intend to concentrate on improving my teaching and leadership competencies by managing my time efficiently, asking appropriate questions, and encouraging interaction during the learning process. The development of these skills will prepare me for the transition into a registered nurse and enable me to teach patients, families, and other professionals.</w:t>
      </w:r>
    </w:p>
    <w:p w14:paraId="0951638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left"/>
        <w:textAlignment w:val="auto"/>
        <w:rPr>
          <w:rFonts w:hint="default" w:ascii="Arial" w:hAnsi="Arial" w:cs="Arial"/>
          <w:b/>
          <w:bCs/>
          <w:color w:val="auto"/>
          <w:sz w:val="22"/>
          <w:szCs w:val="22"/>
          <w:lang w:val="en-US"/>
        </w:rPr>
      </w:pPr>
      <w:r>
        <w:rPr>
          <w:rFonts w:hint="default" w:ascii="Arial" w:hAnsi="Arial" w:eastAsia="DengXian" w:cs="Arial"/>
          <w:b/>
          <w:bCs/>
          <w:color w:val="auto"/>
          <w:sz w:val="22"/>
          <w:szCs w:val="22"/>
          <w:lang w:val="en-US" w:eastAsia="zh-CN" w:bidi="ar"/>
        </w:rPr>
        <w:br w:type="page"/>
      </w:r>
    </w:p>
    <w:p w14:paraId="5BE8E0D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jc w:val="center"/>
        <w:textAlignment w:val="auto"/>
        <w:rPr>
          <w:rFonts w:hint="default" w:ascii="Arial" w:hAnsi="Arial" w:cs="Arial"/>
          <w:b/>
          <w:bCs/>
          <w:color w:val="auto"/>
          <w:sz w:val="22"/>
          <w:szCs w:val="22"/>
          <w:lang w:val="en-US"/>
        </w:rPr>
      </w:pPr>
      <w:r>
        <w:rPr>
          <w:rFonts w:hint="default" w:ascii="Arial" w:hAnsi="Arial" w:eastAsia="DengXian" w:cs="Arial"/>
          <w:b/>
          <w:bCs/>
          <w:color w:val="auto"/>
          <w:kern w:val="0"/>
          <w:sz w:val="22"/>
          <w:szCs w:val="22"/>
          <w:lang w:val="en-US" w:eastAsia="zh-CN" w:bidi="ar"/>
        </w:rPr>
        <w:t>Reference List</w:t>
      </w:r>
    </w:p>
    <w:p w14:paraId="453FD9C6">
      <w:pPr>
        <w:pStyle w:val="8"/>
        <w:keepNext w:val="0"/>
        <w:keepLines w:val="0"/>
        <w:pageBreakBefore w:val="0"/>
        <w:widowControl/>
        <w:kinsoku/>
        <w:wordWrap/>
        <w:overflowPunct/>
        <w:topLinePunct w:val="0"/>
        <w:autoSpaceDE/>
        <w:autoSpaceDN/>
        <w:bidi w:val="0"/>
        <w:adjustRightInd/>
        <w:snapToGrid/>
        <w:spacing w:beforeAutospacing="0" w:afterAutospacing="0" w:line="360" w:lineRule="auto"/>
        <w:ind w:left="540" w:leftChars="50" w:hanging="440" w:hangingChars="200"/>
        <w:textAlignment w:val="auto"/>
        <w:rPr>
          <w:rFonts w:hint="default" w:ascii="Arial" w:hAnsi="Arial" w:cs="Arial"/>
          <w:color w:val="auto"/>
          <w:sz w:val="22"/>
          <w:szCs w:val="22"/>
          <w:lang w:val="en-US"/>
        </w:rPr>
      </w:pPr>
      <w:r>
        <w:rPr>
          <w:rFonts w:hint="default" w:ascii="Arial" w:hAnsi="Arial" w:cs="Arial"/>
          <w:color w:val="auto"/>
          <w:sz w:val="22"/>
          <w:szCs w:val="22"/>
          <w:lang w:val="en-US"/>
        </w:rPr>
        <w:t xml:space="preserve">Aremu, T.O., Oluwole, O.E., Adeyinka, K.O. and Schommer, J.C. (2022) ‘Medication adherence and compliance: Recipe for improving patient outcomes’, </w:t>
      </w:r>
      <w:r>
        <w:rPr>
          <w:rStyle w:val="5"/>
          <w:rFonts w:hint="default" w:ascii="Arial" w:hAnsi="Arial" w:cs="Arial"/>
          <w:color w:val="auto"/>
          <w:sz w:val="22"/>
          <w:szCs w:val="22"/>
          <w:lang w:val="en-US"/>
        </w:rPr>
        <w:t>Pharmacy</w:t>
      </w:r>
      <w:r>
        <w:rPr>
          <w:rFonts w:hint="default" w:ascii="Arial" w:hAnsi="Arial" w:cs="Arial"/>
          <w:color w:val="auto"/>
          <w:sz w:val="22"/>
          <w:szCs w:val="22"/>
          <w:lang w:val="en-US"/>
        </w:rPr>
        <w:t xml:space="preserve">, 10(5), p.106. </w:t>
      </w:r>
      <w:r>
        <w:rPr>
          <w:rFonts w:hint="default" w:ascii="Arial" w:hAnsi="Arial" w:cs="Arial"/>
          <w:color w:val="auto"/>
          <w:sz w:val="22"/>
          <w:szCs w:val="22"/>
          <w:lang w:val="en-US"/>
        </w:rPr>
        <w:fldChar w:fldCharType="begin"/>
      </w:r>
      <w:r>
        <w:rPr>
          <w:rFonts w:hint="default" w:ascii="Arial" w:hAnsi="Arial" w:cs="Arial"/>
          <w:color w:val="auto"/>
          <w:sz w:val="22"/>
          <w:szCs w:val="22"/>
          <w:lang w:val="en-US"/>
        </w:rPr>
        <w:instrText xml:space="preserve"> HYPERLINK "https://doi.org/10.3390/pharmacy10050106" \t "C:/Users/HP/Documents/_new" </w:instrText>
      </w:r>
      <w:r>
        <w:rPr>
          <w:rFonts w:hint="default" w:ascii="Arial" w:hAnsi="Arial" w:cs="Arial"/>
          <w:color w:val="auto"/>
          <w:sz w:val="22"/>
          <w:szCs w:val="22"/>
          <w:lang w:val="en-US"/>
        </w:rPr>
        <w:fldChar w:fldCharType="separate"/>
      </w:r>
      <w:r>
        <w:rPr>
          <w:rStyle w:val="7"/>
          <w:rFonts w:hint="default" w:ascii="Arial" w:hAnsi="Arial" w:cs="Arial"/>
          <w:color w:val="auto"/>
          <w:sz w:val="22"/>
          <w:szCs w:val="22"/>
          <w:u w:val="single"/>
          <w:lang w:val="en-US"/>
        </w:rPr>
        <w:t>https://doi.org/10.3390/pharmacy10050106</w:t>
      </w:r>
      <w:r>
        <w:rPr>
          <w:rFonts w:hint="default" w:ascii="Arial" w:hAnsi="Arial" w:cs="Arial"/>
          <w:color w:val="auto"/>
          <w:sz w:val="22"/>
          <w:szCs w:val="22"/>
          <w:lang w:val="en-US"/>
        </w:rPr>
        <w:fldChar w:fldCharType="end"/>
      </w:r>
    </w:p>
    <w:p w14:paraId="5AC3A052">
      <w:pPr>
        <w:pStyle w:val="8"/>
        <w:keepNext w:val="0"/>
        <w:keepLines w:val="0"/>
        <w:pageBreakBefore w:val="0"/>
        <w:widowControl/>
        <w:kinsoku/>
        <w:wordWrap/>
        <w:overflowPunct/>
        <w:topLinePunct w:val="0"/>
        <w:autoSpaceDE/>
        <w:autoSpaceDN/>
        <w:bidi w:val="0"/>
        <w:adjustRightInd/>
        <w:snapToGrid/>
        <w:spacing w:beforeAutospacing="0" w:afterAutospacing="0" w:line="360" w:lineRule="auto"/>
        <w:ind w:left="540" w:leftChars="50" w:hanging="440" w:hangingChars="200"/>
        <w:textAlignment w:val="auto"/>
        <w:rPr>
          <w:rFonts w:hint="default" w:ascii="Arial" w:hAnsi="Arial" w:cs="Arial"/>
          <w:color w:val="auto"/>
          <w:sz w:val="22"/>
          <w:szCs w:val="22"/>
          <w:lang w:val="en-US"/>
        </w:rPr>
      </w:pPr>
      <w:r>
        <w:rPr>
          <w:rFonts w:hint="default" w:ascii="Arial" w:hAnsi="Arial" w:cs="Arial"/>
          <w:color w:val="auto"/>
          <w:sz w:val="22"/>
          <w:szCs w:val="22"/>
          <w:lang w:val="en-US"/>
        </w:rPr>
        <w:t xml:space="preserve">Coles, E., Anderson, J., Maxwell, M., Harris, F.M., Gray, N.M., Milner, G. and MacGillivray, S. (2020) ‘The influence of contextual factors on healthcare quality improvement initiatives: A realist review’, </w:t>
      </w:r>
      <w:r>
        <w:rPr>
          <w:rStyle w:val="5"/>
          <w:rFonts w:hint="default" w:ascii="Arial" w:hAnsi="Arial" w:cs="Arial"/>
          <w:color w:val="auto"/>
          <w:sz w:val="22"/>
          <w:szCs w:val="22"/>
          <w:lang w:val="en-US"/>
        </w:rPr>
        <w:t>Systematic Reviews</w:t>
      </w:r>
      <w:r>
        <w:rPr>
          <w:rFonts w:hint="default" w:ascii="Arial" w:hAnsi="Arial" w:cs="Arial"/>
          <w:color w:val="auto"/>
          <w:sz w:val="22"/>
          <w:szCs w:val="22"/>
          <w:lang w:val="en-US"/>
        </w:rPr>
        <w:t xml:space="preserve">, 9(1), pp.1–22. </w:t>
      </w:r>
      <w:r>
        <w:rPr>
          <w:rFonts w:hint="default" w:ascii="Arial" w:hAnsi="Arial" w:cs="Arial"/>
          <w:color w:val="auto"/>
          <w:sz w:val="22"/>
          <w:szCs w:val="22"/>
          <w:lang w:val="en-US"/>
        </w:rPr>
        <w:fldChar w:fldCharType="begin"/>
      </w:r>
      <w:r>
        <w:rPr>
          <w:rFonts w:hint="default" w:ascii="Arial" w:hAnsi="Arial" w:cs="Arial"/>
          <w:color w:val="auto"/>
          <w:sz w:val="22"/>
          <w:szCs w:val="22"/>
          <w:lang w:val="en-US"/>
        </w:rPr>
        <w:instrText xml:space="preserve"> HYPERLINK "https://doi.org/10.1186/s13643-020-01344-3" \t "C:/Users/HP/Documents/_new" </w:instrText>
      </w:r>
      <w:r>
        <w:rPr>
          <w:rFonts w:hint="default" w:ascii="Arial" w:hAnsi="Arial" w:cs="Arial"/>
          <w:color w:val="auto"/>
          <w:sz w:val="22"/>
          <w:szCs w:val="22"/>
          <w:lang w:val="en-US"/>
        </w:rPr>
        <w:fldChar w:fldCharType="separate"/>
      </w:r>
      <w:r>
        <w:rPr>
          <w:rStyle w:val="7"/>
          <w:rFonts w:hint="default" w:ascii="Arial" w:hAnsi="Arial" w:cs="Arial"/>
          <w:color w:val="auto"/>
          <w:sz w:val="22"/>
          <w:szCs w:val="22"/>
          <w:u w:val="single"/>
          <w:lang w:val="en-US"/>
        </w:rPr>
        <w:t>https://doi.org/10.1186/s13643-020-01344-3</w:t>
      </w:r>
      <w:r>
        <w:rPr>
          <w:rFonts w:hint="default" w:ascii="Arial" w:hAnsi="Arial" w:cs="Arial"/>
          <w:color w:val="auto"/>
          <w:sz w:val="22"/>
          <w:szCs w:val="22"/>
          <w:lang w:val="en-US"/>
        </w:rPr>
        <w:fldChar w:fldCharType="end"/>
      </w:r>
    </w:p>
    <w:p w14:paraId="4CC8E36F">
      <w:pPr>
        <w:pStyle w:val="8"/>
        <w:keepNext w:val="0"/>
        <w:keepLines w:val="0"/>
        <w:pageBreakBefore w:val="0"/>
        <w:widowControl/>
        <w:kinsoku/>
        <w:wordWrap/>
        <w:overflowPunct/>
        <w:topLinePunct w:val="0"/>
        <w:autoSpaceDE/>
        <w:autoSpaceDN/>
        <w:bidi w:val="0"/>
        <w:adjustRightInd/>
        <w:snapToGrid/>
        <w:spacing w:beforeAutospacing="0" w:afterAutospacing="0" w:line="360" w:lineRule="auto"/>
        <w:ind w:left="540" w:leftChars="50" w:hanging="440" w:hangingChars="200"/>
        <w:textAlignment w:val="auto"/>
        <w:rPr>
          <w:rFonts w:hint="default" w:ascii="Arial" w:hAnsi="Arial" w:cs="Arial"/>
          <w:color w:val="auto"/>
          <w:sz w:val="22"/>
          <w:szCs w:val="22"/>
          <w:lang w:val="en-US"/>
        </w:rPr>
      </w:pPr>
      <w:r>
        <w:rPr>
          <w:rFonts w:hint="default" w:ascii="Arial" w:hAnsi="Arial" w:cs="Arial"/>
          <w:color w:val="auto"/>
          <w:sz w:val="22"/>
          <w:szCs w:val="22"/>
          <w:lang w:val="en-US"/>
        </w:rPr>
        <w:t xml:space="preserve">Do, H., Do, B.N., and Nguyen, M.H. (2023). 'How do constructivist learning environments generate better motivation and learning strategies? The design science approach, </w:t>
      </w:r>
      <w:r>
        <w:rPr>
          <w:rStyle w:val="5"/>
          <w:rFonts w:hint="default" w:ascii="Arial" w:hAnsi="Arial" w:cs="Arial"/>
          <w:color w:val="auto"/>
          <w:sz w:val="22"/>
          <w:szCs w:val="22"/>
          <w:lang w:val="en-US"/>
        </w:rPr>
        <w:t>Heliyon</w:t>
      </w:r>
      <w:r>
        <w:rPr>
          <w:rFonts w:hint="default" w:ascii="Arial" w:hAnsi="Arial" w:cs="Arial"/>
          <w:color w:val="auto"/>
          <w:sz w:val="22"/>
          <w:szCs w:val="22"/>
          <w:lang w:val="en-US"/>
        </w:rPr>
        <w:t xml:space="preserve">, 9(12), pp.1–14. </w:t>
      </w:r>
      <w:r>
        <w:rPr>
          <w:rFonts w:hint="default" w:ascii="Arial" w:hAnsi="Arial" w:cs="Arial"/>
          <w:color w:val="auto"/>
          <w:sz w:val="22"/>
          <w:szCs w:val="22"/>
          <w:lang w:val="en-US"/>
        </w:rPr>
        <w:fldChar w:fldCharType="begin"/>
      </w:r>
      <w:r>
        <w:rPr>
          <w:rFonts w:hint="default" w:ascii="Arial" w:hAnsi="Arial" w:cs="Arial"/>
          <w:color w:val="auto"/>
          <w:sz w:val="22"/>
          <w:szCs w:val="22"/>
          <w:lang w:val="en-US"/>
        </w:rPr>
        <w:instrText xml:space="preserve"> HYPERLINK "https://doi.org/10.1016/j.heliyon.2023.e22862" \t "C:/Users/HP/Documents/_new" </w:instrText>
      </w:r>
      <w:r>
        <w:rPr>
          <w:rFonts w:hint="default" w:ascii="Arial" w:hAnsi="Arial" w:cs="Arial"/>
          <w:color w:val="auto"/>
          <w:sz w:val="22"/>
          <w:szCs w:val="22"/>
          <w:lang w:val="en-US"/>
        </w:rPr>
        <w:fldChar w:fldCharType="separate"/>
      </w:r>
      <w:r>
        <w:rPr>
          <w:rStyle w:val="7"/>
          <w:rFonts w:hint="default" w:ascii="Arial" w:hAnsi="Arial" w:cs="Arial"/>
          <w:color w:val="auto"/>
          <w:sz w:val="22"/>
          <w:szCs w:val="22"/>
          <w:u w:val="single"/>
          <w:lang w:val="en-US"/>
        </w:rPr>
        <w:t>https://doi.org/10.1016/j.heliyon.2023.e22862</w:t>
      </w:r>
      <w:r>
        <w:rPr>
          <w:rFonts w:hint="default" w:ascii="Arial" w:hAnsi="Arial" w:cs="Arial"/>
          <w:color w:val="auto"/>
          <w:sz w:val="22"/>
          <w:szCs w:val="22"/>
          <w:lang w:val="en-US"/>
        </w:rPr>
        <w:fldChar w:fldCharType="end"/>
      </w:r>
    </w:p>
    <w:p w14:paraId="22D5765A">
      <w:pPr>
        <w:pStyle w:val="8"/>
        <w:keepNext w:val="0"/>
        <w:keepLines w:val="0"/>
        <w:pageBreakBefore w:val="0"/>
        <w:widowControl/>
        <w:kinsoku/>
        <w:wordWrap/>
        <w:overflowPunct/>
        <w:topLinePunct w:val="0"/>
        <w:autoSpaceDE/>
        <w:autoSpaceDN/>
        <w:bidi w:val="0"/>
        <w:adjustRightInd/>
        <w:snapToGrid/>
        <w:spacing w:beforeAutospacing="0" w:afterAutospacing="0" w:line="360" w:lineRule="auto"/>
        <w:ind w:left="540" w:leftChars="50" w:hanging="440" w:hangingChars="200"/>
        <w:textAlignment w:val="auto"/>
        <w:rPr>
          <w:rFonts w:hint="default" w:ascii="Arial" w:hAnsi="Arial" w:cs="Arial"/>
          <w:color w:val="auto"/>
          <w:sz w:val="22"/>
          <w:szCs w:val="22"/>
          <w:lang w:val="en-US"/>
        </w:rPr>
      </w:pPr>
      <w:r>
        <w:rPr>
          <w:rFonts w:hint="default" w:ascii="Arial" w:hAnsi="Arial" w:cs="Arial"/>
          <w:color w:val="auto"/>
          <w:sz w:val="22"/>
          <w:szCs w:val="22"/>
          <w:lang w:val="en-US"/>
        </w:rPr>
        <w:t xml:space="preserve">Gcawu, S.N. and Van Rooyen, D. (2022) ‘Clinical teaching practices of nurse educators: An integrative literature review’, </w:t>
      </w:r>
      <w:r>
        <w:rPr>
          <w:rStyle w:val="5"/>
          <w:rFonts w:hint="default" w:ascii="Arial" w:hAnsi="Arial" w:cs="Arial"/>
          <w:color w:val="auto"/>
          <w:sz w:val="22"/>
          <w:szCs w:val="22"/>
          <w:lang w:val="en-US"/>
        </w:rPr>
        <w:t>Health SA Gesondheid</w:t>
      </w:r>
      <w:r>
        <w:rPr>
          <w:rFonts w:hint="default" w:ascii="Arial" w:hAnsi="Arial" w:cs="Arial"/>
          <w:color w:val="auto"/>
          <w:sz w:val="22"/>
          <w:szCs w:val="22"/>
          <w:lang w:val="en-US"/>
        </w:rPr>
        <w:t xml:space="preserve">, 27, pp.1–9. </w:t>
      </w:r>
      <w:r>
        <w:rPr>
          <w:rFonts w:hint="default" w:ascii="Arial" w:hAnsi="Arial" w:cs="Arial"/>
          <w:color w:val="auto"/>
          <w:sz w:val="22"/>
          <w:szCs w:val="22"/>
          <w:lang w:val="en-US"/>
        </w:rPr>
        <w:fldChar w:fldCharType="begin"/>
      </w:r>
      <w:r>
        <w:rPr>
          <w:rFonts w:hint="default" w:ascii="Arial" w:hAnsi="Arial" w:cs="Arial"/>
          <w:color w:val="auto"/>
          <w:sz w:val="22"/>
          <w:szCs w:val="22"/>
          <w:lang w:val="en-US"/>
        </w:rPr>
        <w:instrText xml:space="preserve"> HYPERLINK "https://doi.org/10.4102/hsag.v27i0.1728" \t "C:/Users/HP/Documents/_new" </w:instrText>
      </w:r>
      <w:r>
        <w:rPr>
          <w:rFonts w:hint="default" w:ascii="Arial" w:hAnsi="Arial" w:cs="Arial"/>
          <w:color w:val="auto"/>
          <w:sz w:val="22"/>
          <w:szCs w:val="22"/>
          <w:lang w:val="en-US"/>
        </w:rPr>
        <w:fldChar w:fldCharType="separate"/>
      </w:r>
      <w:r>
        <w:rPr>
          <w:rStyle w:val="7"/>
          <w:rFonts w:hint="default" w:ascii="Arial" w:hAnsi="Arial" w:cs="Arial"/>
          <w:color w:val="auto"/>
          <w:sz w:val="22"/>
          <w:szCs w:val="22"/>
          <w:u w:val="single"/>
          <w:lang w:val="en-US"/>
        </w:rPr>
        <w:t>https://doi.org/10.4102/hsag.v27i0.1728</w:t>
      </w:r>
      <w:r>
        <w:rPr>
          <w:rFonts w:hint="default" w:ascii="Arial" w:hAnsi="Arial" w:cs="Arial"/>
          <w:color w:val="auto"/>
          <w:sz w:val="22"/>
          <w:szCs w:val="22"/>
          <w:lang w:val="en-US"/>
        </w:rPr>
        <w:fldChar w:fldCharType="end"/>
      </w:r>
    </w:p>
    <w:p w14:paraId="18DBDB68">
      <w:pPr>
        <w:pStyle w:val="8"/>
        <w:keepNext w:val="0"/>
        <w:keepLines w:val="0"/>
        <w:pageBreakBefore w:val="0"/>
        <w:widowControl/>
        <w:kinsoku/>
        <w:wordWrap/>
        <w:overflowPunct/>
        <w:topLinePunct w:val="0"/>
        <w:autoSpaceDE/>
        <w:autoSpaceDN/>
        <w:bidi w:val="0"/>
        <w:adjustRightInd/>
        <w:snapToGrid/>
        <w:spacing w:beforeAutospacing="0" w:afterAutospacing="0" w:line="360" w:lineRule="auto"/>
        <w:ind w:left="540" w:leftChars="50" w:hanging="440" w:hangingChars="200"/>
        <w:textAlignment w:val="auto"/>
        <w:rPr>
          <w:rFonts w:hint="default" w:ascii="Arial" w:hAnsi="Arial" w:cs="Arial"/>
          <w:color w:val="auto"/>
          <w:sz w:val="22"/>
          <w:szCs w:val="22"/>
          <w:lang w:val="en-US"/>
        </w:rPr>
      </w:pPr>
      <w:r>
        <w:rPr>
          <w:rFonts w:hint="default" w:ascii="Arial" w:hAnsi="Arial" w:cs="Arial"/>
          <w:color w:val="auto"/>
          <w:sz w:val="22"/>
          <w:szCs w:val="22"/>
          <w:lang w:val="en-US"/>
        </w:rPr>
        <w:t xml:space="preserve">Girot, E. (2002) ‘Critical reflection for nursing and the helping professions: A user's guide’, </w:t>
      </w:r>
      <w:r>
        <w:rPr>
          <w:rStyle w:val="5"/>
          <w:rFonts w:hint="default" w:ascii="Arial" w:hAnsi="Arial" w:cs="Arial"/>
          <w:color w:val="auto"/>
          <w:sz w:val="22"/>
          <w:szCs w:val="22"/>
          <w:lang w:val="en-US"/>
        </w:rPr>
        <w:t>Nurse Education Today</w:t>
      </w:r>
      <w:r>
        <w:rPr>
          <w:rFonts w:hint="default" w:ascii="Arial" w:hAnsi="Arial" w:cs="Arial"/>
          <w:color w:val="auto"/>
          <w:sz w:val="22"/>
          <w:szCs w:val="22"/>
          <w:lang w:val="en-US"/>
        </w:rPr>
        <w:t xml:space="preserve">, 22(5), pp.434–435. </w:t>
      </w:r>
      <w:r>
        <w:rPr>
          <w:rFonts w:hint="default" w:ascii="Arial" w:hAnsi="Arial" w:cs="Arial"/>
          <w:color w:val="auto"/>
          <w:sz w:val="22"/>
          <w:szCs w:val="22"/>
          <w:lang w:val="en-US"/>
        </w:rPr>
        <w:fldChar w:fldCharType="begin"/>
      </w:r>
      <w:r>
        <w:rPr>
          <w:rFonts w:hint="default" w:ascii="Arial" w:hAnsi="Arial" w:cs="Arial"/>
          <w:color w:val="auto"/>
          <w:sz w:val="22"/>
          <w:szCs w:val="22"/>
          <w:lang w:val="en-US"/>
        </w:rPr>
        <w:instrText xml:space="preserve"> HYPERLINK "https://doi.org/10.1054/nedt.2001.0768" \t "C:/Users/HP/Documents/_new" </w:instrText>
      </w:r>
      <w:r>
        <w:rPr>
          <w:rFonts w:hint="default" w:ascii="Arial" w:hAnsi="Arial" w:cs="Arial"/>
          <w:color w:val="auto"/>
          <w:sz w:val="22"/>
          <w:szCs w:val="22"/>
          <w:lang w:val="en-US"/>
        </w:rPr>
        <w:fldChar w:fldCharType="separate"/>
      </w:r>
      <w:r>
        <w:rPr>
          <w:rStyle w:val="7"/>
          <w:rFonts w:hint="default" w:ascii="Arial" w:hAnsi="Arial" w:cs="Arial"/>
          <w:color w:val="auto"/>
          <w:sz w:val="22"/>
          <w:szCs w:val="22"/>
          <w:u w:val="single"/>
          <w:lang w:val="en-US"/>
        </w:rPr>
        <w:t>https://doi.org/10.1054/nedt.2001.0768</w:t>
      </w:r>
      <w:r>
        <w:rPr>
          <w:rFonts w:hint="default" w:ascii="Arial" w:hAnsi="Arial" w:cs="Arial"/>
          <w:color w:val="auto"/>
          <w:sz w:val="22"/>
          <w:szCs w:val="22"/>
          <w:lang w:val="en-US"/>
        </w:rPr>
        <w:fldChar w:fldCharType="end"/>
      </w:r>
    </w:p>
    <w:p w14:paraId="3BB8427B">
      <w:pPr>
        <w:pStyle w:val="8"/>
        <w:keepNext w:val="0"/>
        <w:keepLines w:val="0"/>
        <w:pageBreakBefore w:val="0"/>
        <w:widowControl/>
        <w:kinsoku/>
        <w:wordWrap/>
        <w:overflowPunct/>
        <w:topLinePunct w:val="0"/>
        <w:autoSpaceDE/>
        <w:autoSpaceDN/>
        <w:bidi w:val="0"/>
        <w:adjustRightInd/>
        <w:snapToGrid/>
        <w:spacing w:beforeAutospacing="0" w:afterAutospacing="0" w:line="360" w:lineRule="auto"/>
        <w:ind w:left="540" w:leftChars="50" w:hanging="440" w:hangingChars="200"/>
        <w:textAlignment w:val="auto"/>
        <w:rPr>
          <w:rFonts w:hint="default" w:ascii="Arial" w:hAnsi="Arial" w:cs="Arial"/>
          <w:color w:val="auto"/>
          <w:sz w:val="22"/>
          <w:szCs w:val="22"/>
          <w:lang w:val="en-US"/>
        </w:rPr>
      </w:pPr>
      <w:r>
        <w:rPr>
          <w:rFonts w:hint="default" w:ascii="Arial" w:hAnsi="Arial" w:cs="Arial"/>
          <w:color w:val="auto"/>
          <w:sz w:val="22"/>
          <w:szCs w:val="22"/>
          <w:lang w:val="en-US"/>
        </w:rPr>
        <w:t xml:space="preserve">Hardie, P., O’Donovan, R., Jarvis, P.S. and Redmond, C. (2022) ‘Key tips to providing a psychologically safe learning environment in the clinical setting’, </w:t>
      </w:r>
      <w:r>
        <w:rPr>
          <w:rStyle w:val="5"/>
          <w:rFonts w:hint="default" w:ascii="Arial" w:hAnsi="Arial" w:cs="Arial"/>
          <w:color w:val="auto"/>
          <w:sz w:val="22"/>
          <w:szCs w:val="22"/>
          <w:lang w:val="en-US"/>
        </w:rPr>
        <w:t>BMC Medical Education</w:t>
      </w:r>
      <w:r>
        <w:rPr>
          <w:rFonts w:hint="default" w:ascii="Arial" w:hAnsi="Arial" w:cs="Arial"/>
          <w:color w:val="auto"/>
          <w:sz w:val="22"/>
          <w:szCs w:val="22"/>
          <w:lang w:val="en-US"/>
        </w:rPr>
        <w:t xml:space="preserve">, pp.1–11. </w:t>
      </w:r>
      <w:r>
        <w:rPr>
          <w:rFonts w:hint="default" w:ascii="Arial" w:hAnsi="Arial" w:cs="Arial"/>
          <w:color w:val="auto"/>
          <w:sz w:val="22"/>
          <w:szCs w:val="22"/>
          <w:lang w:val="en-US"/>
        </w:rPr>
        <w:fldChar w:fldCharType="begin"/>
      </w:r>
      <w:r>
        <w:rPr>
          <w:rFonts w:hint="default" w:ascii="Arial" w:hAnsi="Arial" w:cs="Arial"/>
          <w:color w:val="auto"/>
          <w:sz w:val="22"/>
          <w:szCs w:val="22"/>
          <w:lang w:val="en-US"/>
        </w:rPr>
        <w:instrText xml:space="preserve"> HYPERLINK "https://doi.org/10.21203/rs.3.rs-1754352/v1" \t "C:/Users/HP/Documents/_new" </w:instrText>
      </w:r>
      <w:r>
        <w:rPr>
          <w:rFonts w:hint="default" w:ascii="Arial" w:hAnsi="Arial" w:cs="Arial"/>
          <w:color w:val="auto"/>
          <w:sz w:val="22"/>
          <w:szCs w:val="22"/>
          <w:lang w:val="en-US"/>
        </w:rPr>
        <w:fldChar w:fldCharType="separate"/>
      </w:r>
      <w:r>
        <w:rPr>
          <w:rStyle w:val="7"/>
          <w:rFonts w:hint="default" w:ascii="Arial" w:hAnsi="Arial" w:cs="Arial"/>
          <w:color w:val="auto"/>
          <w:sz w:val="22"/>
          <w:szCs w:val="22"/>
          <w:u w:val="single"/>
          <w:lang w:val="en-US"/>
        </w:rPr>
        <w:t>https://doi.org/10.21203/rs.3.rs-1754352/v1</w:t>
      </w:r>
      <w:r>
        <w:rPr>
          <w:rFonts w:hint="default" w:ascii="Arial" w:hAnsi="Arial" w:cs="Arial"/>
          <w:color w:val="auto"/>
          <w:sz w:val="22"/>
          <w:szCs w:val="22"/>
          <w:lang w:val="en-US"/>
        </w:rPr>
        <w:fldChar w:fldCharType="end"/>
      </w:r>
    </w:p>
    <w:p w14:paraId="43B3197A">
      <w:pPr>
        <w:pStyle w:val="8"/>
        <w:keepNext w:val="0"/>
        <w:keepLines w:val="0"/>
        <w:pageBreakBefore w:val="0"/>
        <w:widowControl/>
        <w:kinsoku/>
        <w:wordWrap/>
        <w:overflowPunct/>
        <w:topLinePunct w:val="0"/>
        <w:autoSpaceDE/>
        <w:autoSpaceDN/>
        <w:bidi w:val="0"/>
        <w:adjustRightInd/>
        <w:snapToGrid/>
        <w:spacing w:beforeAutospacing="0" w:afterAutospacing="0" w:line="360" w:lineRule="auto"/>
        <w:ind w:left="540" w:leftChars="50" w:hanging="440" w:hangingChars="200"/>
        <w:textAlignment w:val="auto"/>
        <w:rPr>
          <w:rFonts w:hint="default" w:ascii="Arial" w:hAnsi="Arial" w:cs="Arial"/>
          <w:color w:val="auto"/>
          <w:sz w:val="22"/>
          <w:szCs w:val="22"/>
          <w:lang w:val="en-US"/>
        </w:rPr>
      </w:pPr>
      <w:r>
        <w:rPr>
          <w:rFonts w:hint="default" w:ascii="Arial" w:hAnsi="Arial" w:cs="Arial"/>
          <w:color w:val="auto"/>
          <w:sz w:val="22"/>
          <w:szCs w:val="22"/>
          <w:lang w:val="en-US"/>
        </w:rPr>
        <w:t xml:space="preserve">Henríquez, V.V., Rabanal, I.C. and Abásolo, J.S. (2025) ‘Applying Kolb’s experiential learning cycle for deep learning: A systematic literature review’, </w:t>
      </w:r>
      <w:r>
        <w:rPr>
          <w:rStyle w:val="5"/>
          <w:rFonts w:hint="default" w:ascii="Arial" w:hAnsi="Arial" w:cs="Arial"/>
          <w:color w:val="auto"/>
          <w:sz w:val="22"/>
          <w:szCs w:val="22"/>
          <w:lang w:val="en-US"/>
        </w:rPr>
        <w:t>Social Sciences &amp; Humanities Open</w:t>
      </w:r>
      <w:r>
        <w:rPr>
          <w:rFonts w:hint="default" w:ascii="Arial" w:hAnsi="Arial" w:cs="Arial"/>
          <w:color w:val="auto"/>
          <w:sz w:val="22"/>
          <w:szCs w:val="22"/>
          <w:lang w:val="en-US"/>
        </w:rPr>
        <w:t xml:space="preserve">, 12, pp.1–8. </w:t>
      </w:r>
      <w:r>
        <w:rPr>
          <w:rFonts w:hint="default" w:ascii="Arial" w:hAnsi="Arial" w:cs="Arial"/>
          <w:color w:val="auto"/>
          <w:sz w:val="22"/>
          <w:szCs w:val="22"/>
          <w:lang w:val="en-US"/>
        </w:rPr>
        <w:fldChar w:fldCharType="begin"/>
      </w:r>
      <w:r>
        <w:rPr>
          <w:rFonts w:hint="default" w:ascii="Arial" w:hAnsi="Arial" w:cs="Arial"/>
          <w:color w:val="auto"/>
          <w:sz w:val="22"/>
          <w:szCs w:val="22"/>
          <w:lang w:val="en-US"/>
        </w:rPr>
        <w:instrText xml:space="preserve"> HYPERLINK "https://doi.org/10.1016/j.ssaho.2025.102096" \t "C:/Users/HP/Documents/_new" </w:instrText>
      </w:r>
      <w:r>
        <w:rPr>
          <w:rFonts w:hint="default" w:ascii="Arial" w:hAnsi="Arial" w:cs="Arial"/>
          <w:color w:val="auto"/>
          <w:sz w:val="22"/>
          <w:szCs w:val="22"/>
          <w:lang w:val="en-US"/>
        </w:rPr>
        <w:fldChar w:fldCharType="separate"/>
      </w:r>
      <w:r>
        <w:rPr>
          <w:rStyle w:val="7"/>
          <w:rFonts w:hint="default" w:ascii="Arial" w:hAnsi="Arial" w:cs="Arial"/>
          <w:color w:val="auto"/>
          <w:sz w:val="22"/>
          <w:szCs w:val="22"/>
          <w:u w:val="single"/>
          <w:lang w:val="en-US"/>
        </w:rPr>
        <w:t>https://doi.org/10.1016/j.ssaho.2025.102096</w:t>
      </w:r>
      <w:r>
        <w:rPr>
          <w:rFonts w:hint="default" w:ascii="Arial" w:hAnsi="Arial" w:cs="Arial"/>
          <w:color w:val="auto"/>
          <w:sz w:val="22"/>
          <w:szCs w:val="22"/>
          <w:lang w:val="en-US"/>
        </w:rPr>
        <w:fldChar w:fldCharType="end"/>
      </w:r>
    </w:p>
    <w:p w14:paraId="34F247CB">
      <w:pPr>
        <w:pStyle w:val="8"/>
        <w:keepNext w:val="0"/>
        <w:keepLines w:val="0"/>
        <w:pageBreakBefore w:val="0"/>
        <w:widowControl/>
        <w:kinsoku/>
        <w:wordWrap/>
        <w:overflowPunct/>
        <w:topLinePunct w:val="0"/>
        <w:autoSpaceDE/>
        <w:autoSpaceDN/>
        <w:bidi w:val="0"/>
        <w:adjustRightInd/>
        <w:snapToGrid/>
        <w:spacing w:beforeAutospacing="0" w:afterAutospacing="0" w:line="360" w:lineRule="auto"/>
        <w:ind w:left="540" w:leftChars="50" w:hanging="440" w:hangingChars="200"/>
        <w:textAlignment w:val="auto"/>
        <w:rPr>
          <w:rFonts w:hint="default" w:ascii="Arial" w:hAnsi="Arial" w:cs="Arial"/>
          <w:color w:val="auto"/>
          <w:sz w:val="22"/>
          <w:szCs w:val="22"/>
          <w:lang w:val="en-US"/>
        </w:rPr>
      </w:pPr>
      <w:r>
        <w:rPr>
          <w:rFonts w:hint="default" w:ascii="Arial" w:hAnsi="Arial" w:cs="Arial"/>
          <w:color w:val="auto"/>
          <w:sz w:val="22"/>
          <w:szCs w:val="22"/>
          <w:lang w:val="en-US"/>
        </w:rPr>
        <w:t xml:space="preserve">Hormazábal-Salgado, R., Whitehead, D., Osman, A.D. and Hills, D. (2024) ‘Person-centred decision-making in mental health: A scoping review’, </w:t>
      </w:r>
      <w:r>
        <w:rPr>
          <w:rStyle w:val="5"/>
          <w:rFonts w:hint="default" w:ascii="Arial" w:hAnsi="Arial" w:cs="Arial"/>
          <w:color w:val="auto"/>
          <w:sz w:val="22"/>
          <w:szCs w:val="22"/>
          <w:lang w:val="en-US"/>
        </w:rPr>
        <w:t>Issues in Mental Health Nursing</w:t>
      </w:r>
      <w:r>
        <w:rPr>
          <w:rFonts w:hint="default" w:ascii="Arial" w:hAnsi="Arial" w:cs="Arial"/>
          <w:color w:val="auto"/>
          <w:sz w:val="22"/>
          <w:szCs w:val="22"/>
          <w:lang w:val="en-US"/>
        </w:rPr>
        <w:t xml:space="preserve">, 45(3), pp.294–310. </w:t>
      </w:r>
      <w:r>
        <w:rPr>
          <w:rFonts w:hint="default" w:ascii="Arial" w:hAnsi="Arial" w:cs="Arial"/>
          <w:color w:val="auto"/>
          <w:sz w:val="22"/>
          <w:szCs w:val="22"/>
          <w:lang w:val="en-US"/>
        </w:rPr>
        <w:fldChar w:fldCharType="begin"/>
      </w:r>
      <w:r>
        <w:rPr>
          <w:rFonts w:hint="default" w:ascii="Arial" w:hAnsi="Arial" w:cs="Arial"/>
          <w:color w:val="auto"/>
          <w:sz w:val="22"/>
          <w:szCs w:val="22"/>
          <w:lang w:val="en-US"/>
        </w:rPr>
        <w:instrText xml:space="preserve"> HYPERLINK "https://doi.org/10.1080/01612840.2023.2288181" \t "C:/Users/HP/Documents/_new" </w:instrText>
      </w:r>
      <w:r>
        <w:rPr>
          <w:rFonts w:hint="default" w:ascii="Arial" w:hAnsi="Arial" w:cs="Arial"/>
          <w:color w:val="auto"/>
          <w:sz w:val="22"/>
          <w:szCs w:val="22"/>
          <w:lang w:val="en-US"/>
        </w:rPr>
        <w:fldChar w:fldCharType="separate"/>
      </w:r>
      <w:r>
        <w:rPr>
          <w:rStyle w:val="7"/>
          <w:rFonts w:hint="default" w:ascii="Arial" w:hAnsi="Arial" w:cs="Arial"/>
          <w:color w:val="auto"/>
          <w:sz w:val="22"/>
          <w:szCs w:val="22"/>
          <w:u w:val="single"/>
          <w:lang w:val="en-US"/>
        </w:rPr>
        <w:t>https://doi.org/10.1080/01612840.2023.2288181</w:t>
      </w:r>
      <w:r>
        <w:rPr>
          <w:rFonts w:hint="default" w:ascii="Arial" w:hAnsi="Arial" w:cs="Arial"/>
          <w:color w:val="auto"/>
          <w:sz w:val="22"/>
          <w:szCs w:val="22"/>
          <w:lang w:val="en-US"/>
        </w:rPr>
        <w:fldChar w:fldCharType="end"/>
      </w:r>
    </w:p>
    <w:p w14:paraId="493B1D63">
      <w:pPr>
        <w:pStyle w:val="8"/>
        <w:keepNext w:val="0"/>
        <w:keepLines w:val="0"/>
        <w:pageBreakBefore w:val="0"/>
        <w:widowControl/>
        <w:kinsoku/>
        <w:wordWrap/>
        <w:overflowPunct/>
        <w:topLinePunct w:val="0"/>
        <w:autoSpaceDE/>
        <w:autoSpaceDN/>
        <w:bidi w:val="0"/>
        <w:adjustRightInd/>
        <w:snapToGrid/>
        <w:spacing w:beforeAutospacing="0" w:afterAutospacing="0" w:line="360" w:lineRule="auto"/>
        <w:ind w:left="540" w:leftChars="50" w:hanging="440" w:hangingChars="200"/>
        <w:textAlignment w:val="auto"/>
        <w:rPr>
          <w:rFonts w:hint="default" w:ascii="Arial" w:hAnsi="Arial" w:cs="Arial"/>
          <w:color w:val="auto"/>
          <w:sz w:val="22"/>
          <w:szCs w:val="22"/>
          <w:lang w:val="en-US"/>
        </w:rPr>
      </w:pPr>
      <w:r>
        <w:rPr>
          <w:rFonts w:hint="default" w:ascii="Arial" w:hAnsi="Arial" w:cs="Arial"/>
          <w:color w:val="auto"/>
          <w:sz w:val="22"/>
          <w:szCs w:val="22"/>
          <w:lang w:val="en-US"/>
        </w:rPr>
        <w:t xml:space="preserve">Knapke, J.M., Hildreth, L., Molano, J.R., Schuckman, S.M., Blackard, J.T., Johnstone, M., Kopras, E.J., Lamkin, M.K., Lee, R.C., Kues, J.R., and Mendell, A. (2024) 'Andragogy in practice: Applying a theoretical framework to team science training in biomedical research', </w:t>
      </w:r>
      <w:r>
        <w:rPr>
          <w:rStyle w:val="5"/>
          <w:rFonts w:hint="default" w:ascii="Arial" w:hAnsi="Arial" w:cs="Arial"/>
          <w:color w:val="auto"/>
          <w:sz w:val="22"/>
          <w:szCs w:val="22"/>
          <w:lang w:val="en-US"/>
        </w:rPr>
        <w:t>British Journal of Biomedical Science</w:t>
      </w:r>
      <w:r>
        <w:rPr>
          <w:rFonts w:hint="default" w:ascii="Arial" w:hAnsi="Arial" w:cs="Arial"/>
          <w:color w:val="auto"/>
          <w:sz w:val="22"/>
          <w:szCs w:val="22"/>
          <w:lang w:val="en-US"/>
        </w:rPr>
        <w:t xml:space="preserve">, 81, pp.1–8. </w:t>
      </w:r>
      <w:r>
        <w:rPr>
          <w:rFonts w:hint="default" w:ascii="Arial" w:hAnsi="Arial" w:cs="Arial"/>
          <w:color w:val="auto"/>
          <w:sz w:val="22"/>
          <w:szCs w:val="22"/>
          <w:lang w:val="en-US"/>
        </w:rPr>
        <w:fldChar w:fldCharType="begin"/>
      </w:r>
      <w:r>
        <w:rPr>
          <w:rFonts w:hint="default" w:ascii="Arial" w:hAnsi="Arial" w:cs="Arial"/>
          <w:color w:val="auto"/>
          <w:sz w:val="22"/>
          <w:szCs w:val="22"/>
          <w:lang w:val="en-US"/>
        </w:rPr>
        <w:instrText xml:space="preserve"> HYPERLINK "https://doi.org/10.3389/bjbs.2024.12651" \t "C:/Users/HP/Documents/_new" </w:instrText>
      </w:r>
      <w:r>
        <w:rPr>
          <w:rFonts w:hint="default" w:ascii="Arial" w:hAnsi="Arial" w:cs="Arial"/>
          <w:color w:val="auto"/>
          <w:sz w:val="22"/>
          <w:szCs w:val="22"/>
          <w:lang w:val="en-US"/>
        </w:rPr>
        <w:fldChar w:fldCharType="separate"/>
      </w:r>
      <w:r>
        <w:rPr>
          <w:rStyle w:val="7"/>
          <w:rFonts w:hint="default" w:ascii="Arial" w:hAnsi="Arial" w:cs="Arial"/>
          <w:color w:val="auto"/>
          <w:sz w:val="22"/>
          <w:szCs w:val="22"/>
          <w:u w:val="single"/>
          <w:lang w:val="en-US"/>
        </w:rPr>
        <w:t>https://doi.org/10.3389/bjbs.2024.12651</w:t>
      </w:r>
      <w:r>
        <w:rPr>
          <w:rFonts w:hint="default" w:ascii="Arial" w:hAnsi="Arial" w:cs="Arial"/>
          <w:color w:val="auto"/>
          <w:sz w:val="22"/>
          <w:szCs w:val="22"/>
          <w:lang w:val="en-US"/>
        </w:rPr>
        <w:fldChar w:fldCharType="end"/>
      </w:r>
    </w:p>
    <w:p w14:paraId="02792F87">
      <w:pPr>
        <w:pStyle w:val="8"/>
        <w:keepNext w:val="0"/>
        <w:keepLines w:val="0"/>
        <w:pageBreakBefore w:val="0"/>
        <w:widowControl/>
        <w:kinsoku/>
        <w:wordWrap/>
        <w:overflowPunct/>
        <w:topLinePunct w:val="0"/>
        <w:autoSpaceDE/>
        <w:autoSpaceDN/>
        <w:bidi w:val="0"/>
        <w:adjustRightInd/>
        <w:snapToGrid/>
        <w:spacing w:beforeAutospacing="0" w:afterAutospacing="0" w:line="360" w:lineRule="auto"/>
        <w:ind w:left="540" w:leftChars="50" w:hanging="440" w:hangingChars="200"/>
        <w:textAlignment w:val="auto"/>
        <w:rPr>
          <w:rFonts w:hint="default" w:ascii="Arial" w:hAnsi="Arial" w:cs="Arial"/>
          <w:color w:val="auto"/>
          <w:sz w:val="22"/>
          <w:szCs w:val="22"/>
          <w:lang w:val="en-US"/>
        </w:rPr>
      </w:pPr>
      <w:r>
        <w:rPr>
          <w:rFonts w:hint="default" w:ascii="Arial" w:hAnsi="Arial" w:cs="Arial"/>
          <w:color w:val="auto"/>
          <w:sz w:val="22"/>
          <w:szCs w:val="22"/>
          <w:lang w:val="en-US"/>
        </w:rPr>
        <w:t xml:space="preserve">Lysfjord, E.M. and Skarstein, S. (2024) ‘Empowering leadership: A journey of growth and insight through a mentoring program for nurses in leadership positions’, </w:t>
      </w:r>
      <w:r>
        <w:rPr>
          <w:rStyle w:val="5"/>
          <w:rFonts w:hint="default" w:ascii="Arial" w:hAnsi="Arial" w:cs="Arial"/>
          <w:color w:val="auto"/>
          <w:sz w:val="22"/>
          <w:szCs w:val="22"/>
          <w:lang w:val="en-US"/>
        </w:rPr>
        <w:t>Journal of Healthcare Leadership</w:t>
      </w:r>
      <w:r>
        <w:rPr>
          <w:rFonts w:hint="default" w:ascii="Arial" w:hAnsi="Arial" w:cs="Arial"/>
          <w:color w:val="auto"/>
          <w:sz w:val="22"/>
          <w:szCs w:val="22"/>
          <w:lang w:val="en-US"/>
        </w:rPr>
        <w:t xml:space="preserve">, 16, pp.443–454. </w:t>
      </w:r>
      <w:r>
        <w:rPr>
          <w:rFonts w:hint="default" w:ascii="Arial" w:hAnsi="Arial" w:cs="Arial"/>
          <w:color w:val="auto"/>
          <w:sz w:val="22"/>
          <w:szCs w:val="22"/>
          <w:lang w:val="en-US"/>
        </w:rPr>
        <w:fldChar w:fldCharType="begin"/>
      </w:r>
      <w:r>
        <w:rPr>
          <w:rFonts w:hint="default" w:ascii="Arial" w:hAnsi="Arial" w:cs="Arial"/>
          <w:color w:val="auto"/>
          <w:sz w:val="22"/>
          <w:szCs w:val="22"/>
          <w:lang w:val="en-US"/>
        </w:rPr>
        <w:instrText xml:space="preserve"> HYPERLINK "https://doi.org/10.2147/jhl.s482087" \t "C:/Users/HP/Documents/_new" </w:instrText>
      </w:r>
      <w:r>
        <w:rPr>
          <w:rFonts w:hint="default" w:ascii="Arial" w:hAnsi="Arial" w:cs="Arial"/>
          <w:color w:val="auto"/>
          <w:sz w:val="22"/>
          <w:szCs w:val="22"/>
          <w:lang w:val="en-US"/>
        </w:rPr>
        <w:fldChar w:fldCharType="separate"/>
      </w:r>
      <w:r>
        <w:rPr>
          <w:rStyle w:val="7"/>
          <w:rFonts w:hint="default" w:ascii="Arial" w:hAnsi="Arial" w:cs="Arial"/>
          <w:color w:val="auto"/>
          <w:sz w:val="22"/>
          <w:szCs w:val="22"/>
          <w:u w:val="single"/>
          <w:lang w:val="en-US"/>
        </w:rPr>
        <w:t>https://doi.org/10.2147/jhl.s482087</w:t>
      </w:r>
      <w:r>
        <w:rPr>
          <w:rFonts w:hint="default" w:ascii="Arial" w:hAnsi="Arial" w:cs="Arial"/>
          <w:color w:val="auto"/>
          <w:sz w:val="22"/>
          <w:szCs w:val="22"/>
          <w:lang w:val="en-US"/>
        </w:rPr>
        <w:fldChar w:fldCharType="end"/>
      </w:r>
    </w:p>
    <w:p w14:paraId="2C2A28A0">
      <w:pPr>
        <w:pStyle w:val="8"/>
        <w:keepNext w:val="0"/>
        <w:keepLines w:val="0"/>
        <w:pageBreakBefore w:val="0"/>
        <w:widowControl/>
        <w:kinsoku/>
        <w:wordWrap/>
        <w:overflowPunct/>
        <w:topLinePunct w:val="0"/>
        <w:autoSpaceDE/>
        <w:autoSpaceDN/>
        <w:bidi w:val="0"/>
        <w:adjustRightInd/>
        <w:snapToGrid/>
        <w:spacing w:beforeAutospacing="0" w:afterAutospacing="0" w:line="360" w:lineRule="auto"/>
        <w:ind w:left="540" w:leftChars="50" w:hanging="440" w:hangingChars="200"/>
        <w:textAlignment w:val="auto"/>
        <w:rPr>
          <w:rFonts w:hint="default" w:ascii="Arial" w:hAnsi="Arial" w:cs="Arial"/>
          <w:color w:val="auto"/>
          <w:sz w:val="22"/>
          <w:szCs w:val="22"/>
          <w:lang w:val="en-US"/>
        </w:rPr>
      </w:pPr>
      <w:r>
        <w:rPr>
          <w:rFonts w:hint="default" w:ascii="Arial" w:hAnsi="Arial" w:cs="Arial"/>
          <w:color w:val="auto"/>
          <w:sz w:val="22"/>
          <w:szCs w:val="22"/>
          <w:lang w:val="en-US"/>
        </w:rPr>
        <w:t xml:space="preserve">Matthews, J.A., Matthews, S., Faries, M.D. and Wolever, R.Q. (2024) ‘Supporting sustainable health behavior change: The whole is greater than the sum of its parts’, </w:t>
      </w:r>
      <w:r>
        <w:rPr>
          <w:rStyle w:val="5"/>
          <w:rFonts w:hint="default" w:ascii="Arial" w:hAnsi="Arial" w:cs="Arial"/>
          <w:color w:val="auto"/>
          <w:sz w:val="22"/>
          <w:szCs w:val="22"/>
          <w:lang w:val="en-US"/>
        </w:rPr>
        <w:t>Mayo Clinic Proceedings: Innovations, Quality &amp; Outcomes</w:t>
      </w:r>
      <w:r>
        <w:rPr>
          <w:rFonts w:hint="default" w:ascii="Arial" w:hAnsi="Arial" w:cs="Arial"/>
          <w:color w:val="auto"/>
          <w:sz w:val="22"/>
          <w:szCs w:val="22"/>
          <w:lang w:val="en-US"/>
        </w:rPr>
        <w:t xml:space="preserve">, 8(3), pp.263–275. </w:t>
      </w:r>
      <w:r>
        <w:rPr>
          <w:rFonts w:hint="default" w:ascii="Arial" w:hAnsi="Arial" w:cs="Arial"/>
          <w:color w:val="auto"/>
          <w:sz w:val="22"/>
          <w:szCs w:val="22"/>
          <w:lang w:val="en-US"/>
        </w:rPr>
        <w:fldChar w:fldCharType="begin"/>
      </w:r>
      <w:r>
        <w:rPr>
          <w:rFonts w:hint="default" w:ascii="Arial" w:hAnsi="Arial" w:cs="Arial"/>
          <w:color w:val="auto"/>
          <w:sz w:val="22"/>
          <w:szCs w:val="22"/>
          <w:lang w:val="en-US"/>
        </w:rPr>
        <w:instrText xml:space="preserve"> HYPERLINK "https://doi.org/10.1016/j.mayocpiqo.2023.10.002" \t "C:/Users/HP/Documents/_new" </w:instrText>
      </w:r>
      <w:r>
        <w:rPr>
          <w:rFonts w:hint="default" w:ascii="Arial" w:hAnsi="Arial" w:cs="Arial"/>
          <w:color w:val="auto"/>
          <w:sz w:val="22"/>
          <w:szCs w:val="22"/>
          <w:lang w:val="en-US"/>
        </w:rPr>
        <w:fldChar w:fldCharType="separate"/>
      </w:r>
      <w:r>
        <w:rPr>
          <w:rStyle w:val="7"/>
          <w:rFonts w:hint="default" w:ascii="Arial" w:hAnsi="Arial" w:cs="Arial"/>
          <w:color w:val="auto"/>
          <w:sz w:val="22"/>
          <w:szCs w:val="22"/>
          <w:u w:val="single"/>
          <w:lang w:val="en-US"/>
        </w:rPr>
        <w:t>https://doi.org/10.1016/j.mayocpiqo.2023.10.002</w:t>
      </w:r>
      <w:r>
        <w:rPr>
          <w:rFonts w:hint="default" w:ascii="Arial" w:hAnsi="Arial" w:cs="Arial"/>
          <w:color w:val="auto"/>
          <w:sz w:val="22"/>
          <w:szCs w:val="22"/>
          <w:lang w:val="en-US"/>
        </w:rPr>
        <w:fldChar w:fldCharType="end"/>
      </w:r>
    </w:p>
    <w:p w14:paraId="1F24D785">
      <w:pPr>
        <w:pStyle w:val="8"/>
        <w:keepNext w:val="0"/>
        <w:keepLines w:val="0"/>
        <w:pageBreakBefore w:val="0"/>
        <w:widowControl/>
        <w:kinsoku/>
        <w:wordWrap/>
        <w:overflowPunct/>
        <w:topLinePunct w:val="0"/>
        <w:autoSpaceDE/>
        <w:autoSpaceDN/>
        <w:bidi w:val="0"/>
        <w:adjustRightInd/>
        <w:snapToGrid/>
        <w:spacing w:beforeAutospacing="0" w:afterAutospacing="0" w:line="360" w:lineRule="auto"/>
        <w:ind w:left="540" w:leftChars="50" w:hanging="440" w:hangingChars="200"/>
        <w:textAlignment w:val="auto"/>
        <w:rPr>
          <w:rFonts w:hint="default" w:ascii="Arial" w:hAnsi="Arial" w:cs="Arial"/>
          <w:color w:val="auto"/>
          <w:sz w:val="22"/>
          <w:szCs w:val="22"/>
          <w:lang w:val="en-US"/>
        </w:rPr>
      </w:pPr>
      <w:r>
        <w:rPr>
          <w:rFonts w:hint="default" w:ascii="Arial" w:hAnsi="Arial" w:cs="Arial"/>
          <w:color w:val="auto"/>
          <w:sz w:val="22"/>
          <w:szCs w:val="22"/>
          <w:lang w:val="en-US"/>
        </w:rPr>
        <w:t xml:space="preserve">Nawi, S.A. and Nordin, M.N. (2025) ‘B.F. Skinner’s learning theory and teaching strategies for special education students’, </w:t>
      </w:r>
      <w:r>
        <w:rPr>
          <w:rStyle w:val="5"/>
          <w:rFonts w:hint="default" w:ascii="Arial" w:hAnsi="Arial" w:cs="Arial"/>
          <w:color w:val="auto"/>
          <w:sz w:val="22"/>
          <w:szCs w:val="22"/>
          <w:lang w:val="en-US"/>
        </w:rPr>
        <w:t>Special Education</w:t>
      </w:r>
      <w:r>
        <w:rPr>
          <w:rFonts w:hint="default" w:ascii="Arial" w:hAnsi="Arial" w:cs="Arial"/>
          <w:color w:val="auto"/>
          <w:sz w:val="22"/>
          <w:szCs w:val="22"/>
          <w:lang w:val="en-US"/>
        </w:rPr>
        <w:t xml:space="preserve">, 3(1), p.e0043. </w:t>
      </w:r>
      <w:r>
        <w:rPr>
          <w:rFonts w:hint="default" w:ascii="Arial" w:hAnsi="Arial" w:cs="Arial"/>
          <w:color w:val="auto"/>
          <w:sz w:val="22"/>
          <w:szCs w:val="22"/>
          <w:lang w:val="en-US"/>
        </w:rPr>
        <w:fldChar w:fldCharType="begin"/>
      </w:r>
      <w:r>
        <w:rPr>
          <w:rFonts w:hint="default" w:ascii="Arial" w:hAnsi="Arial" w:cs="Arial"/>
          <w:color w:val="auto"/>
          <w:sz w:val="22"/>
          <w:szCs w:val="22"/>
          <w:lang w:val="en-US"/>
        </w:rPr>
        <w:instrText xml:space="preserve"> HYPERLINK "https://doi.org/10.59055/se.v3i1.43" \t "C:/Users/HP/Documents/_new" </w:instrText>
      </w:r>
      <w:r>
        <w:rPr>
          <w:rFonts w:hint="default" w:ascii="Arial" w:hAnsi="Arial" w:cs="Arial"/>
          <w:color w:val="auto"/>
          <w:sz w:val="22"/>
          <w:szCs w:val="22"/>
          <w:lang w:val="en-US"/>
        </w:rPr>
        <w:fldChar w:fldCharType="separate"/>
      </w:r>
      <w:r>
        <w:rPr>
          <w:rStyle w:val="7"/>
          <w:rFonts w:hint="default" w:ascii="Arial" w:hAnsi="Arial" w:cs="Arial"/>
          <w:color w:val="auto"/>
          <w:sz w:val="22"/>
          <w:szCs w:val="22"/>
          <w:u w:val="single"/>
          <w:lang w:val="en-US"/>
        </w:rPr>
        <w:t>https://doi.org/10.59055/se.v3i1.43</w:t>
      </w:r>
      <w:r>
        <w:rPr>
          <w:rFonts w:hint="default" w:ascii="Arial" w:hAnsi="Arial" w:cs="Arial"/>
          <w:color w:val="auto"/>
          <w:sz w:val="22"/>
          <w:szCs w:val="22"/>
          <w:lang w:val="en-US"/>
        </w:rPr>
        <w:fldChar w:fldCharType="end"/>
      </w:r>
    </w:p>
    <w:p w14:paraId="340858E3">
      <w:pPr>
        <w:pStyle w:val="8"/>
        <w:keepNext w:val="0"/>
        <w:keepLines w:val="0"/>
        <w:pageBreakBefore w:val="0"/>
        <w:widowControl/>
        <w:kinsoku/>
        <w:wordWrap/>
        <w:overflowPunct/>
        <w:topLinePunct w:val="0"/>
        <w:autoSpaceDE/>
        <w:autoSpaceDN/>
        <w:bidi w:val="0"/>
        <w:adjustRightInd/>
        <w:snapToGrid/>
        <w:spacing w:beforeAutospacing="0" w:afterAutospacing="0" w:line="360" w:lineRule="auto"/>
        <w:ind w:left="540" w:leftChars="50" w:hanging="440" w:hangingChars="200"/>
        <w:textAlignment w:val="auto"/>
        <w:rPr>
          <w:rFonts w:hint="default" w:ascii="Arial" w:hAnsi="Arial" w:cs="Arial"/>
          <w:color w:val="auto"/>
          <w:sz w:val="22"/>
          <w:szCs w:val="22"/>
          <w:lang w:val="en-US"/>
        </w:rPr>
      </w:pPr>
      <w:r>
        <w:rPr>
          <w:rFonts w:hint="default" w:ascii="Arial" w:hAnsi="Arial" w:cs="Arial"/>
          <w:color w:val="auto"/>
          <w:sz w:val="22"/>
          <w:szCs w:val="22"/>
          <w:lang w:val="en-US"/>
        </w:rPr>
        <w:t xml:space="preserve">Nursing and Midwifery Council (2018). </w:t>
      </w:r>
      <w:r>
        <w:rPr>
          <w:rStyle w:val="5"/>
          <w:rFonts w:hint="default" w:ascii="Arial" w:hAnsi="Arial" w:cs="Arial"/>
          <w:color w:val="auto"/>
          <w:sz w:val="22"/>
          <w:szCs w:val="22"/>
          <w:lang w:val="en-US"/>
        </w:rPr>
        <w:t>What do practice supervisors do?</w:t>
      </w:r>
      <w:r>
        <w:rPr>
          <w:rFonts w:hint="default" w:ascii="Arial" w:hAnsi="Arial" w:cs="Arial"/>
          <w:color w:val="auto"/>
          <w:sz w:val="22"/>
          <w:szCs w:val="22"/>
          <w:lang w:val="en-US"/>
        </w:rPr>
        <w:t xml:space="preserve"> Available at: </w:t>
      </w:r>
      <w:r>
        <w:rPr>
          <w:rFonts w:hint="default" w:ascii="Arial" w:hAnsi="Arial" w:cs="Arial"/>
          <w:color w:val="auto"/>
          <w:sz w:val="22"/>
          <w:szCs w:val="22"/>
          <w:lang w:val="en-US"/>
        </w:rPr>
        <w:fldChar w:fldCharType="begin"/>
      </w:r>
      <w:r>
        <w:rPr>
          <w:rFonts w:hint="default" w:ascii="Arial" w:hAnsi="Arial" w:cs="Arial"/>
          <w:color w:val="auto"/>
          <w:sz w:val="22"/>
          <w:szCs w:val="22"/>
          <w:lang w:val="en-US"/>
        </w:rPr>
        <w:instrText xml:space="preserve"> HYPERLINK "https://www.nmc.org.uk/supporting-information-on-standards-for-student-supervision-and-assessment/practice-supervision/what-do-practice-supervisors-do/" \t "C:/Users/HP/Documents/_new" </w:instrText>
      </w:r>
      <w:r>
        <w:rPr>
          <w:rFonts w:hint="default" w:ascii="Arial" w:hAnsi="Arial" w:cs="Arial"/>
          <w:color w:val="auto"/>
          <w:sz w:val="22"/>
          <w:szCs w:val="22"/>
          <w:lang w:val="en-US"/>
        </w:rPr>
        <w:fldChar w:fldCharType="separate"/>
      </w:r>
      <w:r>
        <w:rPr>
          <w:rStyle w:val="7"/>
          <w:rFonts w:hint="default" w:ascii="Arial" w:hAnsi="Arial" w:cs="Arial"/>
          <w:color w:val="auto"/>
          <w:sz w:val="22"/>
          <w:szCs w:val="22"/>
          <w:u w:val="single"/>
          <w:lang w:val="en-US"/>
        </w:rPr>
        <w:t>https://www.nmc.org.uk/supporting-information-on-standards-for-student-supervision-and-assessment/practice-supervision/what-do-practice-supervisors-do/</w:t>
      </w:r>
      <w:r>
        <w:rPr>
          <w:rFonts w:hint="default" w:ascii="Arial" w:hAnsi="Arial" w:cs="Arial"/>
          <w:color w:val="auto"/>
          <w:sz w:val="22"/>
          <w:szCs w:val="22"/>
          <w:lang w:val="en-US"/>
        </w:rPr>
        <w:fldChar w:fldCharType="end"/>
      </w:r>
      <w:r>
        <w:rPr>
          <w:rFonts w:hint="default" w:ascii="Arial" w:hAnsi="Arial" w:cs="Arial"/>
          <w:color w:val="auto"/>
          <w:sz w:val="22"/>
          <w:szCs w:val="22"/>
          <w:lang w:val="en-US"/>
        </w:rPr>
        <w:t xml:space="preserve"> (Accessed: [insert date]).</w:t>
      </w:r>
    </w:p>
    <w:p w14:paraId="5583EEED">
      <w:pPr>
        <w:pStyle w:val="8"/>
        <w:keepNext w:val="0"/>
        <w:keepLines w:val="0"/>
        <w:pageBreakBefore w:val="0"/>
        <w:widowControl/>
        <w:kinsoku/>
        <w:wordWrap/>
        <w:overflowPunct/>
        <w:topLinePunct w:val="0"/>
        <w:autoSpaceDE/>
        <w:autoSpaceDN/>
        <w:bidi w:val="0"/>
        <w:adjustRightInd/>
        <w:snapToGrid/>
        <w:spacing w:beforeAutospacing="0" w:afterAutospacing="0" w:line="360" w:lineRule="auto"/>
        <w:ind w:left="540" w:leftChars="50" w:hanging="440" w:hangingChars="200"/>
        <w:textAlignment w:val="auto"/>
        <w:rPr>
          <w:rFonts w:hint="default" w:ascii="Arial" w:hAnsi="Arial" w:cs="Arial"/>
          <w:color w:val="auto"/>
          <w:sz w:val="22"/>
          <w:szCs w:val="22"/>
          <w:lang w:val="en-US"/>
        </w:rPr>
      </w:pPr>
      <w:r>
        <w:rPr>
          <w:rFonts w:hint="default" w:ascii="Arial" w:hAnsi="Arial" w:cs="Arial"/>
          <w:color w:val="auto"/>
          <w:sz w:val="22"/>
          <w:szCs w:val="22"/>
          <w:lang w:val="en-US"/>
        </w:rPr>
        <w:t xml:space="preserve">Rolfe, G., Freshwater, D. and Jasper, M. (2001) </w:t>
      </w:r>
      <w:r>
        <w:rPr>
          <w:rStyle w:val="5"/>
          <w:rFonts w:hint="default" w:ascii="Arial" w:hAnsi="Arial" w:cs="Arial"/>
          <w:color w:val="auto"/>
          <w:sz w:val="22"/>
          <w:szCs w:val="22"/>
          <w:lang w:val="en-US"/>
        </w:rPr>
        <w:t>Critical reflection for nursing and the helping professions: A user’s guide</w:t>
      </w:r>
      <w:r>
        <w:rPr>
          <w:rFonts w:hint="default" w:ascii="Arial" w:hAnsi="Arial" w:cs="Arial"/>
          <w:color w:val="auto"/>
          <w:sz w:val="22"/>
          <w:szCs w:val="22"/>
          <w:lang w:val="en-US"/>
        </w:rPr>
        <w:t>. Basingstoke: Palgrave Macmillan.</w:t>
      </w:r>
    </w:p>
    <w:p w14:paraId="7797842E">
      <w:pPr>
        <w:pStyle w:val="8"/>
        <w:keepNext w:val="0"/>
        <w:keepLines w:val="0"/>
        <w:pageBreakBefore w:val="0"/>
        <w:widowControl/>
        <w:kinsoku/>
        <w:wordWrap/>
        <w:overflowPunct/>
        <w:topLinePunct w:val="0"/>
        <w:autoSpaceDE/>
        <w:autoSpaceDN/>
        <w:bidi w:val="0"/>
        <w:adjustRightInd/>
        <w:snapToGrid/>
        <w:spacing w:beforeAutospacing="0" w:afterAutospacing="0" w:line="360" w:lineRule="auto"/>
        <w:ind w:left="540" w:leftChars="50" w:hanging="440" w:hangingChars="200"/>
        <w:textAlignment w:val="auto"/>
        <w:rPr>
          <w:rFonts w:hint="default" w:ascii="Arial" w:hAnsi="Arial" w:cs="Arial"/>
          <w:color w:val="auto"/>
          <w:sz w:val="22"/>
          <w:szCs w:val="22"/>
          <w:lang w:val="en-US"/>
        </w:rPr>
      </w:pPr>
      <w:r>
        <w:rPr>
          <w:rFonts w:hint="default" w:ascii="Arial" w:hAnsi="Arial" w:cs="Arial"/>
          <w:color w:val="auto"/>
          <w:sz w:val="22"/>
          <w:szCs w:val="22"/>
          <w:lang w:val="en-US"/>
        </w:rPr>
        <w:t xml:space="preserve">Svensberg, K., Kaae, S., Mottelson, N.B. and Persson, C.L. (2025) ‘Identifying critical elements in using question prompt lists at the pharmacy counter to induce patient activation’, </w:t>
      </w:r>
      <w:r>
        <w:rPr>
          <w:rStyle w:val="5"/>
          <w:rFonts w:hint="default" w:ascii="Arial" w:hAnsi="Arial" w:cs="Arial"/>
          <w:color w:val="auto"/>
          <w:sz w:val="22"/>
          <w:szCs w:val="22"/>
          <w:lang w:val="en-US"/>
        </w:rPr>
        <w:t>Research in Social and Administrative Pharmacy</w:t>
      </w:r>
      <w:r>
        <w:rPr>
          <w:rFonts w:hint="default" w:ascii="Arial" w:hAnsi="Arial" w:cs="Arial"/>
          <w:color w:val="auto"/>
          <w:sz w:val="22"/>
          <w:szCs w:val="22"/>
          <w:lang w:val="en-US"/>
        </w:rPr>
        <w:t xml:space="preserve">, 21(2), pp.74–84. </w:t>
      </w:r>
      <w:r>
        <w:rPr>
          <w:rFonts w:hint="default" w:ascii="Arial" w:hAnsi="Arial" w:cs="Arial"/>
          <w:color w:val="auto"/>
          <w:sz w:val="22"/>
          <w:szCs w:val="22"/>
          <w:lang w:val="en-US"/>
        </w:rPr>
        <w:fldChar w:fldCharType="begin"/>
      </w:r>
      <w:r>
        <w:rPr>
          <w:rFonts w:hint="default" w:ascii="Arial" w:hAnsi="Arial" w:cs="Arial"/>
          <w:color w:val="auto"/>
          <w:sz w:val="22"/>
          <w:szCs w:val="22"/>
          <w:lang w:val="en-US"/>
        </w:rPr>
        <w:instrText xml:space="preserve"> HYPERLINK "https://doi.org/10.1016/j.sapharm.2024.10.008" \t "C:/Users/HP/Documents/_new" </w:instrText>
      </w:r>
      <w:r>
        <w:rPr>
          <w:rFonts w:hint="default" w:ascii="Arial" w:hAnsi="Arial" w:cs="Arial"/>
          <w:color w:val="auto"/>
          <w:sz w:val="22"/>
          <w:szCs w:val="22"/>
          <w:lang w:val="en-US"/>
        </w:rPr>
        <w:fldChar w:fldCharType="separate"/>
      </w:r>
      <w:r>
        <w:rPr>
          <w:rStyle w:val="7"/>
          <w:rFonts w:hint="default" w:ascii="Arial" w:hAnsi="Arial" w:cs="Arial"/>
          <w:color w:val="auto"/>
          <w:sz w:val="22"/>
          <w:szCs w:val="22"/>
          <w:u w:val="single"/>
          <w:lang w:val="en-US"/>
        </w:rPr>
        <w:t>https://doi.org/10.1016/j.sapharm.2024.10.008</w:t>
      </w:r>
      <w:r>
        <w:rPr>
          <w:rFonts w:hint="default" w:ascii="Arial" w:hAnsi="Arial" w:cs="Arial"/>
          <w:color w:val="auto"/>
          <w:sz w:val="22"/>
          <w:szCs w:val="22"/>
          <w:lang w:val="en-US"/>
        </w:rPr>
        <w:fldChar w:fldCharType="end"/>
      </w:r>
    </w:p>
    <w:p w14:paraId="6AA57984">
      <w:pPr>
        <w:pStyle w:val="8"/>
        <w:keepNext w:val="0"/>
        <w:keepLines w:val="0"/>
        <w:pageBreakBefore w:val="0"/>
        <w:widowControl/>
        <w:kinsoku/>
        <w:wordWrap/>
        <w:overflowPunct/>
        <w:topLinePunct w:val="0"/>
        <w:autoSpaceDE/>
        <w:autoSpaceDN/>
        <w:bidi w:val="0"/>
        <w:adjustRightInd/>
        <w:snapToGrid/>
        <w:spacing w:beforeAutospacing="0" w:afterAutospacing="0" w:line="360" w:lineRule="auto"/>
        <w:ind w:left="540" w:leftChars="50" w:hanging="440" w:hangingChars="200"/>
        <w:textAlignment w:val="auto"/>
        <w:rPr>
          <w:rFonts w:hint="default" w:ascii="Arial" w:hAnsi="Arial" w:cs="Arial"/>
          <w:color w:val="auto"/>
          <w:sz w:val="22"/>
          <w:szCs w:val="22"/>
          <w:lang w:val="en-US"/>
        </w:rPr>
      </w:pPr>
      <w:r>
        <w:rPr>
          <w:rFonts w:hint="default" w:ascii="Arial" w:hAnsi="Arial" w:cs="Arial"/>
          <w:color w:val="auto"/>
          <w:sz w:val="22"/>
          <w:szCs w:val="22"/>
          <w:lang w:val="en-US"/>
        </w:rPr>
        <w:t xml:space="preserve">Tofade, T., Elsner, J. and Haines, S.T. (2013) ‘Best practice strategies for effective use of questions as a teaching tool’, </w:t>
      </w:r>
      <w:r>
        <w:rPr>
          <w:rStyle w:val="5"/>
          <w:rFonts w:hint="default" w:ascii="Arial" w:hAnsi="Arial" w:cs="Arial"/>
          <w:color w:val="auto"/>
          <w:sz w:val="22"/>
          <w:szCs w:val="22"/>
          <w:lang w:val="en-US"/>
        </w:rPr>
        <w:t>American Journal of Pharmaceutical Education</w:t>
      </w:r>
      <w:r>
        <w:rPr>
          <w:rFonts w:hint="default" w:ascii="Arial" w:hAnsi="Arial" w:cs="Arial"/>
          <w:color w:val="auto"/>
          <w:sz w:val="22"/>
          <w:szCs w:val="22"/>
          <w:lang w:val="en-US"/>
        </w:rPr>
        <w:t xml:space="preserve">, 77(7), p.155. </w:t>
      </w:r>
      <w:r>
        <w:rPr>
          <w:rFonts w:hint="default" w:ascii="Arial" w:hAnsi="Arial" w:cs="Arial"/>
          <w:color w:val="auto"/>
          <w:sz w:val="22"/>
          <w:szCs w:val="22"/>
          <w:lang w:val="en-US"/>
        </w:rPr>
        <w:fldChar w:fldCharType="begin"/>
      </w:r>
      <w:r>
        <w:rPr>
          <w:rFonts w:hint="default" w:ascii="Arial" w:hAnsi="Arial" w:cs="Arial"/>
          <w:color w:val="auto"/>
          <w:sz w:val="22"/>
          <w:szCs w:val="22"/>
          <w:lang w:val="en-US"/>
        </w:rPr>
        <w:instrText xml:space="preserve"> HYPERLINK "https://doi.org/10.5688/ajpe777155" \t "C:/Users/HP/Documents/_new" </w:instrText>
      </w:r>
      <w:r>
        <w:rPr>
          <w:rFonts w:hint="default" w:ascii="Arial" w:hAnsi="Arial" w:cs="Arial"/>
          <w:color w:val="auto"/>
          <w:sz w:val="22"/>
          <w:szCs w:val="22"/>
          <w:lang w:val="en-US"/>
        </w:rPr>
        <w:fldChar w:fldCharType="separate"/>
      </w:r>
      <w:r>
        <w:rPr>
          <w:rStyle w:val="7"/>
          <w:rFonts w:hint="default" w:ascii="Arial" w:hAnsi="Arial" w:cs="Arial"/>
          <w:color w:val="auto"/>
          <w:sz w:val="22"/>
          <w:szCs w:val="22"/>
          <w:u w:val="single"/>
          <w:lang w:val="en-US"/>
        </w:rPr>
        <w:t>https://doi.org/10.5688/ajpe777155</w:t>
      </w:r>
      <w:r>
        <w:rPr>
          <w:rFonts w:hint="default" w:ascii="Arial" w:hAnsi="Arial" w:cs="Arial"/>
          <w:color w:val="auto"/>
          <w:sz w:val="22"/>
          <w:szCs w:val="22"/>
          <w:lang w:val="en-US"/>
        </w:rPr>
        <w:fldChar w:fldCharType="end"/>
      </w:r>
    </w:p>
    <w:p w14:paraId="18A74ED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540" w:leftChars="50" w:right="0" w:hanging="440" w:hangingChars="200"/>
        <w:jc w:val="both"/>
        <w:textAlignment w:val="auto"/>
        <w:rPr>
          <w:rFonts w:hint="default" w:ascii="Arial" w:hAnsi="Arial" w:cs="Arial"/>
          <w:b/>
          <w:bCs/>
          <w:color w:val="auto"/>
          <w:sz w:val="22"/>
          <w:szCs w:val="22"/>
          <w:lang w:val="en-US"/>
        </w:rPr>
      </w:pPr>
    </w:p>
    <w:p w14:paraId="14E5AF9E">
      <w:pPr>
        <w:keepNext w:val="0"/>
        <w:keepLines w:val="0"/>
        <w:pageBreakBefore w:val="0"/>
        <w:widowControl/>
        <w:kinsoku/>
        <w:wordWrap/>
        <w:overflowPunct/>
        <w:topLinePunct w:val="0"/>
        <w:autoSpaceDE/>
        <w:autoSpaceDN/>
        <w:bidi w:val="0"/>
        <w:adjustRightInd/>
        <w:snapToGrid/>
        <w:spacing w:beforeAutospacing="0" w:afterAutospacing="0" w:line="360" w:lineRule="auto"/>
        <w:textAlignment w:val="auto"/>
        <w:rPr>
          <w:rFonts w:hint="default" w:ascii="Arial" w:hAnsi="Arial" w:cs="Arial"/>
          <w:color w:val="auto"/>
          <w:sz w:val="22"/>
          <w:szCs w:val="22"/>
          <w:lang w:val="en-US"/>
        </w:rPr>
      </w:pPr>
    </w:p>
    <w:sectPr>
      <w:pgSz w:w="11906" w:h="16838"/>
      <w:pgMar w:top="1440" w:right="1800" w:bottom="1440" w:left="1800" w:header="720" w:footer="720" w:gutter="0"/>
      <w:paperSrc/>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Verdana">
    <w:panose1 w:val="020B0604030504040204"/>
    <w:charset w:val="00"/>
    <w:family w:val="auto"/>
    <w:pitch w:val="default"/>
    <w:sig w:usb0="A00006FF" w:usb1="4000205B" w:usb2="00000010" w:usb3="00000000" w:csb0="2000019F" w:csb1="00000000"/>
  </w:font>
  <w:font w:name="Calibri Light">
    <w:panose1 w:val="020F0302020204030204"/>
    <w:charset w:val="00"/>
    <w:family w:val="auto"/>
    <w:pitch w:val="default"/>
    <w:sig w:usb0="E4002EFF" w:usb1="C200247B" w:usb2="00000009" w:usb3="00000000" w:csb0="200001FF" w:csb1="00000000"/>
  </w:font>
  <w:font w:name="Showcard Gothic">
    <w:panose1 w:val="04020904020102020604"/>
    <w:charset w:val="00"/>
    <w:family w:val="auto"/>
    <w:pitch w:val="default"/>
    <w:sig w:usb0="00000003" w:usb1="00000000" w:usb2="00000000" w:usb3="00000000" w:csb0="20000001" w:csb1="00000000"/>
  </w:font>
  <w:font w:name="Segoe UI Variable Small Semilight">
    <w:panose1 w:val="00000000000000000000"/>
    <w:charset w:val="00"/>
    <w:family w:val="auto"/>
    <w:pitch w:val="default"/>
    <w:sig w:usb0="A00002FF" w:usb1="0000000B" w:usb2="00000000" w:usb3="00000000" w:csb0="2000019F" w:csb1="00000000"/>
  </w:font>
  <w:font w:name="Segoe UI Variable Display">
    <w:panose1 w:val="00000000000000000000"/>
    <w:charset w:val="00"/>
    <w:family w:val="auto"/>
    <w:pitch w:val="default"/>
    <w:sig w:usb0="A00002FF" w:usb1="0000000B" w:usb2="00000000" w:usb3="00000000" w:csb0="2000019F" w:csb1="00000000"/>
  </w:font>
  <w:font w:name="Segoe UI Symbol">
    <w:panose1 w:val="020B0502040204020203"/>
    <w:charset w:val="00"/>
    <w:family w:val="auto"/>
    <w:pitch w:val="default"/>
    <w:sig w:usb0="800001E3" w:usb1="1200FFEF" w:usb2="00040000" w:usb3="04000000" w:csb0="00000001" w:csb1="40000000"/>
  </w:font>
  <w:font w:name="Segoe UI Historic">
    <w:panose1 w:val="020B0502040204020203"/>
    <w:charset w:val="00"/>
    <w:family w:val="auto"/>
    <w:pitch w:val="default"/>
    <w:sig w:usb0="800001EF" w:usb1="02000002" w:usb2="0060C080" w:usb3="00000002" w:csb0="00000001" w:csb1="40000000"/>
  </w:font>
  <w:font w:name="Haettenschweiler">
    <w:panose1 w:val="020B0706040902060204"/>
    <w:charset w:val="00"/>
    <w:family w:val="auto"/>
    <w:pitch w:val="default"/>
    <w:sig w:usb0="00000287" w:usb1="00000000" w:usb2="00000000" w:usb3="00000000" w:csb0="2000009F" w:csb1="DFD70000"/>
  </w:font>
  <w:font w:name="Sylfaen">
    <w:panose1 w:val="010A0502050306030303"/>
    <w:charset w:val="00"/>
    <w:family w:val="auto"/>
    <w:pitch w:val="default"/>
    <w:sig w:usb0="04000687" w:usb1="00000000" w:usb2="00000000" w:usb3="00000000" w:csb0="2000009F" w:csb1="00000000"/>
  </w:font>
  <w:font w:name="Segoe UI Semilight">
    <w:panose1 w:val="020B0402040204020203"/>
    <w:charset w:val="00"/>
    <w:family w:val="auto"/>
    <w:pitch w:val="default"/>
    <w:sig w:usb0="E4002EFF" w:usb1="C000E47F" w:usb2="00000009" w:usb3="00000000" w:csb0="200001FF" w:csb1="00000000"/>
  </w:font>
  <w:font w:name="Script MT Bold">
    <w:panose1 w:val="03040602040607080904"/>
    <w:charset w:val="00"/>
    <w:family w:val="auto"/>
    <w:pitch w:val="default"/>
    <w:sig w:usb0="00000003" w:usb1="00000000" w:usb2="00000000" w:usb3="00000000" w:csb0="20000001" w:csb1="00000000"/>
  </w:font>
  <w:font w:name="Stencil">
    <w:panose1 w:val="040409050D0802020404"/>
    <w:charset w:val="00"/>
    <w:family w:val="auto"/>
    <w:pitch w:val="default"/>
    <w:sig w:usb0="00000003" w:usb1="00000000" w:usb2="00000000" w:usb3="00000000" w:csb0="20000001" w:csb1="00000000"/>
  </w:font>
  <w:font w:name="Snap ITC">
    <w:panose1 w:val="04040A07060A02020202"/>
    <w:charset w:val="00"/>
    <w:family w:val="auto"/>
    <w:pitch w:val="default"/>
    <w:sig w:usb0="00000003" w:usb1="00000000" w:usb2="00000000" w:usb3="00000000" w:csb0="20000001" w:csb1="00000000"/>
  </w:font>
  <w:font w:name="Sitka Text Semibold">
    <w:panose1 w:val="00000000000000000000"/>
    <w:charset w:val="00"/>
    <w:family w:val="auto"/>
    <w:pitch w:val="default"/>
    <w:sig w:usb0="A00002EF" w:usb1="4000204B" w:usb2="00000000" w:usb3="00000000" w:csb0="2000019F" w:csb1="00000000"/>
  </w:font>
  <w:font w:name="Cambria Math">
    <w:panose1 w:val="02040503050406030204"/>
    <w:charset w:val="00"/>
    <w:family w:val="auto"/>
    <w:pitch w:val="variable"/>
    <w:sig w:usb0="E00006FF" w:usb1="420024FF" w:usb2="02000000" w:usb3="00000000" w:csb0="2000019F" w:csb1="00000000"/>
  </w:font>
  <w:font w:name="DengXian">
    <w:altName w:val="SimSun"/>
    <w:panose1 w:val="02010600030101010101"/>
    <w:charset w:val="86"/>
    <w:family w:val="auto"/>
    <w:pitch w:val="variable"/>
    <w:sig w:usb0="A00002BF" w:usb1="38CF7CFA" w:usb2="00000016" w:usb3="00000000" w:csb0="0004000F" w:csb1="00000000"/>
  </w:font>
  <w:font w:name="@DengXian">
    <w:altName w:val="SimSun"/>
    <w:panose1 w:val="02010600030101010101"/>
    <w:charset w:val="86"/>
    <w:family w:val="auto"/>
    <w:pitch w:val="variable"/>
    <w:sig w:usb0="A00002BF" w:usb1="38CF7CFA" w:usb2="00000016" w:usb3="00000000" w:csb0="0004000F" w:csb1="00000000"/>
  </w:font>
  <w:font w:name="@SimSun">
    <w:panose1 w:val="02010600030101010101"/>
    <w:charset w:val="86"/>
    <w:family w:val="auto"/>
    <w:pitch w:val="variable"/>
    <w:sig w:usb0="00000203" w:usb1="288F0000" w:usb2="00000006" w:usb3="00000000" w:csb0="00040001" w:csb1="00000000"/>
  </w:font>
  <w:font w:name="Segoe UI Variable Text Semilight">
    <w:panose1 w:val="00000000000000000000"/>
    <w:charset w:val="00"/>
    <w:family w:val="auto"/>
    <w:pitch w:val="default"/>
    <w:sig w:usb0="A00002FF" w:usb1="0000000B" w:usb2="00000000" w:usb3="00000000" w:csb0="2000019F" w:csb1="00000000"/>
  </w:font>
  <w:font w:name="Segoe UI Variable Text Semibold">
    <w:panose1 w:val="00000000000000000000"/>
    <w:charset w:val="00"/>
    <w:family w:val="auto"/>
    <w:pitch w:val="default"/>
    <w:sig w:usb0="A00002FF" w:usb1="0000000B"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995747"/>
    <w:rsid w:val="0D995747"/>
    <w:rsid w:val="4BA666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link w:val="10"/>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FollowedHyperlink"/>
    <w:uiPriority w:val="0"/>
    <w:rPr>
      <w:color w:val="954F72"/>
      <w:u w:val="single"/>
    </w:rPr>
  </w:style>
  <w:style w:type="character" w:styleId="7">
    <w:name w:val="Hyperlink"/>
    <w:basedOn w:val="3"/>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3"/>
    <w:qFormat/>
    <w:uiPriority w:val="0"/>
    <w:rPr>
      <w:b/>
      <w:bCs/>
    </w:rPr>
  </w:style>
  <w:style w:type="character" w:customStyle="1" w:styleId="10">
    <w:name w:val="Heading 2 Char"/>
    <w:link w:val="2"/>
    <w:uiPriority w:val="0"/>
    <w:rPr>
      <w:rFonts w:hint="eastAsia" w:ascii="SimSun" w:hAnsi="SimSun" w:eastAsia="SimSun" w:cs="SimSun"/>
      <w:b/>
      <w:bCs/>
      <w:sz w:val="36"/>
      <w:szCs w:val="36"/>
      <w:lang w:val="en-US" w:eastAsia="zh-CN"/>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1024</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2026-04-20T10:46:00Z</dcterms:created>
  <dc:creator>HP</dc:creator>
  <cp:lastModifiedBy>HP</cp:lastModifiedBy>
  <dcterms:modified xsi:type="dcterms:W3CDTF">2026-04-21T10:35:39Z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CE2320111AE746F38BC0E7DD46D47FE1_13</vt:lpwstr>
  </property>
</Properties>
</file>