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48"/>
        </w:rPr>
        <w:t>🧠 NEURAL NEXUS</w:t>
      </w:r>
    </w:p>
    <w:p>
      <w:pPr>
        <w:jc w:val="center"/>
      </w:pPr>
      <w:r>
        <w:rPr>
          <w:b/>
          <w:color w:val="2F75B5"/>
          <w:sz w:val="36"/>
        </w:rPr>
        <w:t>Fundamentos de Neurociências</w:t>
      </w:r>
    </w:p>
    <w:p>
      <w:pPr>
        <w:jc w:val="center"/>
      </w:pPr>
      <w:r>
        <w:rPr>
          <w:b/>
          <w:color w:val="7030A0"/>
          <w:sz w:val="40"/>
        </w:rPr>
        <w:t>MAPA CURRICULAR MESTRE DA COLEÇÃO</w:t>
      </w:r>
    </w:p>
    <w:p>
      <w:pPr>
        <w:jc w:val="center"/>
      </w:pPr>
      <w:r>
        <w:rPr>
          <w:color w:val="263238"/>
          <w:sz w:val="20"/>
        </w:rPr>
        <w:t>Documento de governança editorial e guia de produção • versão 2.0 • 25/09/2026</w:t>
      </w:r>
    </w:p>
    <w:p>
      <w:pPr>
        <w:jc w:val="center"/>
      </w:pPr>
      <w:r>
        <w:rPr>
          <w:i/>
          <w:sz w:val="22"/>
        </w:rPr>
        <w:t>Do mapa conceitual ao mecanismo biológico — sem perder o fio da arquitetura do conhecimento.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2F8"/>
          </w:tcPr>
          <w:p>
            <w:r>
              <w:rPr>
                <w:b/>
                <w:color w:val="17365D"/>
              </w:rPr>
              <w:t>FRASE-GUIA</w:t>
              <w:br/>
            </w:r>
            <w:r>
              <w:rPr>
                <w:sz w:val="20"/>
              </w:rPr>
              <w:t>“Não decorar o cérebro. Aprender a raciocinar sobre ele.”</w:t>
            </w:r>
          </w:p>
        </w:tc>
      </w:tr>
    </w:tbl>
    <w:p/>
    <w:p>
      <w:pPr>
        <w:pStyle w:val="Heading1"/>
      </w:pPr>
      <w:r>
        <w:t>1. Propósito e função deste documento</w:t>
      </w:r>
    </w:p>
    <w:p>
      <w:r>
        <w:t>Este documento é o contrato curricular e editorial da coleção NEURAL NEXUS — Fundamentos de Neurociências. Ele define a arquitetura de aprendizagem, a separação entre Série A, Série B e a Camada transversal — Biologia Base, os pré-requisitos, os arquétipos visuais aprovados, os critérios de produção e os controles de qualidade.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4F8"/>
          </w:tcPr>
          <w:p>
            <w:r>
              <w:rPr>
                <w:b/>
                <w:color w:val="17365D"/>
              </w:rPr>
              <w:t>REGRA CENTRAL</w:t>
              <w:br/>
            </w:r>
            <w:r>
              <w:rPr>
                <w:sz w:val="20"/>
              </w:rPr>
              <w:t>Nenhum novo infográfico entra na coleção apenas porque o tema é interessante. Ele precisa ocupar um lugar identificável no mapa, possuir pré-requisitos definidos e contribuir para a progressão de aprendizagem.</w:t>
            </w:r>
          </w:p>
        </w:tc>
      </w:tr>
    </w:tbl>
    <w:p/>
    <w:p>
      <w:pPr>
        <w:pStyle w:val="Heading1"/>
      </w:pPr>
      <w:r>
        <w:t>2. Objetivo de aprendizagem da coleção</w:t>
      </w:r>
    </w:p>
    <w:p>
      <w:r>
        <w:t>Construir uma base biológica, celular, fisiológica e conceitual suficientemente sólida para que um aluno sem formação em Ciências Biológicas consiga estudar Neurociências sem depender de memorização isolada de termos.</w:t>
      </w:r>
    </w:p>
    <w:p>
      <w:pPr>
        <w:pStyle w:val="ListBullet"/>
      </w:pPr>
      <w:r>
        <w:t>Compreender o sistema nervoso como sistema biológico integrado.</w:t>
      </w:r>
    </w:p>
    <w:p>
      <w:pPr>
        <w:pStyle w:val="ListBullet"/>
      </w:pPr>
      <w:r>
        <w:t>Relacionar escala → estrutura → mecanismo → função → comportamento.</w:t>
      </w:r>
    </w:p>
    <w:p>
      <w:pPr>
        <w:pStyle w:val="ListBullet"/>
      </w:pPr>
      <w:r>
        <w:t>Reconhecer níveis molecular, celular, sináptico, circuital, sistêmico e comportamental.</w:t>
      </w:r>
    </w:p>
    <w:p>
      <w:pPr>
        <w:pStyle w:val="ListBullet"/>
      </w:pPr>
      <w:r>
        <w:t>Entender a lógica elétrica e química da comunicação neural.</w:t>
      </w:r>
    </w:p>
    <w:p>
      <w:pPr>
        <w:pStyle w:val="ListBullet"/>
      </w:pPr>
      <w:r>
        <w:t>Construir vocabulário anatômico, histológico, fisiológico e neuroquímico.</w:t>
      </w:r>
    </w:p>
    <w:p>
      <w:pPr>
        <w:pStyle w:val="ListBullet"/>
      </w:pPr>
      <w:r>
        <w:t>Interpretar figuras e esquemas neurocientíficos sem depender de explicações externas básicas.</w:t>
      </w:r>
    </w:p>
    <w:p>
      <w:pPr>
        <w:pStyle w:val="ListBullet"/>
      </w:pPr>
      <w:r>
        <w:t>Distinguir associação, mecanismo, correlação e causalidade.</w:t>
      </w:r>
    </w:p>
    <w:p>
      <w:pPr>
        <w:pStyle w:val="ListBullet"/>
      </w:pPr>
      <w:r>
        <w:t>Desenvolver leitura crítica de evidências neurocientíficas.</w:t>
      </w:r>
    </w:p>
    <w:p>
      <w:pPr>
        <w:pStyle w:val="ListBullet"/>
      </w:pPr>
      <w:r>
        <w:t>Conectar fundamentos à aprendizagem, memória, comportamento, saúde, tecnologia e pesquisa.</w:t>
      </w:r>
    </w:p>
    <w:p>
      <w:pPr>
        <w:pStyle w:val="Heading1"/>
      </w:pPr>
      <w:r>
        <w:t>3. Fontes-base e hierarquia de autoridade</w:t>
      </w:r>
    </w:p>
    <w:p>
      <w:r>
        <w:t>A coleção nasce da disciplina Fundamentos de Neurociência e usa o e-book e os slides como espinha dorsal curricular. Os materiais complementares fornecidos no projeto ampliam contexto e vocabulário.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4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237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Fonte</w:t>
            </w:r>
          </w:p>
        </w:tc>
        <w:tc>
          <w:tcPr>
            <w:tcW w:type="dxa" w:w="302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  <w:tc>
          <w:tcPr>
            <w:tcW w:type="dxa" w:w="316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Regra</w:t>
            </w:r>
          </w:p>
        </w:tc>
      </w:tr>
      <w:tr>
        <w:tc>
          <w:tcPr>
            <w:tcW w:type="dxa" w:w="19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L1 — Currículo oficial</w:t>
            </w:r>
          </w:p>
        </w:tc>
        <w:tc>
          <w:tcPr>
            <w:tcW w:type="dxa" w:w="237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E-book + Slide da Unidade</w:t>
            </w:r>
          </w:p>
        </w:tc>
        <w:tc>
          <w:tcPr>
            <w:tcW w:type="dxa" w:w="30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Definir núcleo obrigatório</w:t>
            </w:r>
          </w:p>
        </w:tc>
        <w:tc>
          <w:tcPr>
            <w:tcW w:type="dxa" w:w="316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Não remover temas oficiais do mapa.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L2 — Biologia Base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Coleção planejada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Preencher pré-requisitos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Não virar disciplina paralela.</w:t>
            </w:r>
          </w:p>
        </w:tc>
      </w:tr>
      <w:tr>
        <w:tc>
          <w:tcPr>
            <w:tcW w:type="dxa" w:w="19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L3 — Evidência científica</w:t>
            </w:r>
          </w:p>
        </w:tc>
        <w:tc>
          <w:tcPr>
            <w:tcW w:type="dxa" w:w="237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Literatura científica</w:t>
            </w:r>
          </w:p>
        </w:tc>
        <w:tc>
          <w:tcPr>
            <w:tcW w:type="dxa" w:w="30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Corrigir simplificações e aprofundar mecanismos</w:t>
            </w:r>
          </w:p>
        </w:tc>
        <w:tc>
          <w:tcPr>
            <w:tcW w:type="dxa" w:w="316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Distinguir claramente de conteúdo-base.</w:t>
            </w:r>
          </w:p>
        </w:tc>
      </w:tr>
      <w:tr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L4 — Visual</w:t>
            </w:r>
          </w:p>
        </w:tc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Infográficos próprios + referências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Traduzir conhecimento para aprendizagem visual</w:t>
            </w:r>
          </w:p>
        </w:tc>
        <w:tc>
          <w:tcPr>
            <w:tcW w:type="dxa" w:w="316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Referência estética não vira cópia.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4F8"/>
          </w:tcPr>
          <w:p>
            <w:r>
              <w:rPr>
                <w:b/>
                <w:color w:val="17365D"/>
              </w:rPr>
              <w:t>REGRA DE INTEGRIDADE CIENTÍFICA</w:t>
              <w:br/>
            </w:r>
            <w:r>
              <w:rPr>
                <w:sz w:val="20"/>
              </w:rPr>
              <w:t>O material oficial é referência curricular, não licença para reproduzir simplificações como se fossem a descrição científica completa. Quando uma peça for refinada por evidência externa, a revisão deve ser explícita.</w:t>
            </w:r>
          </w:p>
        </w:tc>
      </w:tr>
    </w:tbl>
    <w:p/>
    <w:p>
      <w:pPr>
        <w:pStyle w:val="Heading1"/>
      </w:pPr>
      <w:r>
        <w:t>4. Arquitetura geral da coleção</w:t>
      </w:r>
    </w:p>
    <w:p>
      <w:pPr>
        <w:pStyle w:val="Heading2"/>
      </w:pPr>
      <w:r>
        <w:t>Modelo cognitivo central:</w:t>
      </w:r>
    </w:p>
    <w:p>
      <w:pPr>
        <w:jc w:val="center"/>
      </w:pPr>
      <w:r>
        <w:rPr>
          <w:b/>
          <w:color w:val="00A6C7"/>
          <w:sz w:val="30"/>
        </w:rPr>
        <w:t>ESCALA  →  ESTRUTURA  →  MECANISMO  →  FUNÇÃO  →  COMPORTAMENTO</w:t>
      </w:r>
    </w:p>
    <w:p>
      <w:r>
        <w:t>Essa sequência é um princípio de raciocínio, não um template visual. Cada tema deve responder, quando aplicável: onde está? do que é feito? como funciona? para que serve? como participa de fenômenos neurais e comportamentais?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0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Camada</w:t>
            </w:r>
          </w:p>
        </w:tc>
        <w:tc>
          <w:tcPr>
            <w:tcW w:type="dxa" w:w="403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Função</w:t>
            </w:r>
          </w:p>
        </w:tc>
        <w:tc>
          <w:tcPr>
            <w:tcW w:type="dxa" w:w="194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Profundidade</w:t>
            </w:r>
          </w:p>
        </w:tc>
        <w:tc>
          <w:tcPr>
            <w:tcW w:type="dxa" w:w="302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7"/>
              </w:rPr>
              <w:t>Regra visual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Série A — Conceitos Essenciais</w:t>
            </w:r>
          </w:p>
        </w:tc>
        <w:tc>
          <w:tcPr>
            <w:tcW w:type="dxa" w:w="403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Mapas, conceitos, relações, comparações, classificações e modelos mentais.</w:t>
            </w:r>
          </w:p>
        </w:tc>
        <w:tc>
          <w:tcPr>
            <w:tcW w:type="dxa" w:w="19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Conceitual / moderada</w:t>
            </w:r>
          </w:p>
        </w:tc>
        <w:tc>
          <w:tcPr>
            <w:tcW w:type="dxa" w:w="30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Preservar DNA visual, mas variar arquitetura conforme o problema.</w:t>
            </w:r>
          </w:p>
        </w:tc>
      </w:tr>
      <w:tr>
        <w:tc>
          <w:tcPr>
            <w:tcW w:type="dxa" w:w="230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Série B — NeuroAtlas (Zoom)</w:t>
            </w:r>
          </w:p>
        </w:tc>
        <w:tc>
          <w:tcPr>
            <w:tcW w:type="dxa" w:w="403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Mostrar anatomia, fisiologia, bioquímica e mecanismos em zoom progressivo.</w:t>
            </w:r>
          </w:p>
        </w:tc>
        <w:tc>
          <w:tcPr>
            <w:tcW w:type="dxa" w:w="19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Mecanística / aprofundada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B-MASTER-01 é o núcleo editorial; herdar arquitetura, não copiar composição.</w:t>
            </w:r>
          </w:p>
        </w:tc>
      </w:tr>
      <w:tr>
        <w:tc>
          <w:tcPr>
            <w:tcW w:type="dxa" w:w="230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Biologia Base — transversal</w:t>
            </w:r>
          </w:p>
        </w:tc>
        <w:tc>
          <w:tcPr>
            <w:tcW w:type="dxa" w:w="403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Eliminar gargalos conceituais necessários para interpretar a Série B.</w:t>
            </w:r>
          </w:p>
        </w:tc>
        <w:tc>
          <w:tcPr>
            <w:tcW w:type="dxa" w:w="19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Fundacional</w:t>
            </w:r>
          </w:p>
        </w:tc>
        <w:tc>
          <w:tcPr>
            <w:tcW w:type="dxa" w:w="302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7"/>
              </w:rPr>
              <w:t>Usar arquétipos da Série A quando adequados; não confundir com Série A principal.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4F8"/>
          </w:tcPr>
          <w:p>
            <w:r>
              <w:rPr>
                <w:b/>
                <w:color w:val="17365D"/>
              </w:rPr>
              <w:t>REGRA TAXONÔMICA</w:t>
              <w:br/>
            </w:r>
            <w:r>
              <w:rPr>
                <w:sz w:val="20"/>
              </w:rPr>
              <w:t>A01–A20 pertencem à Série A — Conceitos Essenciais. A01.1–A01.10 pertencem à sequência didática da Camada transversal — Biologia Base, Módulo 01. A notação A01.x não deve ser interpretada como item da Série A principal.</w:t>
            </w:r>
          </w:p>
        </w:tc>
      </w:tr>
    </w:tbl>
    <w:p/>
    <w:p>
      <w:pPr>
        <w:pStyle w:val="Heading1"/>
      </w:pPr>
      <w:r>
        <w:t>5. Matriz curricular mestre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79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Módulo</w:t>
            </w:r>
          </w:p>
        </w:tc>
        <w:tc>
          <w:tcPr>
            <w:tcW w:type="dxa" w:w="180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Núcleo</w:t>
            </w:r>
          </w:p>
        </w:tc>
        <w:tc>
          <w:tcPr>
            <w:tcW w:type="dxa" w:w="266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Série A</w:t>
            </w:r>
          </w:p>
        </w:tc>
        <w:tc>
          <w:tcPr>
            <w:tcW w:type="dxa" w:w="30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Série B</w:t>
            </w:r>
          </w:p>
        </w:tc>
        <w:tc>
          <w:tcPr>
            <w:tcW w:type="dxa" w:w="172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Pré-requisitos</w:t>
            </w:r>
          </w:p>
        </w:tc>
        <w:tc>
          <w:tcPr>
            <w:tcW w:type="dxa" w:w="129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79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01</w:t>
            </w:r>
          </w:p>
        </w:tc>
        <w:tc>
          <w:tcPr>
            <w:tcW w:type="dxa" w:w="18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Biologia celular para Neurociência</w:t>
            </w:r>
          </w:p>
        </w:tc>
        <w:tc>
          <w:tcPr>
            <w:tcW w:type="dxa" w:w="26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Célula; membrana; organelas; compartimentos; transporte</w:t>
            </w:r>
          </w:p>
        </w:tc>
        <w:tc>
          <w:tcPr>
            <w:tcW w:type="dxa" w:w="30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Membrana em detalhe; bicamada; proteínas; canais; bombas; gradientes; ATP; citoesqueleto</w:t>
            </w:r>
          </w:p>
        </w:tc>
        <w:tc>
          <w:tcPr>
            <w:tcW w:type="dxa" w:w="17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Biologia celular básica</w:t>
            </w:r>
          </w:p>
        </w:tc>
        <w:tc>
          <w:tcPr>
            <w:tcW w:type="dxa" w:w="12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EM PRODUÇÃO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02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Organização do sistema nervoso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SNC/SNP; somático/autônomo; simpático/parassimpático; organização geral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Encéfalo; medula; nervos; gânglios; vias; planos e eixos anatômicos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Anatomia básica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03</w:t>
            </w:r>
          </w:p>
        </w:tc>
        <w:tc>
          <w:tcPr>
            <w:tcW w:type="dxa" w:w="18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Neurônios e glia</w:t>
            </w:r>
          </w:p>
        </w:tc>
        <w:tc>
          <w:tcPr>
            <w:tcW w:type="dxa" w:w="26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Tipos neuronais; partes do neurônio; funções gerais da glia</w:t>
            </w:r>
          </w:p>
        </w:tc>
        <w:tc>
          <w:tcPr>
            <w:tcW w:type="dxa" w:w="30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Soma; dendritos; axônio; mielina; astrócitos; oligodendrócitos; Schwann; microglia; estruturas celulares</w:t>
            </w:r>
          </w:p>
        </w:tc>
        <w:tc>
          <w:tcPr>
            <w:tcW w:type="dxa" w:w="17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Módulo 01</w:t>
            </w:r>
          </w:p>
        </w:tc>
        <w:tc>
          <w:tcPr>
            <w:tcW w:type="dxa" w:w="12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04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Bioeletricidade neuronal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Sinal elétrico; potencial de repouso; potencial de ação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Íons; gradientes; canais; limiar; despolarização; repolarização; hiperpolarização; condução; refratariedade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Módulo 01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05</w:t>
            </w:r>
          </w:p>
        </w:tc>
        <w:tc>
          <w:tcPr>
            <w:tcW w:type="dxa" w:w="18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Comunicação sináptica</w:t>
            </w:r>
          </w:p>
        </w:tc>
        <w:tc>
          <w:tcPr>
            <w:tcW w:type="dxa" w:w="26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Sinapse; neurotransmissão; receptor; excitação/inibição</w:t>
            </w:r>
          </w:p>
        </w:tc>
        <w:tc>
          <w:tcPr>
            <w:tcW w:type="dxa" w:w="30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Ca²⁺; vesículas; exocitose; fenda; receptores ionotrópicos/metabotrópicos; recaptação; degradação</w:t>
            </w:r>
          </w:p>
        </w:tc>
        <w:tc>
          <w:tcPr>
            <w:tcW w:type="dxa" w:w="17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Módulos 03–04</w:t>
            </w:r>
          </w:p>
        </w:tc>
        <w:tc>
          <w:tcPr>
            <w:tcW w:type="dxa" w:w="12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06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Neuroquímica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Principais neurotransmissores e neuromodulação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Síntese; armazenamento; receptores; segundos mensageiros; circuitos; farmacologia básica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Módulo 05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07</w:t>
            </w:r>
          </w:p>
        </w:tc>
        <w:tc>
          <w:tcPr>
            <w:tcW w:type="dxa" w:w="18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Plasticidade e desenvolvimento</w:t>
            </w:r>
          </w:p>
        </w:tc>
        <w:tc>
          <w:tcPr>
            <w:tcW w:type="dxa" w:w="26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Neurogênese; migração; sinaptogênese; poda; plasticidade; LTP/LTD</w:t>
            </w:r>
          </w:p>
        </w:tc>
        <w:tc>
          <w:tcPr>
            <w:tcW w:type="dxa" w:w="30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Mecanismos celulares/moleculares; espinhas dendríticas; alteração de receptores; expressão gênica</w:t>
            </w:r>
          </w:p>
        </w:tc>
        <w:tc>
          <w:tcPr>
            <w:tcW w:type="dxa" w:w="17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Módulos 03–06</w:t>
            </w:r>
          </w:p>
        </w:tc>
        <w:tc>
          <w:tcPr>
            <w:tcW w:type="dxa" w:w="12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08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Anatomia funcional do cérebro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Lobos; principais estruturas; organização funcional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Córtex; hipocampo; amígdala; tálamo; hipotálamo; gânglios da base; cerebelo; tronco; conexões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Módulo 02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09</w:t>
            </w:r>
          </w:p>
        </w:tc>
        <w:tc>
          <w:tcPr>
            <w:tcW w:type="dxa" w:w="18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Sistemas sensoriais e motores</w:t>
            </w:r>
          </w:p>
        </w:tc>
        <w:tc>
          <w:tcPr>
            <w:tcW w:type="dxa" w:w="26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Entrada sensorial e saída motora</w:t>
            </w:r>
          </w:p>
        </w:tc>
        <w:tc>
          <w:tcPr>
            <w:tcW w:type="dxa" w:w="30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Transdução; vias; integração; córtex sensorial/motor; controle motor</w:t>
            </w:r>
          </w:p>
        </w:tc>
        <w:tc>
          <w:tcPr>
            <w:tcW w:type="dxa" w:w="17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Módulos 02–08</w:t>
            </w:r>
          </w:p>
        </w:tc>
        <w:tc>
          <w:tcPr>
            <w:tcW w:type="dxa" w:w="12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10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Atenção, memória, emoção e aprendizagem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Sistemas cognitivos e comportamentais básicos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Circuitos e mecanismos; interação entre atenção, memória, emoção e plasticidade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Módulos 05–09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11</w:t>
            </w:r>
          </w:p>
        </w:tc>
        <w:tc>
          <w:tcPr>
            <w:tcW w:type="dxa" w:w="18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Desenvolvimento e ciclo de vida</w:t>
            </w:r>
          </w:p>
        </w:tc>
        <w:tc>
          <w:tcPr>
            <w:tcW w:type="dxa" w:w="26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Do desenvolvimento pré-natal à vida adulta; plasticidade ao longo da vida</w:t>
            </w:r>
          </w:p>
        </w:tc>
        <w:tc>
          <w:tcPr>
            <w:tcW w:type="dxa" w:w="30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Neurogênese; migração; diferenciação; mielinização; poda; maturação de redes</w:t>
            </w:r>
          </w:p>
        </w:tc>
        <w:tc>
          <w:tcPr>
            <w:tcW w:type="dxa" w:w="17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Módulos 01–07</w:t>
            </w:r>
          </w:p>
        </w:tc>
        <w:tc>
          <w:tcPr>
            <w:tcW w:type="dxa" w:w="12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12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História e teorias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Marcos históricos; teoria neuronal; localização; funcionalismo; conexionismo; mente-corpo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Evidências que sustentaram/contestaram modelos; métodos históricos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Módulos 02–08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13</w:t>
            </w:r>
          </w:p>
        </w:tc>
        <w:tc>
          <w:tcPr>
            <w:tcW w:type="dxa" w:w="18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Neurociência aplicada</w:t>
            </w:r>
          </w:p>
        </w:tc>
        <w:tc>
          <w:tcPr>
            <w:tcW w:type="dxa" w:w="26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Educação; saúde mental; tecnologia; interdisciplinaridade</w:t>
            </w:r>
          </w:p>
        </w:tc>
        <w:tc>
          <w:tcPr>
            <w:tcW w:type="dxa" w:w="30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Como mecanismos básicos são traduzidos para aplicações; limites das inferências</w:t>
            </w:r>
          </w:p>
        </w:tc>
        <w:tc>
          <w:tcPr>
            <w:tcW w:type="dxa" w:w="17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Módulos 07–12</w:t>
            </w:r>
          </w:p>
        </w:tc>
        <w:tc>
          <w:tcPr>
            <w:tcW w:type="dxa" w:w="129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  <w:tr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14</w:t>
            </w:r>
          </w:p>
        </w:tc>
        <w:tc>
          <w:tcPr>
            <w:tcW w:type="dxa" w:w="180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Método, estatística e pensamento crítico</w:t>
            </w:r>
          </w:p>
        </w:tc>
        <w:tc>
          <w:tcPr>
            <w:tcW w:type="dxa" w:w="26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Estudos de caso; desenho experimental; estatística; replicabilidade; ética; argumentos</w:t>
            </w:r>
          </w:p>
        </w:tc>
        <w:tc>
          <w:tcPr>
            <w:tcW w:type="dxa" w:w="30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Como ler figuras, resultados, correlações, neuroimagem e limitações metodológicas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Base da disciplina</w:t>
            </w:r>
          </w:p>
        </w:tc>
        <w:tc>
          <w:tcPr>
            <w:tcW w:type="dxa" w:w="129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4"/>
              </w:rPr>
              <w:t>PLANEJADO</w:t>
            </w:r>
          </w:p>
        </w:tc>
      </w:tr>
    </w:tbl>
    <w:p/>
    <w:p>
      <w:pPr>
        <w:pStyle w:val="Heading1"/>
      </w:pPr>
      <w:r>
        <w:t>6. Série A — Conceitos Essenciais</w:t>
      </w:r>
    </w:p>
    <w:p>
      <w:r>
        <w:t>A Série A mostra o território. Seu papel é organizar conceitos e relações antes do zoom mecanístico. Ela deve favorecer comparação, classificação, mapa mental e raciocínio causal sem sobrecarregar com bioquímica.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86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74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Infográfico</w:t>
            </w:r>
          </w:p>
        </w:tc>
        <w:tc>
          <w:tcPr>
            <w:tcW w:type="dxa" w:w="57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Escopo</w:t>
            </w:r>
          </w:p>
        </w:tc>
      </w:tr>
      <w:tr>
        <w:tc>
          <w:tcPr>
            <w:tcW w:type="dxa" w:w="8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</w:t>
            </w:r>
          </w:p>
        </w:tc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O que é Neurociência?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Definição, objeto, níveis de análise e relação com comportamento.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O sistema nervoso como sistema de comunicação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Entrada → processamento → saída → regulação.</w:t>
            </w:r>
          </w:p>
        </w:tc>
      </w:tr>
      <w:tr>
        <w:tc>
          <w:tcPr>
            <w:tcW w:type="dxa" w:w="8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A03</w:t>
            </w:r>
          </w:p>
        </w:tc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SNC × SNP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Estrutura e função.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A04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Somático × Autônomo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Controle voluntário e involuntário; organização funcional.</w:t>
            </w:r>
          </w:p>
        </w:tc>
      </w:tr>
      <w:tr>
        <w:tc>
          <w:tcPr>
            <w:tcW w:type="dxa" w:w="8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A05</w:t>
            </w:r>
          </w:p>
        </w:tc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Simpático × Parassimpático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Regulação autonômica e homeostase.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A06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O neurônio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Dendritos, soma, axônio, terminal; lógica entrada-integração-saída.</w:t>
            </w:r>
          </w:p>
        </w:tc>
      </w:tr>
      <w:tr>
        <w:tc>
          <w:tcPr>
            <w:tcW w:type="dxa" w:w="8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A07</w:t>
            </w:r>
          </w:p>
        </w:tc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Neurônios e glia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Complementaridade funcional.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A08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Potencial de ação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Ideia geral do sinal elétrico.</w:t>
            </w:r>
          </w:p>
        </w:tc>
      </w:tr>
      <w:tr>
        <w:tc>
          <w:tcPr>
            <w:tcW w:type="dxa" w:w="8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A09</w:t>
            </w:r>
          </w:p>
        </w:tc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Sinapse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Como uma célula influencia outra.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A10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Neurotransmissores e receptores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Sinal químico e especificidade do receptor.</w:t>
            </w:r>
          </w:p>
        </w:tc>
      </w:tr>
      <w:tr>
        <w:tc>
          <w:tcPr>
            <w:tcW w:type="dxa" w:w="8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A11</w:t>
            </w:r>
          </w:p>
        </w:tc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Ionotrópico × metabotrópico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Velocidade, mecanismo e duração.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A12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Plasticidade sináptica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Fortalecimento/enfraquecimento de conexões.</w:t>
            </w:r>
          </w:p>
        </w:tc>
      </w:tr>
      <w:tr>
        <w:tc>
          <w:tcPr>
            <w:tcW w:type="dxa" w:w="8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A13</w:t>
            </w:r>
          </w:p>
        </w:tc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LTP × LTD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Dois mecanismos de alteração da eficácia sináptica.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A14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Neurogênese × sinaptogênese × poda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Desenvolvimento e remodelação.</w:t>
            </w:r>
          </w:p>
        </w:tc>
      </w:tr>
      <w:tr>
        <w:tc>
          <w:tcPr>
            <w:tcW w:type="dxa" w:w="8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A15</w:t>
            </w:r>
          </w:p>
        </w:tc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Mapa geral do cérebro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Grandes regiões e funções.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A16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Córtex cerebral e lobos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Visão introdutória.</w:t>
            </w:r>
          </w:p>
        </w:tc>
      </w:tr>
      <w:tr>
        <w:tc>
          <w:tcPr>
            <w:tcW w:type="dxa" w:w="8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A17</w:t>
            </w:r>
          </w:p>
        </w:tc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Hipocampo, amígdala, tálamo, hipotálamo, cerebelo e tronco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Funções introdutórias.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A18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Atenção e memória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Modelos conceituais.</w:t>
            </w:r>
          </w:p>
        </w:tc>
      </w:tr>
      <w:tr>
        <w:tc>
          <w:tcPr>
            <w:tcW w:type="dxa" w:w="86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A19</w:t>
            </w:r>
          </w:p>
        </w:tc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Emoção e comportamento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Circuitos e contexto.</w:t>
            </w:r>
          </w:p>
        </w:tc>
      </w:tr>
      <w:tr>
        <w:tc>
          <w:tcPr>
            <w:tcW w:type="dxa" w:w="86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A20</w:t>
            </w:r>
          </w:p>
        </w:tc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Neurociência: evidência e interpretação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Correlação, causalidade, limitações e ética.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4F8"/>
          </w:tcPr>
          <w:p>
            <w:r>
              <w:rPr>
                <w:b/>
                <w:color w:val="17365D"/>
              </w:rPr>
              <w:t>ARQUÉTIPOS VISUAIS APROVADOS — SÉRIE A</w:t>
              <w:br/>
            </w:r>
            <w:r>
              <w:rPr>
                <w:sz w:val="20"/>
              </w:rPr>
              <w:t>A-MASTER-01 — System Overview: visão geral de sistema/território. A-MASTER-02 — Structure / Function: estrutura, componentes e relação funcional. A-MASTER-03 — Energy Flow: fluxo/ciclo/processo, aprovado para A01.7. Novos arquétipos só devem ser criados quando o problema cognitivo não couber adequadamente nos existentes.</w:t>
            </w:r>
          </w:p>
        </w:tc>
      </w:tr>
    </w:tbl>
    <w:p/>
    <w:p>
      <w:pPr>
        <w:pStyle w:val="Heading1"/>
      </w:pPr>
      <w:r>
        <w:t>7. Camada transversal — Biologia Base</w:t>
      </w:r>
    </w:p>
    <w:p>
      <w:r>
        <w:t>A Biologia Base não é uma terceira série temática. É uma camada transversal para remover pré-requisitos que poderiam bloquear a compreensão dos mecanismos neurais.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367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Infográfico</w:t>
            </w:r>
          </w:p>
        </w:tc>
        <w:tc>
          <w:tcPr>
            <w:tcW w:type="dxa" w:w="561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Objetivo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A01.1</w:t>
            </w:r>
          </w:p>
        </w:tc>
        <w:tc>
          <w:tcPr>
            <w:tcW w:type="dxa" w:w="367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 célula animal como sistema</w:t>
            </w:r>
          </w:p>
        </w:tc>
        <w:tc>
          <w:tcPr>
            <w:tcW w:type="dxa" w:w="561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Visão sistêmica da célula; compartimentos e relações.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A01.2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 membrana plasmática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Bicamada, organização e função de barreira seletiva.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A01.3</w:t>
            </w:r>
          </w:p>
        </w:tc>
        <w:tc>
          <w:tcPr>
            <w:tcW w:type="dxa" w:w="367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Organelas essenciais para o neurônio</w:t>
            </w:r>
          </w:p>
        </w:tc>
        <w:tc>
          <w:tcPr>
            <w:tcW w:type="dxa" w:w="561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Organelas relevantes para energia, síntese, transporte e manutenção.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A01.4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Transporte pela membrana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Passivo, ativo primário e secundário; relação com gradientes.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A01.5</w:t>
            </w:r>
          </w:p>
        </w:tc>
        <w:tc>
          <w:tcPr>
            <w:tcW w:type="dxa" w:w="367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Gradiente de concentração</w:t>
            </w:r>
          </w:p>
        </w:tc>
        <w:tc>
          <w:tcPr>
            <w:tcW w:type="dxa" w:w="561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Gradientes químicos/eletroquímicos e movimento de solutos.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A01.6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Íons e carga elétrica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Íons, carga, potencial e base eletroquímica.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A01.7</w:t>
            </w:r>
          </w:p>
        </w:tc>
        <w:tc>
          <w:tcPr>
            <w:tcW w:type="dxa" w:w="367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ATP e energia celular</w:t>
            </w:r>
          </w:p>
        </w:tc>
        <w:tc>
          <w:tcPr>
            <w:tcW w:type="dxa" w:w="561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ATP como mediador de acoplamento energético e trabalho celular.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A01.8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Proteínas como máquinas celulares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Proteínas como componentes estruturais, canais, enzimas, motores e receptores.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A01.9</w:t>
            </w:r>
          </w:p>
        </w:tc>
        <w:tc>
          <w:tcPr>
            <w:tcW w:type="dxa" w:w="367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Homeostase celular</w:t>
            </w:r>
          </w:p>
        </w:tc>
        <w:tc>
          <w:tcPr>
            <w:tcW w:type="dxa" w:w="561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Estabilidade dinâmica e regulação de variáveis internas.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A01.10</w:t>
            </w:r>
          </w:p>
        </w:tc>
        <w:tc>
          <w:tcPr>
            <w:tcW w:type="dxa" w:w="367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Da célula ao neurônio</w:t>
            </w:r>
          </w:p>
        </w:tc>
        <w:tc>
          <w:tcPr>
            <w:tcW w:type="dxa" w:w="561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Integração dos pré-requisitos celulares na organização neuronal.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4F8"/>
          </w:tcPr>
          <w:p>
            <w:r>
              <w:rPr>
                <w:b/>
                <w:color w:val="17365D"/>
              </w:rPr>
              <w:t>CHECKPOINT ATUAL DE PRODUÇÃO</w:t>
              <w:br/>
            </w:r>
            <w:r>
              <w:rPr>
                <w:sz w:val="20"/>
              </w:rPr>
              <w:t>A01.1–A01.6 estão produzidos e auditados. A produção é retomada em A01.7 — ATP e energia celular. A01.7 deve tratar principalmente de acoplamento energético e função celular, evitando transformar a peça em uma aula de bioquímica metabólica.</w:t>
            </w:r>
          </w:p>
        </w:tc>
      </w:tr>
    </w:tbl>
    <w:p/>
    <w:p>
      <w:pPr>
        <w:pStyle w:val="Heading1"/>
      </w:pPr>
      <w:r>
        <w:t>8. Série B — NeuroAtlas (Zoom)</w:t>
      </w:r>
    </w:p>
    <w:p>
      <w:r>
        <w:t>A Série B leva o leitor para dentro do mecanismo. A imagem científica é protagonista e o texto deve explicar relações causais, escalas e limites do modelo. A identidade visual é baseada no B-MASTER-01 — NeuroAtlas / Zoom.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0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ID</w:t>
            </w:r>
          </w:p>
        </w:tc>
        <w:tc>
          <w:tcPr>
            <w:tcW w:type="dxa" w:w="352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Infográfico</w:t>
            </w:r>
          </w:p>
        </w:tc>
        <w:tc>
          <w:tcPr>
            <w:tcW w:type="dxa" w:w="57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5"/>
              </w:rPr>
              <w:t>Escopo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B01.1</w:t>
            </w:r>
          </w:p>
        </w:tc>
        <w:tc>
          <w:tcPr>
            <w:tcW w:type="dxa" w:w="35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Membrana em escala molecular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Bicamada, fosfolipídios, proteínas e canais em zoom molecular.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B01.2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Canal iônico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Poro, seletividade, estados conformacionais e fluxo passivo.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B01.3</w:t>
            </w:r>
          </w:p>
        </w:tc>
        <w:tc>
          <w:tcPr>
            <w:tcW w:type="dxa" w:w="35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Bomba Na⁺/K⁺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Ciclo Post-Albers, ATP, 3 Na⁺/2 K⁺ e manutenção de gradientes.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B01.4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Gradiente eletroquímico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Componente químico + elétrico; relação com potencial de equilíbrio.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B01.5</w:t>
            </w:r>
          </w:p>
        </w:tc>
        <w:tc>
          <w:tcPr>
            <w:tcW w:type="dxa" w:w="35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Mitocôndria neuronal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ATP, Ca²⁺, metabolismo local e transporte mitocondrial.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Proteína de membrana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Proteínas de membrana e suas funções no contexto neuronal.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B01.7</w:t>
            </w:r>
          </w:p>
        </w:tc>
        <w:tc>
          <w:tcPr>
            <w:tcW w:type="dxa" w:w="35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Comunicação celular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Elementos moleculares da comunicação e integração celular.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B01.8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Mapa de pré-requisitos para o potencial de ação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Pré-requisitos que conectam membrana, íons, gradientes e canais.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B01.9</w:t>
            </w:r>
          </w:p>
        </w:tc>
        <w:tc>
          <w:tcPr>
            <w:tcW w:type="dxa" w:w="35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Receptor ionotrópico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Canal ativado por ligante e resposta rápida.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B01.10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Receptor metabotrópico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Proteína G, efetores e sinalização intracelular.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B01.11</w:t>
            </w:r>
          </w:p>
        </w:tc>
        <w:tc>
          <w:tcPr>
            <w:tcW w:type="dxa" w:w="35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Recaptação e degradação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Remoção e encerramento do sinal químico.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B01.12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Plasticidade sináptica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Mudanças funcionais e estruturais da eficácia sináptica.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B01.13</w:t>
            </w:r>
          </w:p>
        </w:tc>
        <w:tc>
          <w:tcPr>
            <w:tcW w:type="dxa" w:w="35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LTP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Mecanismos canônicos de potenciação de longo prazo.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B01.14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LTD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Mecanismos canônicos de depressão de longo prazo.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B01.15</w:t>
            </w:r>
          </w:p>
        </w:tc>
        <w:tc>
          <w:tcPr>
            <w:tcW w:type="dxa" w:w="35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Sinapse em contexto de circuito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Integração da plasticidade no circuito.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B01.16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Homeostatic plasticity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Ajustes homeostáticos de força sináptica e excitabilidade.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B01.17</w:t>
            </w:r>
          </w:p>
        </w:tc>
        <w:tc>
          <w:tcPr>
            <w:tcW w:type="dxa" w:w="35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Development / refinement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Desenvolvimento, refinamento e reorganização de circuitos.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B01.18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Sinapse em contexto de circuito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Convergência, divergência, inibição e saída do circuito.</w:t>
            </w:r>
          </w:p>
        </w:tc>
      </w:tr>
      <w:tr>
        <w:tc>
          <w:tcPr>
            <w:tcW w:type="dxa" w:w="10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B01.19</w:t>
            </w:r>
          </w:p>
        </w:tc>
        <w:tc>
          <w:tcPr>
            <w:tcW w:type="dxa" w:w="352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Hipocampo e memória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Formação hipocampal, circuitos e caso H.M.</w:t>
            </w:r>
          </w:p>
        </w:tc>
      </w:tr>
      <w:tr>
        <w:tc>
          <w:tcPr>
            <w:tcW w:type="dxa" w:w="10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B01.20</w:t>
            </w:r>
          </w:p>
        </w:tc>
        <w:tc>
          <w:tcPr>
            <w:tcW w:type="dxa" w:w="352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Neuroimagem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5"/>
              </w:rPr>
              <w:t>Diferentes janelas para estrutura, função e sinais fisiológicos; limites de inferência.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4F8"/>
          </w:tcPr>
          <w:p>
            <w:r>
              <w:rPr>
                <w:b/>
                <w:color w:val="17365D"/>
              </w:rPr>
              <w:t>ARQUÉTIPO VISUAL APROVADO — SÉRIE B</w:t>
              <w:br/>
            </w:r>
            <w:r>
              <w:rPr>
                <w:sz w:val="20"/>
              </w:rPr>
              <w:t>B-MASTER-01 — NeuroAtlas / Zoom. O template congela: proporção/canvas, cabeçalho, identificação de série e módulo, hierarquia tipográfica, estrutura hero, grade de conteúdo, rodapé, assinatura, navegação de escala, tagline e créditos. O conteúdo, os diagramas, a metáfora central, os callouts, a escala e a composição interna variam conforme o mecanismo.</w:t>
            </w:r>
          </w:p>
        </w:tc>
      </w:tr>
    </w:tbl>
    <w:p/>
    <w:p>
      <w:pPr>
        <w:pStyle w:val="Heading1"/>
      </w:pPr>
      <w:r>
        <w:t>9. Estado atual da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6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Camada</w:t>
            </w:r>
          </w:p>
        </w:tc>
        <w:tc>
          <w:tcPr>
            <w:tcW w:type="dxa" w:w="165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IDs</w:t>
            </w:r>
          </w:p>
        </w:tc>
        <w:tc>
          <w:tcPr>
            <w:tcW w:type="dxa" w:w="792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Qtd.</w:t>
            </w:r>
          </w:p>
        </w:tc>
        <w:tc>
          <w:tcPr>
            <w:tcW w:type="dxa" w:w="338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88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Próximo passo</w:t>
            </w:r>
          </w:p>
        </w:tc>
      </w:tr>
      <w:tr>
        <w:tc>
          <w:tcPr>
            <w:tcW w:type="dxa" w:w="165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Biologia Base</w:t>
            </w:r>
          </w:p>
        </w:tc>
        <w:tc>
          <w:tcPr>
            <w:tcW w:type="dxa" w:w="165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A01.1–A01.6</w:t>
            </w:r>
          </w:p>
        </w:tc>
        <w:tc>
          <w:tcPr>
            <w:tcW w:type="dxa" w:w="79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6</w:t>
            </w:r>
          </w:p>
        </w:tc>
        <w:tc>
          <w:tcPr>
            <w:tcW w:type="dxa" w:w="338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Produzidos e auditados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Retomar em A01.7.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Biologia Base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A01.7–A01.10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4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Planejados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Produção após fechamento de cada especificação.</w:t>
            </w:r>
          </w:p>
        </w:tc>
      </w:tr>
      <w:tr>
        <w:tc>
          <w:tcPr>
            <w:tcW w:type="dxa" w:w="165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Série A</w:t>
            </w:r>
          </w:p>
        </w:tc>
        <w:tc>
          <w:tcPr>
            <w:tcW w:type="dxa" w:w="165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A01–A20</w:t>
            </w:r>
          </w:p>
        </w:tc>
        <w:tc>
          <w:tcPr>
            <w:tcW w:type="dxa" w:w="792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20</w:t>
            </w:r>
          </w:p>
        </w:tc>
        <w:tc>
          <w:tcPr>
            <w:tcW w:type="dxa" w:w="338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Arquitetura definida; produção física principal ainda não iniciada</w:t>
            </w:r>
          </w:p>
        </w:tc>
        <w:tc>
          <w:tcPr>
            <w:tcW w:type="dxa" w:w="288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Produzir após estabilização da camada fundacional, quando pedagogicamente indicado.</w:t>
            </w:r>
          </w:p>
        </w:tc>
      </w:tr>
      <w:tr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Série B</w:t>
            </w:r>
          </w:p>
        </w:tc>
        <w:tc>
          <w:tcPr>
            <w:tcW w:type="dxa" w:w="165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B01.1–B01.20</w:t>
            </w:r>
          </w:p>
        </w:tc>
        <w:tc>
          <w:tcPr>
            <w:tcW w:type="dxa" w:w="792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20</w:t>
            </w:r>
          </w:p>
        </w:tc>
        <w:tc>
          <w:tcPr>
            <w:tcW w:type="dxa" w:w="338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Produzidos; auditoria editorial consolidada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Não redesenhar sem motivo documentado.</w:t>
            </w:r>
          </w:p>
        </w:tc>
      </w:tr>
    </w:tbl>
    <w:p/>
    <w:p>
      <w:pPr>
        <w:pStyle w:val="Heading1"/>
      </w:pPr>
      <w:r>
        <w:t>10. Sistema visual e governança de design</w:t>
      </w:r>
    </w:p>
    <w:p>
      <w:pPr>
        <w:pStyle w:val="ListBullet"/>
      </w:pPr>
      <w:r>
        <w:t>Identidade consistente não significa repetição de template.</w:t>
      </w:r>
    </w:p>
    <w:p>
      <w:pPr>
        <w:pStyle w:val="ListBullet"/>
      </w:pPr>
      <w:r>
        <w:t>Cada peça preserva o DNA da coleção, mas pode ter arquitetura, metáfora, pose, cenário e composição próprios.</w:t>
      </w:r>
    </w:p>
    <w:p>
      <w:pPr>
        <w:pStyle w:val="ListBullet"/>
      </w:pPr>
      <w:r>
        <w:t>Série A: linguagem clara, editorial, modular e conceitual; preservar a família visual estabelecida pelos primeiros infográficos produzidos.</w:t>
      </w:r>
    </w:p>
    <w:p>
      <w:pPr>
        <w:pStyle w:val="ListBullet"/>
      </w:pPr>
      <w:r>
        <w:t>Série B: linguagem NeuroAtlas, escura, investigativa, molecular/mecanística; não é simplesmente a Série A em outra paleta.</w:t>
      </w:r>
    </w:p>
    <w:p>
      <w:pPr>
        <w:pStyle w:val="ListBullet"/>
      </w:pPr>
      <w:r>
        <w:t>Não criar novo template arbitrariamente. Se o problema cognitivo não couber em um arquétipo aprovado, justificar e propor novo arquétipo antes da geração.</w:t>
      </w:r>
    </w:p>
    <w:p>
      <w:pPr>
        <w:pStyle w:val="ListBullet"/>
      </w:pPr>
      <w:r>
        <w:t>Anatomia deve ser legível antes de ser ornamental.</w:t>
      </w:r>
    </w:p>
    <w:p>
      <w:pPr>
        <w:pStyle w:val="ListBullet"/>
      </w:pPr>
      <w:r>
        <w:t>Setas representam relações reais; não são apenas elementos de composição.</w:t>
      </w:r>
    </w:p>
    <w:p>
      <w:pPr>
        <w:pStyle w:val="ListBullet"/>
      </w:pPr>
      <w:r>
        <w:t>Escala deve ser explicitada quando houver mudança de macro, micro e molecular.</w:t>
      </w:r>
    </w:p>
    <w:p>
      <w:pPr>
        <w:pStyle w:val="ListBullet"/>
      </w:pPr>
      <w:r>
        <w:t>Rodapé, assinatura, fontes e área segura devem ser reservados na composição inicial; não devem ser improvisados após a geração.</w:t>
      </w:r>
    </w:p>
    <w:p>
      <w:pPr>
        <w:pStyle w:val="ListBullet"/>
      </w:pPr>
      <w:r>
        <w:t>Nenhum link, QR code, vídeo ou recurso externo deve ser inventado para preencher espaço.</w:t>
      </w:r>
    </w:p>
    <w:p>
      <w:pPr>
        <w:pStyle w:val="ListBullet"/>
      </w:pPr>
      <w:r>
        <w:t>A consistência visual deve ser auditada sem transformar todas as peças em clones.</w:t>
      </w:r>
    </w:p>
    <w:p>
      <w:pPr>
        <w:pStyle w:val="Heading1"/>
      </w:pPr>
      <w:r>
        <w:t>11. Estrutura mínima de cada especificação de infográfico</w:t>
      </w:r>
    </w:p>
    <w:p>
      <w:pPr>
        <w:pStyle w:val="ListNumber"/>
      </w:pPr>
      <w:r>
        <w:t>ID e posição no mapa.</w:t>
      </w:r>
    </w:p>
    <w:p>
      <w:pPr>
        <w:pStyle w:val="ListNumber"/>
      </w:pPr>
      <w:r>
        <w:t>Objetivo de aprendizagem.</w:t>
      </w:r>
    </w:p>
    <w:p>
      <w:pPr>
        <w:pStyle w:val="ListNumber"/>
      </w:pPr>
      <w:r>
        <w:t>Pré-requisitos e conexão com peças anteriores/posteriores.</w:t>
      </w:r>
    </w:p>
    <w:p>
      <w:pPr>
        <w:pStyle w:val="ListNumber"/>
      </w:pPr>
      <w:r>
        <w:t>Título e subtítulo.</w:t>
      </w:r>
    </w:p>
    <w:p>
      <w:pPr>
        <w:pStyle w:val="ListNumber"/>
      </w:pPr>
      <w:r>
        <w:t>Mensagem central / tese visual.</w:t>
      </w:r>
    </w:p>
    <w:p>
      <w:pPr>
        <w:pStyle w:val="ListNumber"/>
      </w:pPr>
      <w:r>
        <w:t>Âncora visual principal.</w:t>
      </w:r>
    </w:p>
    <w:p>
      <w:pPr>
        <w:pStyle w:val="ListNumber"/>
      </w:pPr>
      <w:r>
        <w:t>Fluxo ou mecanismo causal, quando aplicável.</w:t>
      </w:r>
    </w:p>
    <w:p>
      <w:pPr>
        <w:pStyle w:val="ListNumber"/>
      </w:pPr>
      <w:r>
        <w:t>Blocos de explicação e vocabulário indispensável.</w:t>
      </w:r>
    </w:p>
    <w:p>
      <w:pPr>
        <w:pStyle w:val="ListNumber"/>
      </w:pPr>
      <w:r>
        <w:t>Escala(s) relevante(s).</w:t>
      </w:r>
    </w:p>
    <w:p>
      <w:pPr>
        <w:pStyle w:val="ListNumber"/>
      </w:pPr>
      <w:r>
        <w:t>Erros conceituais / neuromitos a evitar.</w:t>
      </w:r>
    </w:p>
    <w:p>
      <w:pPr>
        <w:pStyle w:val="ListNumber"/>
      </w:pPr>
      <w:r>
        <w:t>Fontes utilizadas.</w:t>
      </w:r>
    </w:p>
    <w:p>
      <w:pPr>
        <w:pStyle w:val="ListNumber"/>
      </w:pPr>
      <w:r>
        <w:t>Arquétipo visual escolhido e justificativa.</w:t>
      </w:r>
    </w:p>
    <w:p>
      <w:pPr>
        <w:pStyle w:val="ListNumber"/>
      </w:pPr>
      <w:r>
        <w:t>Critérios de auditoria científica, pedagógica e visual.</w:t>
      </w:r>
    </w:p>
    <w:p>
      <w:pPr>
        <w:pStyle w:val="Heading1"/>
      </w:pPr>
      <w:r>
        <w:t>12. Regras científicas e pedagógicas</w:t>
      </w:r>
    </w:p>
    <w:p>
      <w:pPr>
        <w:pStyle w:val="ListBullet"/>
      </w:pPr>
      <w:r>
        <w:t>Não transformar correlação em causalidade.</w:t>
      </w:r>
    </w:p>
    <w:p>
      <w:pPr>
        <w:pStyle w:val="ListBullet"/>
      </w:pPr>
      <w:r>
        <w:t>Não atribuir uma função complexa a uma única estrutura sem qualificar o nível de evidência.</w:t>
      </w:r>
    </w:p>
    <w:p>
      <w:pPr>
        <w:pStyle w:val="ListBullet"/>
      </w:pPr>
      <w:r>
        <w:t>Não tratar neurotransmissores como rótulos simplistas de comportamento.</w:t>
      </w:r>
    </w:p>
    <w:p>
      <w:pPr>
        <w:pStyle w:val="ListBullet"/>
      </w:pPr>
      <w:r>
        <w:t>Não usar neuromitos como explicações científicas sem contextualização crítica.</w:t>
      </w:r>
    </w:p>
    <w:p>
      <w:pPr>
        <w:pStyle w:val="ListBullet"/>
      </w:pPr>
      <w:r>
        <w:t>Quando um modelo for simplificado, sinalizar a simplificação quando houver risco de interpretação literal.</w:t>
      </w:r>
    </w:p>
    <w:p>
      <w:pPr>
        <w:pStyle w:val="ListBullet"/>
      </w:pPr>
      <w:r>
        <w:t>Separar anatomia, fisiologia, mecanismo, hipótese e aplicação.</w:t>
      </w:r>
    </w:p>
    <w:p>
      <w:pPr>
        <w:pStyle w:val="ListBullet"/>
      </w:pPr>
      <w:r>
        <w:t>Evitar determinismo biológico.</w:t>
      </w:r>
    </w:p>
    <w:p>
      <w:pPr>
        <w:pStyle w:val="ListBullet"/>
      </w:pPr>
      <w:r>
        <w:t>Neuroimagem deve ser apresentada como medida indireta/proxy quando isso for relevante ao método.</w:t>
      </w:r>
    </w:p>
    <w:p>
      <w:pPr>
        <w:pStyle w:val="ListBullet"/>
      </w:pPr>
      <w:r>
        <w:t>Casos clínicos não devem sustentar generalizações populacionais sem evidência apropriada.</w:t>
      </w:r>
    </w:p>
    <w:p>
      <w:pPr>
        <w:pStyle w:val="ListBullet"/>
      </w:pPr>
      <w:r>
        <w:t>Conteúdo de saúde e intervenção deve respeitar o nível e os limites da evidência.</w:t>
      </w:r>
    </w:p>
    <w:p>
      <w:pPr>
        <w:pStyle w:val="Heading1"/>
      </w:pPr>
      <w:r>
        <w:t>13. Matriz de dependências essenciais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744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Relação</w:t>
            </w:r>
          </w:p>
        </w:tc>
        <w:tc>
          <w:tcPr>
            <w:tcW w:type="dxa" w:w="57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Pré-requisitos</w:t>
            </w:r>
          </w:p>
        </w:tc>
      </w:tr>
      <w:tr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Membrana → potencial de ação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Membrana, íons, gradientes, permeabilidade, canais.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Potencial de ação → sinapse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Condução axonal e chegada ao terminal.</w:t>
            </w:r>
          </w:p>
        </w:tc>
      </w:tr>
      <w:tr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Sinapse → neuroquímica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Vesículas, neurotransmissores e receptores.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Neuroquímica → plasticidade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Receptores, sinalização e alterações sinápticas.</w:t>
            </w:r>
          </w:p>
        </w:tc>
      </w:tr>
      <w:tr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Plasticidade → aprendizagem/memória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Mudança de eficácia sináptica e circuitos.</w:t>
            </w:r>
          </w:p>
        </w:tc>
      </w:tr>
      <w:tr>
        <w:tc>
          <w:tcPr>
            <w:tcW w:type="dxa" w:w="3744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Anatomia → comportamento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Estruturas, conexões e redes; evitar localização simplista.</w:t>
            </w:r>
          </w:p>
        </w:tc>
      </w:tr>
      <w:tr>
        <w:tc>
          <w:tcPr>
            <w:tcW w:type="dxa" w:w="3744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Método → interpretação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Antes de concluir sobre cérebro/comportamento, entender como a evidência foi produzida.</w:t>
            </w:r>
          </w:p>
        </w:tc>
      </w:tr>
    </w:tbl>
    <w:p/>
    <w:p>
      <w:pPr>
        <w:pStyle w:val="Heading1"/>
      </w:pPr>
      <w:r>
        <w:t>14. Pipeline oficial de produção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76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720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Entrega</w:t>
            </w:r>
          </w:p>
        </w:tc>
      </w:tr>
      <w:tr>
        <w:tc>
          <w:tcPr>
            <w:tcW w:type="dxa" w:w="237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01 — Mapear</w:t>
            </w:r>
          </w:p>
        </w:tc>
        <w:tc>
          <w:tcPr>
            <w:tcW w:type="dxa" w:w="72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Confirmar ID, objetivo, pré-requisitos e posição curricular.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02 — Especificar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Fechar título, mensagem central, blocos, mecanismo, escala, erros e fontes.</w:t>
            </w:r>
          </w:p>
        </w:tc>
      </w:tr>
      <w:tr>
        <w:tc>
          <w:tcPr>
            <w:tcW w:type="dxa" w:w="237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03 — Escolher arquétipo</w:t>
            </w:r>
          </w:p>
        </w:tc>
        <w:tc>
          <w:tcPr>
            <w:tcW w:type="dxa" w:w="72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Selecionar A-MASTER ou B-MASTER apropriado; criar novo somente se necessário.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04 — Gerar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Produzir a primeira versão já reservando rodapé, assinatura e área segura.</w:t>
            </w:r>
          </w:p>
        </w:tc>
      </w:tr>
      <w:tr>
        <w:tc>
          <w:tcPr>
            <w:tcW w:type="dxa" w:w="237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05 — Auditar ciência</w:t>
            </w:r>
          </w:p>
        </w:tc>
        <w:tc>
          <w:tcPr>
            <w:tcW w:type="dxa" w:w="72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Verificar mecanismos, termos, causalidade, escalas, números e referências.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06 — Auditar visual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Verificar hierarquia, legibilidade, coerência de componentes e ausência de clonagem.</w:t>
            </w:r>
          </w:p>
        </w:tc>
      </w:tr>
      <w:tr>
        <w:tc>
          <w:tcPr>
            <w:tcW w:type="dxa" w:w="237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07 — Microcorrigir</w:t>
            </w:r>
          </w:p>
        </w:tc>
        <w:tc>
          <w:tcPr>
            <w:tcW w:type="dxa" w:w="72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Corrigir somente o que a auditoria identificou; não remodelar sem necessidade.</w:t>
            </w:r>
          </w:p>
        </w:tc>
      </w:tr>
      <w:tr>
        <w:tc>
          <w:tcPr>
            <w:tcW w:type="dxa" w:w="2376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08 — Congelar</w:t>
            </w:r>
          </w:p>
        </w:tc>
        <w:tc>
          <w:tcPr>
            <w:tcW w:type="dxa" w:w="720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Registrar como MASTER apenas após as auditorias.</w:t>
            </w:r>
          </w:p>
        </w:tc>
      </w:tr>
      <w:tr>
        <w:tc>
          <w:tcPr>
            <w:tcW w:type="dxa" w:w="2376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09 — Catalogar</w:t>
            </w:r>
          </w:p>
        </w:tc>
        <w:tc>
          <w:tcPr>
            <w:tcW w:type="dxa" w:w="720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Atualizar documentação/catálogo somente após aprovação.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4F8"/>
          </w:tcPr>
          <w:p>
            <w:r>
              <w:rPr>
                <w:b/>
                <w:color w:val="17365D"/>
              </w:rPr>
              <w:t>REGRA OPERACIONAL</w:t>
              <w:br/>
            </w:r>
            <w:r>
              <w:rPr>
                <w:sz w:val="20"/>
              </w:rPr>
              <w:t>Não gerar múltiplas versões concorrentes antes da auditoria da primeira. Primeiro especificação → geração → auditoria → microcorreção → MASTER.</w:t>
            </w:r>
          </w:p>
        </w:tc>
      </w:tr>
    </w:tbl>
    <w:p/>
    <w:p>
      <w:pPr>
        <w:pStyle w:val="Heading1"/>
      </w:pPr>
      <w:r>
        <w:t>15. Definition of Done</w:t>
      </w:r>
    </w:p>
    <w:p>
      <w:r>
        <w:rPr>
          <w:b/>
        </w:rPr>
        <w:t xml:space="preserve">✓ </w:t>
      </w:r>
      <w:r>
        <w:t>Está vinculado a um ID único do mapa.</w:t>
      </w:r>
    </w:p>
    <w:p>
      <w:r>
        <w:rPr>
          <w:b/>
        </w:rPr>
        <w:t xml:space="preserve">✓ </w:t>
      </w:r>
      <w:r>
        <w:t>Possui objetivo de aprendizagem explícito.</w:t>
      </w:r>
    </w:p>
    <w:p>
      <w:r>
        <w:rPr>
          <w:b/>
        </w:rPr>
        <w:t xml:space="preserve">✓ </w:t>
      </w:r>
      <w:r>
        <w:t>Pré-requisitos estão cobertos ou indicados.</w:t>
      </w:r>
    </w:p>
    <w:p>
      <w:r>
        <w:rPr>
          <w:b/>
        </w:rPr>
        <w:t xml:space="preserve">✓ </w:t>
      </w:r>
      <w:r>
        <w:t>A estrutura/mecanismo está coerente com o nível proposto.</w:t>
      </w:r>
    </w:p>
    <w:p>
      <w:r>
        <w:rPr>
          <w:b/>
        </w:rPr>
        <w:t xml:space="preserve">✓ </w:t>
      </w:r>
      <w:r>
        <w:t>O texto cabe no formato sem virar apostila.</w:t>
      </w:r>
    </w:p>
    <w:p>
      <w:r>
        <w:rPr>
          <w:b/>
        </w:rPr>
        <w:t xml:space="preserve">✓ </w:t>
      </w:r>
      <w:r>
        <w:t>A hierarquia visual é inequívoca.</w:t>
      </w:r>
    </w:p>
    <w:p>
      <w:r>
        <w:rPr>
          <w:b/>
        </w:rPr>
        <w:t xml:space="preserve">✓ </w:t>
      </w:r>
      <w:r>
        <w:t>As relações causais não foram inventadas para fins estéticos.</w:t>
      </w:r>
    </w:p>
    <w:p>
      <w:r>
        <w:rPr>
          <w:b/>
        </w:rPr>
        <w:t xml:space="preserve">✓ </w:t>
      </w:r>
      <w:r>
        <w:t>As fontes estão registradas.</w:t>
      </w:r>
    </w:p>
    <w:p>
      <w:r>
        <w:rPr>
          <w:b/>
        </w:rPr>
        <w:t xml:space="preserve">✓ </w:t>
      </w:r>
      <w:r>
        <w:t>Foi revisado quanto a neuromitos e simplificações perigosas.</w:t>
      </w:r>
    </w:p>
    <w:p>
      <w:r>
        <w:rPr>
          <w:b/>
        </w:rPr>
        <w:t xml:space="preserve">✓ </w:t>
      </w:r>
      <w:r>
        <w:t>Não é clone visual de outro infográfico.</w:t>
      </w:r>
    </w:p>
    <w:p>
      <w:r>
        <w:rPr>
          <w:b/>
        </w:rPr>
        <w:t xml:space="preserve">✓ </w:t>
      </w:r>
      <w:r>
        <w:t>Conecta-se pedagogicamente a peças anteriores/posteriores quando relevante.</w:t>
      </w:r>
    </w:p>
    <w:p>
      <w:r>
        <w:rPr>
          <w:b/>
        </w:rPr>
        <w:t xml:space="preserve">✓ </w:t>
      </w:r>
      <w:r>
        <w:t>Não contém recursos fictícios, links ou QR codes inventados.</w:t>
      </w:r>
    </w:p>
    <w:p>
      <w:pPr>
        <w:pStyle w:val="Heading1"/>
      </w:pPr>
      <w:r>
        <w:t>16. Critérios de inclusão e controle de escopo</w:t>
      </w:r>
    </w:p>
    <w:p>
      <w:pPr>
        <w:pStyle w:val="ListBullet"/>
      </w:pPr>
      <w:r>
        <w:t>Exigido pelo currículo oficial → entra no núcleo.</w:t>
      </w:r>
    </w:p>
    <w:p>
      <w:pPr>
        <w:pStyle w:val="ListBullet"/>
      </w:pPr>
      <w:r>
        <w:t>Pré-requisito necessário → entra na Biologia Base.</w:t>
      </w:r>
    </w:p>
    <w:p>
      <w:pPr>
        <w:pStyle w:val="ListBullet"/>
      </w:pPr>
      <w:r>
        <w:t>Necessário para explicar mecanismo planejado → entra na Série B.</w:t>
      </w:r>
    </w:p>
    <w:p>
      <w:pPr>
        <w:pStyle w:val="ListBullet"/>
      </w:pPr>
      <w:r>
        <w:t>Extensão relevante → entra como aprofundamento identificado.</w:t>
      </w:r>
    </w:p>
    <w:p>
      <w:pPr>
        <w:pStyle w:val="ListBullet"/>
      </w:pPr>
      <w:r>
        <w:t>Interessante, mas sem ganho pedagógico claro → backlog.</w:t>
      </w:r>
    </w:p>
    <w:p>
      <w:pPr>
        <w:pStyle w:val="ListBullet"/>
      </w:pPr>
      <w:r>
        <w:t>Avançado demais para o nível atual → backlog.</w:t>
      </w:r>
    </w:p>
    <w:p>
      <w:r>
        <w:t>Backlog deliberadamente fora do núcleo inicial:</w:t>
      </w:r>
    </w:p>
    <w:p>
      <w:pPr>
        <w:pStyle w:val="ListBullet2"/>
      </w:pPr>
      <w:r>
        <w:t>Neuroendocrinologia detalhada.</w:t>
      </w:r>
    </w:p>
    <w:p>
      <w:pPr>
        <w:pStyle w:val="ListBullet2"/>
      </w:pPr>
      <w:r>
        <w:t>Neuroimunologia avançada.</w:t>
      </w:r>
    </w:p>
    <w:p>
      <w:pPr>
        <w:pStyle w:val="ListBullet2"/>
      </w:pPr>
      <w:r>
        <w:t>Genômica e epigenética comportamental avançadas.</w:t>
      </w:r>
    </w:p>
    <w:p>
      <w:pPr>
        <w:pStyle w:val="ListBullet2"/>
      </w:pPr>
      <w:r>
        <w:t>Conectômica em profundidade.</w:t>
      </w:r>
    </w:p>
    <w:p>
      <w:pPr>
        <w:pStyle w:val="ListBullet2"/>
      </w:pPr>
      <w:r>
        <w:t>Modelos computacionais formais de redes neurais biológicas.</w:t>
      </w:r>
    </w:p>
    <w:p>
      <w:pPr>
        <w:pStyle w:val="ListBullet2"/>
      </w:pPr>
      <w:r>
        <w:t>Neuromodulação clínica avançada.</w:t>
      </w:r>
    </w:p>
    <w:p>
      <w:pPr>
        <w:pStyle w:val="ListBullet2"/>
      </w:pPr>
      <w:r>
        <w:t>Neurodegeneração em nível molecular detalhado.</w:t>
      </w:r>
    </w:p>
    <w:p>
      <w:pPr>
        <w:pStyle w:val="ListBullet2"/>
      </w:pPr>
      <w:r>
        <w:t>Farmacologia neuropsiquiátrica completa.</w:t>
      </w:r>
    </w:p>
    <w:p>
      <w:pPr>
        <w:pStyle w:val="ListBullet2"/>
      </w:pPr>
      <w:r>
        <w:t>Neurociência social avançada.</w:t>
      </w:r>
    </w:p>
    <w:p>
      <w:pPr>
        <w:pStyle w:val="ListBullet2"/>
      </w:pPr>
      <w:r>
        <w:t>Consciência em nível filosófico/neurocomputacional avançado.</w:t>
      </w:r>
    </w:p>
    <w:p>
      <w:pPr>
        <w:pStyle w:val="Heading1"/>
      </w:pPr>
      <w:r>
        <w:t>17. Controle de versão e governança</w:t>
      </w:r>
    </w:p>
    <w:p>
      <w:pPr>
        <w:pStyle w:val="ListBullet"/>
      </w:pPr>
      <w:r>
        <w:t>Versão 2.0: atualização da arquitetura editorial para refletir a separação formal entre Série A, Série B e Biologia Base.</w:t>
      </w:r>
    </w:p>
    <w:p>
      <w:pPr>
        <w:pStyle w:val="ListBullet"/>
      </w:pPr>
      <w:r>
        <w:t>A matriz curricular continua sendo o mapa de longo prazo; o estado de produção pode avançar sem significar que todo o currículo já esteja produzido.</w:t>
      </w:r>
    </w:p>
    <w:p>
      <w:pPr>
        <w:pStyle w:val="ListBullet"/>
      </w:pPr>
      <w:r>
        <w:t>Alterações estruturais que mudem ordem, dependências ou taxonomia exigem revisão deste documento.</w:t>
      </w:r>
    </w:p>
    <w:p>
      <w:pPr>
        <w:pStyle w:val="ListBullet"/>
      </w:pPr>
      <w:r>
        <w:t>Correções científicas podem alterar uma peça sem necessariamente alterar a arquitetura.</w:t>
      </w:r>
    </w:p>
    <w:p>
      <w:pPr>
        <w:pStyle w:val="ListBullet"/>
      </w:pPr>
      <w:r>
        <w:t>Cada ID é único e não reutilizado.</w:t>
      </w:r>
    </w:p>
    <w:p>
      <w:pPr>
        <w:pStyle w:val="ListBullet"/>
      </w:pPr>
      <w:r>
        <w:t>Substituições devem registrar o motivo: erro científico, melhoria pedagógica, atualização de evidência ou redesign.</w:t>
      </w:r>
    </w:p>
    <w:p>
      <w:pPr>
        <w:pStyle w:val="ListBullet"/>
      </w:pPr>
      <w:r>
        <w:t>O repositório permanece local durante a produção desta disciplina; publicação remota não faz parte do pipeline atual.</w:t>
      </w:r>
    </w:p>
    <w:p>
      <w:pPr>
        <w:pStyle w:val="Heading1"/>
      </w:pPr>
      <w:r>
        <w:t>18. Ponto de retomada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EAF4F8"/>
          </w:tcPr>
          <w:p>
            <w:r>
              <w:rPr>
                <w:b/>
                <w:color w:val="17365D"/>
              </w:rPr>
              <w:t>PRÓXIMA PEÇA</w:t>
              <w:br/>
            </w:r>
            <w:r>
              <w:rPr>
                <w:sz w:val="20"/>
              </w:rPr>
              <w:t>A01.7 — ATP E ENERGIA CELULAR.</w:t>
              <w:br/>
              <w:t>Subtítulo de trabalho: COMO A CÉLULA CAPTURA, TRANSFERE E UTILIZA ENERGIA.</w:t>
              <w:br/>
              <w:t>Arquétipo: A-MASTER-03 — Energy Flow.</w:t>
              <w:br/>
              <w:t>Foco: ATP como mediador de acoplamento energético e suporte ao trabalho celular; conexão com o neurônio sem aprofundar bioquímica metabólica.</w:t>
            </w:r>
          </w:p>
        </w:tc>
      </w:tr>
    </w:tbl>
    <w:p/>
    <w:p>
      <w:r>
        <w:t>Sequência imediata: A01.6 — Íons e carga elétrica → A01.7 — ATP e energia celular → A01.8 — Proteínas como máquinas celulares → A01.9 — Homeostase celular → A01.10 — Da célula ao neurônio.</w:t>
      </w:r>
    </w:p>
    <w:p>
      <w:pPr>
        <w:pStyle w:val="Heading1"/>
      </w:pPr>
      <w:r>
        <w:t>19. Cobertura obrigatória da disciplina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48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Bloco oficial</w:t>
            </w:r>
          </w:p>
        </w:tc>
        <w:tc>
          <w:tcPr>
            <w:tcW w:type="dxa" w:w="144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Localização</w:t>
            </w:r>
          </w:p>
        </w:tc>
        <w:tc>
          <w:tcPr>
            <w:tcW w:type="dxa" w:w="5760"/>
            <w:vAlign w:val="center"/>
            <w:shd w:fill="17365D"/>
          </w:tcPr>
          <w:p>
            <w:r/>
            <w:r>
              <w:rPr>
                <w:rFonts w:ascii="Aptos" w:hAnsi="Aptos"/>
                <w:b/>
                <w:color w:val="FFFFFF"/>
                <w:sz w:val="16"/>
              </w:rPr>
              <w:t>Conteúdo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Cap. 1 — Princípios básicos</w:t>
            </w:r>
          </w:p>
        </w:tc>
        <w:tc>
          <w:tcPr>
            <w:tcW w:type="dxa" w:w="144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pp. 5–18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Estrutura/função do SN; SNC/SNP; neurônios/glia; transmissão sináptica; neurotransmissores; receptores; plasticidade; desenvolvimento neuronal.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Cap. 2 — História e teorias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pp. 19–32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Fundamentos; teorias; debates históricos/contemporâneos; localização vs. holismo; mente-corpo; funcionalismo; conexionismo.</w:t>
            </w:r>
          </w:p>
        </w:tc>
      </w:tr>
      <w:tr>
        <w:tc>
          <w:tcPr>
            <w:tcW w:type="dxa" w:w="2448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Cap. 3 — Aplicações</w:t>
            </w:r>
          </w:p>
        </w:tc>
        <w:tc>
          <w:tcPr>
            <w:tcW w:type="dxa" w:w="144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pp. 33–43</w:t>
            </w:r>
          </w:p>
        </w:tc>
        <w:tc>
          <w:tcPr>
            <w:tcW w:type="dxa" w:w="5760"/>
            <w:vAlign w:val="center"/>
            <w:shd w:fill="F3F6F8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Educação; saúde mental; tecnologia; interdisciplinaridade.</w:t>
            </w:r>
          </w:p>
        </w:tc>
      </w:tr>
      <w:tr>
        <w:tc>
          <w:tcPr>
            <w:tcW w:type="dxa" w:w="2448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Cap. 4 — Pensamento crítico</w:t>
            </w:r>
          </w:p>
        </w:tc>
        <w:tc>
          <w:tcPr>
            <w:tcW w:type="dxa" w:w="144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pp. 44–55</w:t>
            </w:r>
          </w:p>
        </w:tc>
        <w:tc>
          <w:tcPr>
            <w:tcW w:type="dxa" w:w="5760"/>
            <w:vAlign w:val="center"/>
          </w:tcPr>
          <w:p>
            <w:r/>
            <w:r>
              <w:rPr>
                <w:rFonts w:ascii="Aptos" w:hAnsi="Aptos"/>
                <w:b w:val="0"/>
                <w:color w:val="263238"/>
                <w:sz w:val="16"/>
              </w:rPr>
              <w:t>Estudos de caso; estatística/metodologia; ética; desenvolvimento de argumentos e análise crítica.</w:t>
            </w:r>
          </w:p>
        </w:tc>
      </w:tr>
    </w:tbl>
    <w:p/>
    <w:p>
      <w:pPr>
        <w:pStyle w:val="Heading1"/>
      </w:pPr>
      <w:r>
        <w:t>20. Fontes-base usadas para este mapa</w:t>
      </w:r>
    </w:p>
    <w:p>
      <w:pPr>
        <w:pStyle w:val="ListBullet"/>
      </w:pPr>
      <w:r>
        <w:t>Faculdade Líbano — E-book da Unidade: Fundamentos de Neurociência.</w:t>
      </w:r>
    </w:p>
    <w:p>
      <w:pPr>
        <w:pStyle w:val="ListBullet"/>
      </w:pPr>
      <w:r>
        <w:t>Faculdade Líbano — Slide da Unidade: Fundamentos de Neurociência.</w:t>
      </w:r>
    </w:p>
    <w:p>
      <w:pPr>
        <w:pStyle w:val="ListBullet"/>
      </w:pPr>
      <w:r>
        <w:t>Material complementar fornecido no projeto: Princípios Básicos da Neurociência; História e Teorias da Neurociência; Aplicações Práticas dos Conceitos Neurocientíficos; Pensamento Crítico e Analítico em Neurociência.</w:t>
      </w:r>
    </w:p>
    <w:p>
      <w:pPr>
        <w:pStyle w:val="ListBullet"/>
      </w:pPr>
      <w:r>
        <w:t>Documentos editoriais internos da coleção: Blueprint do Módulo 01 — Biologia Celular para Neurociência; NEURAL NEXUS Visual Identity System; NEURAL NEXUS Core Template — Série B.</w:t>
      </w:r>
    </w:p>
    <w:p>
      <w:pPr>
        <w:pStyle w:val="ListBullet"/>
      </w:pPr>
      <w:r>
        <w:t>Referências visuais fornecidas no projeto, usadas somente como referência de linguagem/composição, não como fonte de reprodução.</w:t>
      </w:r>
    </w:p>
    <w:p>
      <w:pPr>
        <w:pStyle w:val="Heading1"/>
      </w:pPr>
      <w:r>
        <w:t>21. Nota de escopo científico</w:t>
      </w:r>
    </w:p>
    <w:p>
      <w:r>
        <w:t>Este documento define arquitetura pedagógica, curricular e editorial. Ele não substitui revisão científica específica. Quando uma peça entrar em mecanismos detalhados, afirmações quantitativas, controvérsias ou aplicações clínicas, a peça correspondente deverá ser revisada com fontes científicas apropriadas.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781"/>
        <w:sz w:val="16"/>
      </w:rPr>
      <w:t>NEURAL NEXUS • Fundamentos de Neurociências • Mapa Curricular Mestre v2.0 • Eric Pimentel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7030A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