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🧬 NEURAL NEXUS</w:t>
      </w:r>
    </w:p>
    <w:p>
      <w:pPr>
        <w:jc w:val="center"/>
      </w:pPr>
      <w:r>
        <w:rPr>
          <w:b/>
          <w:sz w:val="38"/>
        </w:rPr>
        <w:t>MÓDULO 01 — BIOLOGIA CELULAR PARA NEUROCIÊNCIA</w:t>
      </w:r>
    </w:p>
    <w:p>
      <w:pPr>
        <w:jc w:val="center"/>
      </w:pPr>
      <w:r>
        <w:rPr>
          <w:i/>
        </w:rPr>
        <w:t>Blueprint de produção • v1.0 • 22/09/2026</w:t>
      </w:r>
    </w:p>
    <w:p>
      <w:pPr>
        <w:jc w:val="center"/>
      </w:pPr>
      <w:r>
        <w:rPr>
          <w:sz w:val="24"/>
        </w:rPr>
        <w:t>Objetivo: eliminar os gargalos biológicos antes de entrar na neurofisiologia.</w:t>
      </w:r>
    </w:p>
    <w:p>
      <w:r>
        <w:br w:type="page"/>
      </w:r>
    </w:p>
    <w:p>
      <w:pPr>
        <w:pStyle w:val="Heading1"/>
      </w:pPr>
      <w:r>
        <w:t>1. Papel do módulo na arquitetura</w:t>
      </w:r>
    </w:p>
    <w:p>
      <w:r>
        <w:t>O Módulo 01 é uma camada preparatória criada para sustentar os módulos oficiais e os aprofundamentos posteriores. Ele não pretende ensinar toda a Biologia Celular. Seu critério de inclusão é funcional: um conceito entra quando é necessário para compreender algum mecanismo neurocientífico posterior.</w:t>
      </w:r>
    </w:p>
    <w:p>
      <w:pPr>
        <w:pStyle w:val="Heading2"/>
      </w:pPr>
      <w:r>
        <w:t>Relação com o material oficial</w:t>
      </w:r>
    </w:p>
    <w:p>
      <w:r>
        <w:t>O e-book da disciplina começa pelos princípios básicos da neurociência e descreve neurônios, células gliais, comunicação elétrica/química, sinapses e neurotransmissores. O material oficial, porém, não funciona como um curso completo de biologia celular. Portanto, o presente módulo é deliberadamente uma expansão preparatória da coleção, não uma transcrição do conteúdo oficial.</w:t>
      </w:r>
    </w:p>
    <w:p>
      <w:pPr>
        <w:pStyle w:val="Nota"/>
      </w:pPr>
      <w:r>
        <w:rPr>
          <w:b/>
        </w:rPr>
        <w:t xml:space="preserve">Classificação: </w:t>
      </w:r>
      <w:r>
        <w:t>conteúdo oficial = referência curricular; conteúdo deste módulo = aprofundamento/pré-requisito da coleção.</w:t>
      </w:r>
    </w:p>
    <w:p>
      <w:pPr>
        <w:pStyle w:val="Heading1"/>
      </w:pPr>
      <w:r>
        <w:t>2. Objetivo cognitivo</w:t>
      </w:r>
    </w:p>
    <w:p>
      <w:r>
        <w:t>Ao terminar o módulo, o aluno deverá conseguir explicar, sem decorar uma lista isolada:</w:t>
      </w:r>
    </w:p>
    <w:p>
      <w:pPr>
        <w:pStyle w:val="ListBullet"/>
      </w:pPr>
      <w:r>
        <w:t>por que a célula possui compartimentos e membranas;</w:t>
      </w:r>
    </w:p>
    <w:p>
      <w:pPr>
        <w:pStyle w:val="ListBullet"/>
      </w:pPr>
      <w:r>
        <w:t>como a membrana plasmática separa meios e permite comunicação seletiva;</w:t>
      </w:r>
    </w:p>
    <w:p>
      <w:pPr>
        <w:pStyle w:val="ListBullet"/>
      </w:pPr>
      <w:r>
        <w:t>por que concentração e carga elétrica importam para o neurônio;</w:t>
      </w:r>
    </w:p>
    <w:p>
      <w:pPr>
        <w:pStyle w:val="ListBullet"/>
      </w:pPr>
      <w:r>
        <w:t>como proteínas de membrana participam de transporte e sinalização;</w:t>
      </w:r>
    </w:p>
    <w:p>
      <w:pPr>
        <w:pStyle w:val="ListBullet"/>
      </w:pPr>
      <w:r>
        <w:t>por que ATP, proteínas e metabolismo aparecem repetidamente na neurociência;</w:t>
      </w:r>
    </w:p>
    <w:p>
      <w:pPr>
        <w:pStyle w:val="ListBullet"/>
      </w:pPr>
      <w:r>
        <w:t>como esses conceitos preparam o terreno para potencial de repouso, potencial de ação e sinapse.</w:t>
      </w:r>
    </w:p>
    <w:p>
      <w:pPr>
        <w:pStyle w:val="Heading1"/>
      </w:pPr>
      <w:r>
        <w:t>3. Mapa conceitual do módulo</w:t>
      </w:r>
    </w:p>
    <w:p>
      <w:r>
        <w:rPr>
          <w:b/>
          <w:sz w:val="26"/>
        </w:rPr>
        <w:t>CÉLULA → MEMBRANA → TRANSPORTE → GRADIENTES → PROTEÍNAS → ENERGIA → COMUNICAÇÃO → NEURÔNIO</w:t>
      </w:r>
    </w:p>
    <w:p>
      <w:r>
        <w:t>A sequência é intencional. Não devemos começar explicando canais iônicos em detalhe antes de o aluno entender o que é uma membrana, um gradiente e uma proteína de membrana.</w:t>
      </w:r>
    </w:p>
    <w:p>
      <w:pPr>
        <w:pStyle w:val="Heading1"/>
      </w:pPr>
      <w:r>
        <w:rPr>
          <w:b/>
        </w:rPr>
        <w:t>4. Sequência Didática — Camada Biologia Base (Módulo 01)</w:t>
      </w:r>
    </w:p>
    <w:p>
      <w:r>
        <w:t>Regra Editorial de Numeração: Os identificadores A01–A20 pertencem à Série A — Conceitos Essenciais. Os identificadores A01.1–A01.10 pertencem à sequência didática da Camada Transversal — Biologia Base, Módulo 01 — Biologia Celular para Neurociência. A notação A01.x não deve ser interpretada como item da Série A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Peça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Foco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célula animal como sistema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Compartimentos, fronteiras e funções gerais.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membrana plasmática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Barreira seletiva e plataforma de comunicação.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Organelas essenciais para o neurônio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Núcleo, ribossomos, RE, Golgi, mitocôndrias e lisossomos — somente o necessário.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A01.4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Transporte pela membrana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Difusão, transporte facilitado, transporte ativo e noções de osmose.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A01.5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Gradiente de concentração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 que significa existir mais de uma substância de um lado que do outro.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A01.6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Íons e carga elétrica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Por que Na⁺, K⁺, Ca²⁺ e Cl⁻ são importantes.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A01.7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ATP e energia celular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Energia como requisito para manter gradientes e funcionamento celular.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A01.8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Proteínas como máquinas celulares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Canais, bombas, receptores e enzimas.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A01.9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Homeostase celular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Como a célula mantém condições internas compatíveis com sua função.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A01.10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 célula ao neurônio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Ponte explícita para o Módulo 03.</w:t>
            </w:r>
          </w:p>
        </w:tc>
      </w:tr>
    </w:tbl>
    <w:p>
      <w:pPr>
        <w:pStyle w:val="Heading1"/>
      </w:pPr>
      <w:r>
        <w:t>5. Infográficos da Série B — NeuroAtlas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Peça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Foco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B01.1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Membrana em escala molecular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Bicamada lipídica, proteínas integrais/periféricas e organização geral.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B01.2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Canal iônico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Estrutura funcional e passagem seletiva de íons.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B01.3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Bomba Na⁺/K⁺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Transporte ativo e manutenção de gradientes.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B01.4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Gradiente eletroquímico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Concentração + diferença de potencial.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B01.5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Mitocôndria neuronal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Produção de ATP em nível introdutório.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B01.6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Proteína de membrana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Canal × bomba × receptor × transportador.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B01.7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Comunicação celular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Ligante → receptor → resposta celular.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B01.8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Mapa de pré-requisitos para o potencial de 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Integração de membrana, íons, canais e gradientes.</w:t>
            </w:r>
          </w:p>
        </w:tc>
      </w:tr>
    </w:tbl>
    <w:p>
      <w:pPr>
        <w:pStyle w:val="Heading1"/>
      </w:pPr>
      <w:r>
        <w:t>6. O que NÃO entra neste módulo</w:t>
      </w:r>
    </w:p>
    <w:p>
      <w:pPr>
        <w:pStyle w:val="ListBullet"/>
      </w:pPr>
      <w:r>
        <w:t>Potencial de ação completo — Módulo 04.</w:t>
      </w:r>
    </w:p>
    <w:p>
      <w:pPr>
        <w:pStyle w:val="ListBullet"/>
      </w:pPr>
      <w:r>
        <w:t>Transmissão sináptica detalhada — Módulo 05.</w:t>
      </w:r>
    </w:p>
    <w:p>
      <w:pPr>
        <w:pStyle w:val="ListBullet"/>
      </w:pPr>
      <w:r>
        <w:t>Neurotransmissores específicos em profundidade — Módulo 06.</w:t>
      </w:r>
    </w:p>
    <w:p>
      <w:pPr>
        <w:pStyle w:val="ListBullet"/>
      </w:pPr>
      <w:r>
        <w:t>LTP/LTD — Módulo 07.</w:t>
      </w:r>
    </w:p>
    <w:p>
      <w:pPr>
        <w:pStyle w:val="ListBullet"/>
      </w:pPr>
      <w:r>
        <w:t>Anatomia macroscópica do encéfalo — Módulo 08.</w:t>
      </w:r>
    </w:p>
    <w:p>
      <w:pPr>
        <w:pStyle w:val="ListBullet"/>
      </w:pPr>
      <w:r>
        <w:t>Genética molecular avançada, epigenética e proteômica — fora do núcleo inicial.</w:t>
      </w:r>
    </w:p>
    <w:p>
      <w:pPr>
        <w:pStyle w:val="ListBullet"/>
      </w:pPr>
      <w:r>
        <w:t>Metabolismo bioquímico detalhado — somente o necessário para compreender energia celular.</w:t>
      </w:r>
    </w:p>
    <w:p>
      <w:pPr>
        <w:pStyle w:val="Heading1"/>
      </w:pPr>
      <w:r>
        <w:t>7. Sequência de produção</w:t>
      </w:r>
    </w:p>
    <w:p>
      <w:pPr>
        <w:pStyle w:val="ListNumber"/>
      </w:pPr>
      <w:r>
        <w:t>Produzir A01.1 e A01.2 como teste de linguagem visual.</w:t>
      </w:r>
    </w:p>
    <w:p>
      <w:pPr>
        <w:pStyle w:val="ListNumber"/>
      </w:pPr>
      <w:r>
        <w:t>Produzir B01.1 como primeiro teste de anatomia/escala microscópica.</w:t>
      </w:r>
    </w:p>
    <w:p>
      <w:pPr>
        <w:pStyle w:val="ListNumber"/>
      </w:pPr>
      <w:r>
        <w:t>Validar se a linguagem visual consegue representar estrutura sem sacrificar precisão.</w:t>
      </w:r>
    </w:p>
    <w:p>
      <w:pPr>
        <w:pStyle w:val="ListNumber"/>
      </w:pPr>
      <w:r>
        <w:t>Produzir A01.3–A01.10.</w:t>
      </w:r>
    </w:p>
    <w:p>
      <w:pPr>
        <w:pStyle w:val="ListNumber"/>
      </w:pPr>
      <w:r>
        <w:t>Produzir B01.2–B01.8.</w:t>
      </w:r>
    </w:p>
    <w:p>
      <w:pPr>
        <w:pStyle w:val="ListNumber"/>
      </w:pPr>
      <w:r>
        <w:t>Fazer revisão cruzada: cada peça deve preparar a próxima.</w:t>
      </w:r>
    </w:p>
    <w:p>
      <w:pPr>
        <w:pStyle w:val="ListNumber"/>
      </w:pPr>
      <w:r>
        <w:t>Somente após o fechamento do módulo, avançar para o Módulo 02.</w:t>
      </w:r>
    </w:p>
    <w:p>
      <w:pPr>
        <w:pStyle w:val="Heading1"/>
      </w:pPr>
      <w:r>
        <w:t>8. Checklist científico mínimo</w:t>
      </w:r>
    </w:p>
    <w:p>
      <w:pPr>
        <w:pStyle w:val="ListBullet"/>
      </w:pPr>
      <w:r>
        <w:t>Definições não podem depender de metáforas isoladas.</w:t>
      </w:r>
    </w:p>
    <w:p>
      <w:pPr>
        <w:pStyle w:val="ListBullet"/>
      </w:pPr>
      <w:r>
        <w:t>Metáforas devem ser identificadas como modelos, não como descrição literal.</w:t>
      </w:r>
    </w:p>
    <w:p>
      <w:pPr>
        <w:pStyle w:val="ListBullet"/>
      </w:pPr>
      <w:r>
        <w:t>Íons devem ser distinguidos de moléculas neutras quando isso for relevante.</w:t>
      </w:r>
    </w:p>
    <w:p>
      <w:pPr>
        <w:pStyle w:val="ListBullet"/>
      </w:pPr>
      <w:r>
        <w:t>Transporte passivo e ativo não devem ser confundidos.</w:t>
      </w:r>
    </w:p>
    <w:p>
      <w:pPr>
        <w:pStyle w:val="ListBullet"/>
      </w:pPr>
      <w:r>
        <w:t>Canal, bomba, receptor e transportador devem ser tratados como categorias funcionais distintas.</w:t>
      </w:r>
    </w:p>
    <w:p>
      <w:pPr>
        <w:pStyle w:val="ListBullet"/>
      </w:pPr>
      <w:r>
        <w:t>Gradiente químico e gradiente elétrico devem ser diferenciados antes de introduzir o conceito eletroquímico.</w:t>
      </w:r>
    </w:p>
    <w:p>
      <w:pPr>
        <w:pStyle w:val="ListBullet"/>
      </w:pPr>
      <w:r>
        <w:t>ATP deve ser apresentado como moeda energética funcional, sem sugerir que 'cria' energia.</w:t>
      </w:r>
    </w:p>
    <w:p>
      <w:pPr>
        <w:pStyle w:val="ListBullet"/>
      </w:pPr>
      <w:r>
        <w:t>Não atribuir à mitocôndria toda a produção energética de forma simplista; o foco é o papel dela no contexto celular.</w:t>
      </w:r>
    </w:p>
    <w:p>
      <w:pPr>
        <w:pStyle w:val="ListBullet"/>
      </w:pPr>
      <w:r>
        <w:t>Toda figura molecular deve respeitar proporções conceituais e indicar quando a escala é esquemática.</w:t>
      </w:r>
    </w:p>
    <w:p>
      <w:pPr>
        <w:pStyle w:val="Heading1"/>
      </w:pPr>
      <w:r>
        <w:t>9. Checklist pedagógico</w:t>
      </w:r>
    </w:p>
    <w:p>
      <w:pPr>
        <w:pStyle w:val="ListBullet"/>
      </w:pPr>
      <w:r>
        <w:t>Cada peça responde uma pergunta.</w:t>
      </w:r>
    </w:p>
    <w:p>
      <w:pPr>
        <w:pStyle w:val="ListBullet"/>
      </w:pPr>
      <w:r>
        <w:t>Cada peça tem uma ideia central visível em poucos segundos.</w:t>
      </w:r>
    </w:p>
    <w:p>
      <w:pPr>
        <w:pStyle w:val="ListBullet"/>
      </w:pPr>
      <w:r>
        <w:t>O aluno consegue identificar o que entra, o que sai e o que muda quando houver processo.</w:t>
      </w:r>
    </w:p>
    <w:p>
      <w:pPr>
        <w:pStyle w:val="ListBullet"/>
      </w:pPr>
      <w:r>
        <w:t>Termos novos são introduzidos antes de serem usados como pré-requisitos.</w:t>
      </w:r>
    </w:p>
    <w:p>
      <w:pPr>
        <w:pStyle w:val="ListBullet"/>
      </w:pPr>
      <w:r>
        <w:t>A Série A responde 'o que é/qual a relação'; a Série B responde 'como é/como funciona'.</w:t>
      </w:r>
    </w:p>
    <w:p>
      <w:pPr>
        <w:pStyle w:val="ListBullet"/>
      </w:pPr>
      <w:r>
        <w:t>O final de cada peça contém uma ponte explícita para o próximo conceito quando pertinente.</w:t>
      </w:r>
    </w:p>
    <w:p>
      <w:pPr>
        <w:pStyle w:val="Heading1"/>
      </w:pPr>
      <w:r>
        <w:t>10. Ponte para o Módulo 04</w:t>
      </w:r>
    </w:p>
    <w:p>
      <w:r>
        <w:rPr>
          <w:b/>
          <w:sz w:val="24"/>
        </w:rPr>
        <w:t>membrana → permeabilidade → íons → gradientes → canais → potencial de membrana → potencial de ação</w:t>
      </w:r>
    </w:p>
    <w:p>
      <w:r>
        <w:t>Se essa cadeia ainda parecer uma sequência de palavras, o Módulo 01 não está pronto. O critério não é ter visto os termos; é conseguir explicar por que cada elo é necessário para o seguinte.</w:t>
      </w:r>
    </w:p>
    <w:p>
      <w:pPr>
        <w:pStyle w:val="Heading1"/>
      </w:pPr>
      <w:r>
        <w:t>11. Regra de expansão</w:t>
      </w:r>
    </w:p>
    <w:p>
      <w:r>
        <w:t>Se durante a produção surgir uma dúvida que exija um conceito novo, não devemos simplesmente criar outro infográfico. Primeiro classificaremos a dúvida: (a) lacuna crítica; (b) detalhe opcional; (c) assunto avançado; (d) curiosidade. Somente (a) altera o núcleo do módulo. Os demais vão para complemento ou backlog.</w:t>
      </w:r>
    </w:p>
    <w:p>
      <w:pPr>
        <w:pStyle w:val="Heading1"/>
      </w:pPr>
      <w:r>
        <w:t>12. Entrega final do módulo</w:t>
      </w:r>
    </w:p>
    <w:p>
      <w:pPr>
        <w:pStyle w:val="ListBullet"/>
      </w:pPr>
      <w:r>
        <w:t>10 infográficos da Camada Biologia Base (A01.1–A01.10).</w:t>
      </w:r>
    </w:p>
    <w:p>
      <w:pPr>
        <w:pStyle w:val="ListBullet"/>
      </w:pPr>
      <w:r>
        <w:t>8 infográficos Série B.</w:t>
      </w:r>
    </w:p>
    <w:p>
      <w:pPr>
        <w:pStyle w:val="ListBullet"/>
      </w:pPr>
      <w:r>
        <w:t>1 mapa-resumo do módulo.</w:t>
      </w:r>
    </w:p>
    <w:p>
      <w:pPr>
        <w:pStyle w:val="ListBullet"/>
      </w:pPr>
      <w:r>
        <w:t>1 glossário mínimo.</w:t>
      </w:r>
    </w:p>
    <w:p>
      <w:pPr>
        <w:pStyle w:val="ListBullet"/>
      </w:pPr>
      <w:r>
        <w:t>1 mapa de pré-requisitos para Bioeletricidade Neuronal.</w:t>
      </w:r>
    </w:p>
    <w:p>
      <w:pPr>
        <w:pStyle w:val="ListBullet"/>
      </w:pPr>
      <w:r>
        <w:t>Registro das fontes utilizadas em cada peça.</w:t>
      </w:r>
    </w:p>
    <w:p>
      <w:pPr>
        <w:pStyle w:val="ListBullet"/>
      </w:pPr>
      <w:r>
        <w:t>Revisão científica e pedagógica antes de considerar o módulo concluído.</w:t>
      </w:r>
    </w:p>
    <w:p>
      <w:pPr>
        <w:pStyle w:val="Heading1"/>
      </w:pPr>
      <w:r>
        <w:t>13. Critério de passagem</w:t>
      </w:r>
    </w:p>
    <w:p>
      <w:r>
        <w:rPr>
          <w:b/>
          <w:sz w:val="26"/>
        </w:rPr>
        <w:t>Não avançamos porque terminamos as imagens. Avançamos quando a base permite compreender o próximo mecanismo.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Neural Nexus • Módulo 01 • Blueprint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