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numbering.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gif" ContentType="image/gif"/>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36" w:after="0"/>
        <w:rPr>
          <w:rFonts w:ascii="Calibri" w:hAnsi="Calibri" w:eastAsia="宋体" w:cs="Calibri" w:asciiTheme="minorHAnsi" w:cstheme="minorHAnsi" w:eastAsiaTheme="minorEastAsia" w:hAnsiTheme="minorHAnsi"/>
          <w:lang w:eastAsia="zh-CN"/>
        </w:rPr>
      </w:pPr>
      <w:r>
        <w:rPr>
          <w:rFonts w:cs="Calibri" w:cstheme="minorHAnsi"/>
        </w:rPr>
        <w:t>Date:  17 August 2026</w:t>
      </w:r>
    </w:p>
    <w:p>
      <w:pPr>
        <w:pStyle w:val="BodyText"/>
        <w:spacing w:before="36" w:after="0"/>
        <w:rPr>
          <w:rFonts w:ascii="Calibri" w:hAnsi="Calibri" w:eastAsia="宋体" w:cs="Calibri" w:asciiTheme="minorHAnsi" w:cstheme="minorHAnsi" w:eastAsiaTheme="minorEastAsia" w:hAnsiTheme="minorHAnsi"/>
          <w:lang w:eastAsia="zh-CN"/>
        </w:rPr>
      </w:pPr>
      <w:r>
        <w:rPr/>
        <w:t>Company Name:  TEST</w:t>
      </w:r>
    </w:p>
    <w:p>
      <w:pPr>
        <w:pStyle w:val="BodyText"/>
        <w:rPr>
          <w:rFonts w:ascii="Calibri" w:hAnsi="Calibri" w:cs="Calibri" w:asciiTheme="minorHAnsi" w:cstheme="minorHAnsi" w:hAnsiTheme="minorHAnsi"/>
        </w:rPr>
      </w:pPr>
      <w:r>
        <w:rPr>
          <w:rFonts w:cs="Calibri" w:cstheme="minorHAnsi"/>
        </w:rPr>
      </w:r>
    </w:p>
    <w:p>
      <w:pPr>
        <w:pStyle w:val="Header"/>
        <w:spacing w:lineRule="auto" w:line="276"/>
        <w:ind w:end="360"/>
        <w:rPr>
          <w:rFonts w:eastAsia="宋体" w:cs="Calibri" w:cstheme="minorHAnsi" w:eastAsiaTheme="minorEastAsia"/>
          <w:lang w:eastAsia="zh-CN"/>
        </w:rPr>
      </w:pPr>
      <w:r>
        <w:rPr>
          <w:rFonts w:eastAsia="宋体" w:cs="Calibri" w:cstheme="minorHAnsi" w:eastAsiaTheme="minorEastAsia"/>
          <w:lang w:eastAsia="zh-CN"/>
        </w:rPr>
        <w:t xml:space="preserve">Dear Management,  </w:t>
      </w:r>
    </w:p>
    <w:p>
      <w:pPr>
        <w:pStyle w:val="Header"/>
        <w:spacing w:lineRule="auto" w:line="276"/>
        <w:ind w:end="360"/>
        <w:rPr>
          <w:rFonts w:cs="Calibri" w:cstheme="minorHAnsi"/>
        </w:rPr>
      </w:pPr>
      <w:r>
        <w:rPr>
          <w:rFonts w:cs="Calibri" w:cstheme="minorHAnsi"/>
        </w:rPr>
      </w:r>
    </w:p>
    <w:p>
      <w:pPr>
        <w:pStyle w:val="Normal"/>
        <w:rPr>
          <w:rFonts w:ascii="Calibri" w:hAnsi="Calibri" w:cs="Calibri" w:asciiTheme="minorHAnsi" w:cstheme="minorHAnsi" w:hAnsiTheme="minorHAnsi"/>
          <w:b/>
        </w:rPr>
      </w:pPr>
      <w:r>
        <w:rPr>
          <w:rFonts w:cs="Calibri" w:cstheme="minorHAnsi"/>
          <w:b/>
        </w:rPr>
        <w:t>PROFESSIONAL PACKAGED SERVICES</w:t>
      </w:r>
    </w:p>
    <w:p>
      <w:pPr>
        <w:pStyle w:val="Normal"/>
        <w:rPr>
          <w:rFonts w:ascii="Calibri" w:hAnsi="Calibri" w:cs="Calibri" w:asciiTheme="minorHAnsi" w:cstheme="minorHAnsi" w:hAnsiTheme="minorHAnsi"/>
          <w:b/>
        </w:rPr>
      </w:pPr>
      <w:r>
        <w:rPr>
          <w:rFonts w:cs="Calibri" w:cstheme="minorHAnsi"/>
          <w:b/>
        </w:rPr>
      </w:r>
    </w:p>
    <w:p>
      <w:pPr>
        <w:pStyle w:val="BodyText"/>
        <w:spacing w:before="8" w:after="0"/>
        <w:jc w:val="both"/>
        <w:rPr>
          <w:rFonts w:ascii="Calibri" w:hAnsi="Calibri" w:eastAsia="宋体" w:cs="Calibri" w:asciiTheme="minorHAnsi" w:cstheme="minorHAnsi" w:eastAsiaTheme="minorEastAsia" w:hAnsiTheme="minorHAnsi"/>
          <w:lang w:eastAsia="zh-CN"/>
        </w:rPr>
      </w:pPr>
      <w:r>
        <w:rPr>
          <w:rFonts w:cs="Calibri" w:cstheme="minorHAnsi"/>
        </w:rPr>
        <w:t xml:space="preserve">Thank you for your interest in our professional services. We have pleasure in furnishing the following service scopes for your consideration: </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Heading1"/>
        <w:numPr>
          <w:ilvl w:val="0"/>
          <w:numId w:val="1"/>
        </w:numPr>
        <w:tabs>
          <w:tab w:val="clear" w:pos="720"/>
          <w:tab w:val="left" w:pos="360" w:leader="none"/>
        </w:tabs>
        <w:ind w:hanging="0" w:start="118"/>
        <w:jc w:val="both"/>
        <w:rPr>
          <w:rFonts w:ascii="Microsoft YaHei" w:hAnsi="Microsoft YaHei" w:eastAsia="Microsoft YaHei" w:cs="Microsoft YaHei"/>
          <w:u w:val="single"/>
        </w:rPr>
      </w:pPr>
      <w:r>
        <w:rPr>
          <w:rFonts w:cs="Calibri" w:cstheme="minorHAnsi"/>
          <w:u w:val="single"/>
        </w:rPr>
        <w:t>Company Incorporation Services</w:t>
      </w:r>
    </w:p>
    <w:p>
      <w:pPr>
        <w:pStyle w:val="BodyText"/>
        <w:numPr>
          <w:ilvl w:val="0"/>
          <w:numId w:val="2"/>
        </w:numPr>
        <w:jc w:val="both"/>
        <w:rPr>
          <w:b/>
          <w:bCs/>
        </w:rPr>
      </w:pPr>
      <w:r>
        <w:rPr/>
        <w:t xml:space="preserve">Company KYC and background checks for all directors and shareholders </w:t>
      </w:r>
    </w:p>
    <w:p>
      <w:pPr>
        <w:pStyle w:val="BodyText"/>
        <w:numPr>
          <w:ilvl w:val="0"/>
          <w:numId w:val="2"/>
        </w:numPr>
        <w:jc w:val="both"/>
        <w:rPr/>
      </w:pPr>
      <w:r>
        <w:rPr/>
        <w:t xml:space="preserve">Name application and Company registration including all government fees </w:t>
      </w:r>
    </w:p>
    <w:p>
      <w:pPr>
        <w:pStyle w:val="BodyText"/>
        <w:numPr>
          <w:ilvl w:val="0"/>
          <w:numId w:val="2"/>
        </w:numPr>
        <w:jc w:val="both"/>
        <w:rPr/>
      </w:pPr>
      <w:r>
        <w:rPr/>
        <w:t>Company related consultations</w:t>
      </w:r>
    </w:p>
    <w:p>
      <w:pPr>
        <w:pStyle w:val="BodyText"/>
        <w:numPr>
          <w:ilvl w:val="0"/>
          <w:numId w:val="2"/>
        </w:numPr>
        <w:jc w:val="both"/>
        <w:rPr/>
      </w:pPr>
      <w:r>
        <w:rPr/>
        <w:t xml:space="preserve">Company standard constitution </w:t>
      </w:r>
    </w:p>
    <w:p>
      <w:pPr>
        <w:pStyle w:val="BodyText"/>
        <w:numPr>
          <w:ilvl w:val="0"/>
          <w:numId w:val="2"/>
        </w:numPr>
        <w:jc w:val="both"/>
        <w:rPr/>
      </w:pPr>
      <w:r>
        <w:rPr/>
        <w:t xml:space="preserve">Company Business profile (Bizfile) </w:t>
      </w:r>
    </w:p>
    <w:p>
      <w:pPr>
        <w:pStyle w:val="BodyText"/>
        <w:numPr>
          <w:ilvl w:val="0"/>
          <w:numId w:val="2"/>
        </w:numPr>
        <w:jc w:val="both"/>
        <w:rPr/>
      </w:pPr>
      <w:r>
        <w:rPr/>
        <w:t xml:space="preserve">Preparation of First Board Meeting Minutes and Resolutions and related forms </w:t>
      </w:r>
    </w:p>
    <w:p>
      <w:pPr>
        <w:pStyle w:val="BodyText"/>
        <w:numPr>
          <w:ilvl w:val="0"/>
          <w:numId w:val="2"/>
        </w:numPr>
        <w:jc w:val="both"/>
        <w:rPr/>
      </w:pPr>
      <w:r>
        <w:rPr/>
        <w:t xml:space="preserve">Company Self-ink stamp </w:t>
      </w:r>
    </w:p>
    <w:p>
      <w:pPr>
        <w:pStyle w:val="BodyText"/>
        <w:numPr>
          <w:ilvl w:val="0"/>
          <w:numId w:val="2"/>
        </w:numPr>
        <w:jc w:val="both"/>
        <w:rPr/>
      </w:pPr>
      <w:r>
        <w:rPr/>
        <w:t xml:space="preserve">Share Certificates </w:t>
      </w:r>
    </w:p>
    <w:p>
      <w:pPr>
        <w:pStyle w:val="BodyText"/>
        <w:numPr>
          <w:ilvl w:val="0"/>
          <w:numId w:val="2"/>
        </w:numPr>
        <w:jc w:val="both"/>
        <w:rPr/>
      </w:pPr>
      <w:r>
        <w:rPr/>
        <w:t xml:space="preserve">Company Registers and other post incorporation documents </w:t>
      </w:r>
    </w:p>
    <w:p>
      <w:pPr>
        <w:pStyle w:val="BodyText"/>
        <w:numPr>
          <w:ilvl w:val="0"/>
          <w:numId w:val="2"/>
        </w:numPr>
        <w:jc w:val="both"/>
        <w:rPr/>
      </w:pPr>
      <w:r>
        <w:rPr/>
        <w:t xml:space="preserve">Register of Controller and updates with government </w:t>
      </w:r>
    </w:p>
    <w:p>
      <w:pPr>
        <w:pStyle w:val="BodyText"/>
        <w:numPr>
          <w:ilvl w:val="0"/>
          <w:numId w:val="2"/>
        </w:numPr>
        <w:jc w:val="both"/>
        <w:rPr>
          <w:u w:val="single"/>
          <w:lang w:val="en-SG"/>
        </w:rPr>
      </w:pPr>
      <w:r>
        <w:rPr/>
        <w:t xml:space="preserve">Preparation of Bank opening Resolutions and assist in Bank opening </w:t>
      </w:r>
    </w:p>
    <w:p>
      <w:pPr>
        <w:pStyle w:val="BodyText"/>
        <w:numPr>
          <w:ilvl w:val="0"/>
          <w:numId w:val="2"/>
        </w:numPr>
        <w:jc w:val="both"/>
        <w:rPr>
          <w:rFonts w:ascii="Calibri" w:hAnsi="Calibri" w:cs="Calibri" w:asciiTheme="minorHAnsi" w:cstheme="minorHAnsi" w:hAnsiTheme="minorHAnsi"/>
          <w:b/>
          <w:bCs/>
        </w:rPr>
      </w:pPr>
      <w:r>
        <w:rPr/>
        <w:t xml:space="preserve">Company Personal Data Protection Support on </w:t>
      </w:r>
    </w:p>
    <w:p>
      <w:pPr>
        <w:pStyle w:val="BodyText"/>
        <w:numPr>
          <w:ilvl w:val="0"/>
          <w:numId w:val="3"/>
        </w:numPr>
        <w:jc w:val="both"/>
        <w:rPr>
          <w:rFonts w:ascii="Calibri" w:hAnsi="Calibri" w:cs="Calibri" w:asciiTheme="minorHAnsi" w:cstheme="minorHAnsi" w:hAnsiTheme="minorHAnsi"/>
          <w:b/>
          <w:bCs/>
        </w:rPr>
      </w:pPr>
      <w:r>
        <w:rPr/>
        <w:t>Appointment of DPO (Data protection officer)</w:t>
      </w:r>
      <w:r>
        <w:rPr>
          <w:rFonts w:eastAsia="宋体" w:eastAsiaTheme="minorEastAsia"/>
          <w:lang w:eastAsia="zh-CN"/>
        </w:rPr>
        <w:t xml:space="preserve"> &amp;</w:t>
      </w:r>
      <w:r>
        <w:rPr/>
        <w:t xml:space="preserve">    </w:t>
      </w:r>
      <w:r>
        <w:rPr>
          <w:rFonts w:eastAsia="宋体" w:eastAsiaTheme="minorEastAsia"/>
          <w:lang w:eastAsia="zh-CN"/>
        </w:rPr>
        <w:t xml:space="preserve">            </w:t>
      </w:r>
    </w:p>
    <w:p>
      <w:pPr>
        <w:pStyle w:val="BodyText"/>
        <w:numPr>
          <w:ilvl w:val="0"/>
          <w:numId w:val="3"/>
        </w:numPr>
        <w:jc w:val="both"/>
        <w:rPr>
          <w:rFonts w:ascii="Calibri" w:hAnsi="Calibri" w:cs="Calibri" w:asciiTheme="minorHAnsi" w:cstheme="minorHAnsi" w:hAnsiTheme="minorHAnsi"/>
          <w:b/>
          <w:bCs/>
        </w:rPr>
      </w:pPr>
      <w:r>
        <w:rPr/>
        <w:t>Notice/Policy generation</w:t>
      </w:r>
      <w:r>
        <w:rPr>
          <w:rFonts w:eastAsia="宋体" w:eastAsiaTheme="minorEastAsia"/>
          <w:lang w:eastAsia="zh-CN"/>
        </w:rPr>
        <w:t xml:space="preserve"> (additional fee will be incurred)</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NormalWeb"/>
        <w:numPr>
          <w:ilvl w:val="0"/>
          <w:numId w:val="1"/>
        </w:numPr>
        <w:spacing w:beforeAutospacing="0" w:before="0" w:afterAutospacing="0" w:after="0"/>
        <w:jc w:val="both"/>
        <w:rPr>
          <w:rFonts w:ascii="Calibri" w:hAnsi="Calibri" w:eastAsia="Calibri" w:cs="Calibri"/>
          <w:b/>
          <w:bCs/>
          <w:sz w:val="22"/>
          <w:szCs w:val="22"/>
          <w:u w:val="single"/>
          <w:lang w:val="en-US" w:eastAsia="en-US"/>
        </w:rPr>
      </w:pPr>
      <w:r>
        <w:rPr>
          <w:rFonts w:eastAsia="Calibri" w:cs="Calibri" w:ascii="Calibri" w:hAnsi="Calibri"/>
          <w:b/>
          <w:bCs/>
          <w:sz w:val="22"/>
          <w:szCs w:val="22"/>
          <w:u w:val="single"/>
          <w:lang w:val="en-US" w:eastAsia="en-US"/>
        </w:rPr>
        <w:t>Corporate Secretarial Services</w:t>
      </w:r>
      <w:r>
        <w:rPr>
          <w:rFonts w:eastAsia="Microsoft YaHei" w:cs="Calibri" w:ascii="Microsoft YaHei" w:hAnsi="Microsoft YaHei"/>
          <w:b/>
          <w:bCs/>
          <w:sz w:val="20"/>
          <w:szCs w:val="20"/>
          <w:u w:val="single"/>
          <w:lang w:val="en-US" w:eastAsia="en-US"/>
        </w:rPr>
        <w:t xml:space="preserve"> </w:t>
      </w:r>
    </w:p>
    <w:p>
      <w:pPr>
        <w:pStyle w:val="BodyText"/>
        <w:numPr>
          <w:ilvl w:val="0"/>
          <w:numId w:val="2"/>
        </w:numPr>
        <w:jc w:val="both"/>
        <w:rPr/>
      </w:pPr>
      <w:r>
        <w:rPr/>
        <w:t xml:space="preserve">Safe custody of statutory records i.e. keeps minute files and statutory registers (e.g. register of shareholders, register of directors and secretaries, register of transfer, register of charges &amp;etc.) </w:t>
      </w:r>
    </w:p>
    <w:p>
      <w:pPr>
        <w:pStyle w:val="BodyText"/>
        <w:numPr>
          <w:ilvl w:val="0"/>
          <w:numId w:val="2"/>
        </w:numPr>
        <w:jc w:val="both"/>
        <w:rPr/>
      </w:pPr>
      <w:r>
        <w:rPr/>
        <w:t xml:space="preserve">Preparing all documentation in connection with the routine Annual General Meeting (“AGM”), as required by the Singapore Companies Act 1967 (the “Act”) </w:t>
      </w:r>
    </w:p>
    <w:p>
      <w:pPr>
        <w:pStyle w:val="BodyText"/>
        <w:numPr>
          <w:ilvl w:val="0"/>
          <w:numId w:val="2"/>
        </w:numPr>
        <w:jc w:val="both"/>
        <w:rPr/>
      </w:pPr>
      <w:r>
        <w:rPr/>
        <w:t>Preparing and submitting to the ACRA, the prescribed Annual Return as required by the Act</w:t>
      </w:r>
    </w:p>
    <w:p>
      <w:pPr>
        <w:pStyle w:val="BodyText"/>
        <w:numPr>
          <w:ilvl w:val="0"/>
          <w:numId w:val="2"/>
        </w:numPr>
        <w:jc w:val="both"/>
        <w:rPr/>
      </w:pPr>
      <w:r>
        <w:rPr/>
        <w:t xml:space="preserve">Drafting routine resolutions may be required for matters such as opening and closing bank account, appointments and resignation of company secretary, change of registered address etc. </w:t>
      </w:r>
    </w:p>
    <w:p>
      <w:pPr>
        <w:pStyle w:val="BodyText"/>
        <w:numPr>
          <w:ilvl w:val="0"/>
          <w:numId w:val="2"/>
        </w:numPr>
        <w:jc w:val="both"/>
        <w:rPr/>
      </w:pPr>
      <w:r>
        <w:rPr/>
        <w:t>Liaison with auditors/accountants in respect of the statutory review of corporate secretarial records where applicable</w:t>
      </w:r>
    </w:p>
    <w:p>
      <w:pPr>
        <w:pStyle w:val="BodyText"/>
        <w:numPr>
          <w:ilvl w:val="0"/>
          <w:numId w:val="2"/>
        </w:numPr>
        <w:jc w:val="both"/>
        <w:rPr/>
      </w:pPr>
      <w:r>
        <w:rPr/>
        <w:t xml:space="preserve">Attend to ad hoc request, including preparation of resolutions and lodgments of necessary report/return/information with ACRA such as Extraordinary General Meeting (EGM), allotment of shares, transfer of shares, alteration of memorandum and articles of associations, Conversion of statutory financial statements to XBRL format for filling with ACRA etc. (additional service fees will be varying subject to complexity of the matter) where applicable </w:t>
      </w:r>
    </w:p>
    <w:p>
      <w:pPr>
        <w:pStyle w:val="BodyText"/>
        <w:numPr>
          <w:ilvl w:val="0"/>
          <w:numId w:val="2"/>
        </w:numPr>
        <w:jc w:val="both"/>
        <w:rPr/>
      </w:pPr>
      <w:r>
        <w:rPr/>
        <w:t>Name as secretary of the Company (our secretary who is CPA will be named in ACRA bizfile)</w:t>
      </w:r>
    </w:p>
    <w:p>
      <w:pPr>
        <w:pStyle w:val="BodyText"/>
        <w:numPr>
          <w:ilvl w:val="0"/>
          <w:numId w:val="2"/>
        </w:numPr>
        <w:jc w:val="both"/>
        <w:rPr/>
      </w:pPr>
      <w:r>
        <w:rPr/>
        <w:t xml:space="preserve">Important dates Notification during the year </w:t>
      </w:r>
    </w:p>
    <w:p>
      <w:pPr>
        <w:pStyle w:val="BodyText"/>
        <w:numPr>
          <w:ilvl w:val="0"/>
          <w:numId w:val="2"/>
        </w:numPr>
        <w:jc w:val="both"/>
        <w:rPr>
          <w:rFonts w:ascii="Calibri" w:hAnsi="Calibri" w:cs="Calibri" w:asciiTheme="minorHAnsi" w:cstheme="minorHAnsi" w:hAnsiTheme="minorHAnsi"/>
        </w:rPr>
      </w:pPr>
      <w:r>
        <w:rPr/>
        <w:t>Government Updates notifications and updates compliance (e.g. Register of controllers &amp;KYC)</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NormalWeb"/>
        <w:numPr>
          <w:ilvl w:val="0"/>
          <w:numId w:val="1"/>
        </w:numPr>
        <w:spacing w:beforeAutospacing="0" w:before="0" w:afterAutospacing="0" w:after="0"/>
        <w:jc w:val="both"/>
        <w:rPr>
          <w:rFonts w:ascii="Calibri" w:hAnsi="Calibri" w:eastAsia="Calibri" w:cs="Calibri"/>
          <w:b/>
          <w:bCs/>
          <w:sz w:val="22"/>
          <w:szCs w:val="22"/>
          <w:u w:val="single"/>
          <w:lang w:val="en-US" w:eastAsia="en-US"/>
        </w:rPr>
      </w:pPr>
      <w:r>
        <w:rPr>
          <w:rFonts w:eastAsia="Calibri" w:cs="Calibri" w:ascii="Calibri" w:hAnsi="Calibri"/>
          <w:b/>
          <w:bCs/>
          <w:sz w:val="22"/>
          <w:szCs w:val="22"/>
          <w:u w:val="single"/>
          <w:lang w:val="en-US" w:eastAsia="en-US"/>
        </w:rPr>
        <w:t>Company Bank Account Opening Support</w:t>
      </w:r>
    </w:p>
    <w:p>
      <w:pPr>
        <w:pStyle w:val="BodyText"/>
        <w:numPr>
          <w:ilvl w:val="0"/>
          <w:numId w:val="2"/>
        </w:numPr>
        <w:jc w:val="both"/>
        <w:rPr/>
      </w:pPr>
      <w:r>
        <w:rPr/>
        <w:t>Bank resolution preparation; service included in our incorporation service</w:t>
      </w:r>
    </w:p>
    <w:p>
      <w:pPr>
        <w:pStyle w:val="BodyText"/>
        <w:numPr>
          <w:ilvl w:val="0"/>
          <w:numId w:val="2"/>
        </w:numPr>
        <w:jc w:val="both"/>
        <w:rPr/>
      </w:pPr>
      <w:r>
        <w:rPr/>
        <w:t>Assisting with bank opening including introduce different banks and help do assessment</w:t>
      </w:r>
    </w:p>
    <w:p>
      <w:pPr>
        <w:pStyle w:val="BodyText"/>
        <w:spacing w:before="10" w:after="0"/>
        <w:ind w:start="501"/>
        <w:jc w:val="both"/>
        <w:rPr>
          <w:rFonts w:ascii="Microsoft YaHei" w:hAnsi="Microsoft YaHei" w:eastAsia="Microsoft YaHei" w:cs="Microsoft YaHei"/>
          <w:color w:val="2C2C2C"/>
          <w:sz w:val="20"/>
          <w:szCs w:val="20"/>
          <w:lang w:eastAsia="zh-CN"/>
        </w:rPr>
      </w:pPr>
      <w:r>
        <w:rPr/>
        <w:t xml:space="preserve"> </w:t>
      </w:r>
      <w:r>
        <w:rPr/>
        <w:t>(UOB/OCBC/Standard Chartered/CIMB/DBS)</w:t>
      </w:r>
    </w:p>
    <w:p>
      <w:pPr>
        <w:pStyle w:val="BodyText"/>
        <w:numPr>
          <w:ilvl w:val="0"/>
          <w:numId w:val="2"/>
        </w:numPr>
        <w:jc w:val="both"/>
        <w:rPr/>
      </w:pPr>
      <w:r>
        <w:rPr/>
        <w:t xml:space="preserve">Or with your own bank relationships, support on bank opening will be provided </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NormalWeb"/>
        <w:numPr>
          <w:ilvl w:val="0"/>
          <w:numId w:val="1"/>
        </w:numPr>
        <w:spacing w:beforeAutospacing="0" w:before="0" w:afterAutospacing="0" w:after="0"/>
        <w:jc w:val="both"/>
        <w:rPr>
          <w:rFonts w:ascii="Calibri" w:hAnsi="Calibri" w:eastAsia="Calibri" w:cs="Calibri"/>
          <w:b/>
          <w:bCs/>
          <w:sz w:val="22"/>
          <w:szCs w:val="22"/>
          <w:u w:val="single"/>
          <w:lang w:val="en-US" w:eastAsia="en-US"/>
        </w:rPr>
      </w:pPr>
      <w:r>
        <w:rPr>
          <w:rFonts w:eastAsia="Calibri" w:cs="Calibri" w:ascii="Calibri" w:hAnsi="Calibri"/>
          <w:b/>
          <w:bCs/>
          <w:sz w:val="22"/>
          <w:szCs w:val="22"/>
          <w:u w:val="single"/>
          <w:lang w:val="en-US" w:eastAsia="en-US"/>
        </w:rPr>
        <w:t>Company Registered and Mailing Address Services</w:t>
      </w:r>
    </w:p>
    <w:p>
      <w:pPr>
        <w:pStyle w:val="BodyText"/>
        <w:numPr>
          <w:ilvl w:val="0"/>
          <w:numId w:val="2"/>
        </w:numPr>
        <w:jc w:val="both"/>
        <w:rPr>
          <w:rFonts w:ascii="Microsoft YaHei" w:hAnsi="Microsoft YaHei" w:eastAsia="Microsoft YaHei" w:cs="Microsoft YaHei"/>
          <w:sz w:val="20"/>
          <w:szCs w:val="20"/>
          <w:lang w:eastAsia="zh-CN"/>
        </w:rPr>
      </w:pPr>
      <w:r>
        <w:rPr/>
        <w:t xml:space="preserve">Registered address </w:t>
      </w:r>
    </w:p>
    <w:p>
      <w:pPr>
        <w:pStyle w:val="BodyText"/>
        <w:numPr>
          <w:ilvl w:val="0"/>
          <w:numId w:val="2"/>
        </w:numPr>
        <w:jc w:val="both"/>
        <w:rPr>
          <w:rFonts w:ascii="Microsoft YaHei" w:hAnsi="Microsoft YaHei" w:eastAsia="Microsoft YaHei" w:cs="Microsoft YaHei"/>
          <w:sz w:val="20"/>
          <w:szCs w:val="20"/>
          <w:lang w:eastAsia="zh-CN"/>
        </w:rPr>
      </w:pPr>
      <w:r>
        <w:rPr/>
        <w:t>Mails checking/collection/scanning/emailing, and postage or courier arrangement upon request</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NormalWeb"/>
        <w:numPr>
          <w:ilvl w:val="0"/>
          <w:numId w:val="1"/>
        </w:numPr>
        <w:spacing w:beforeAutospacing="0" w:before="0" w:afterAutospacing="0" w:after="0"/>
        <w:jc w:val="both"/>
        <w:rPr>
          <w:rFonts w:ascii="Calibri" w:hAnsi="Calibri" w:eastAsia="Calibri" w:cs="Calibri"/>
          <w:b/>
          <w:bCs/>
          <w:sz w:val="22"/>
          <w:szCs w:val="22"/>
          <w:u w:val="single"/>
          <w:lang w:val="en-US" w:eastAsia="en-US"/>
        </w:rPr>
      </w:pPr>
      <w:r>
        <w:rPr>
          <w:rFonts w:eastAsia="Calibri" w:cs="Calibri" w:ascii="Calibri" w:hAnsi="Calibri"/>
          <w:b/>
          <w:bCs/>
          <w:sz w:val="22"/>
          <w:szCs w:val="22"/>
          <w:u w:val="single"/>
          <w:lang w:val="en-US" w:eastAsia="en-US"/>
        </w:rPr>
        <w:t>Annual Nominee Director Service- Yearly</w:t>
      </w:r>
    </w:p>
    <w:p>
      <w:pPr>
        <w:pStyle w:val="BodyText"/>
        <w:numPr>
          <w:ilvl w:val="0"/>
          <w:numId w:val="2"/>
        </w:numPr>
        <w:jc w:val="both"/>
        <w:rPr/>
      </w:pPr>
      <w:r>
        <w:rPr/>
        <w:t>Being Named Local director in ACRA; Local Singaporean Director will be provided by us, and no operations will be involved</w:t>
      </w:r>
    </w:p>
    <w:p>
      <w:pPr>
        <w:pStyle w:val="BodyText"/>
        <w:numPr>
          <w:ilvl w:val="0"/>
          <w:numId w:val="2"/>
        </w:numPr>
        <w:jc w:val="both"/>
        <w:rPr/>
      </w:pPr>
      <w:r>
        <w:rPr/>
        <w:t>Detailed refer to the Nominee Director Agreement drafted and finalized by our lawyer</w:t>
      </w:r>
    </w:p>
    <w:p>
      <w:pPr>
        <w:pStyle w:val="BodyText"/>
        <w:numPr>
          <w:ilvl w:val="0"/>
          <w:numId w:val="2"/>
        </w:numPr>
        <w:jc w:val="both"/>
        <w:rPr/>
      </w:pPr>
      <w:r>
        <w:rPr/>
        <w:t>We also can involve lawyer review and consultations on our agreement where you have special conditions or requirements based on mutual agreement</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NormalWeb"/>
        <w:numPr>
          <w:ilvl w:val="0"/>
          <w:numId w:val="1"/>
        </w:numPr>
        <w:spacing w:beforeAutospacing="0" w:before="0" w:afterAutospacing="0" w:after="0"/>
        <w:jc w:val="both"/>
        <w:rPr>
          <w:rFonts w:ascii="Calibri" w:hAnsi="Calibri" w:eastAsia="Calibri" w:cs="Calibri"/>
          <w:b/>
          <w:bCs/>
          <w:sz w:val="22"/>
          <w:szCs w:val="22"/>
          <w:u w:val="single"/>
          <w:lang w:val="en-US" w:eastAsia="en-US"/>
        </w:rPr>
      </w:pPr>
      <w:r>
        <w:rPr>
          <w:rFonts w:eastAsia="Calibri" w:cs="Calibri" w:ascii="Calibri" w:hAnsi="Calibri"/>
          <w:b/>
          <w:bCs/>
          <w:sz w:val="22"/>
          <w:szCs w:val="22"/>
          <w:u w:val="single"/>
          <w:lang w:val="en-US" w:eastAsia="en-US"/>
        </w:rPr>
        <w:t xml:space="preserve">Employment Pass application services </w:t>
      </w:r>
    </w:p>
    <w:p>
      <w:pPr>
        <w:pStyle w:val="BodyText"/>
        <w:numPr>
          <w:ilvl w:val="0"/>
          <w:numId w:val="2"/>
        </w:numPr>
        <w:jc w:val="both"/>
        <w:rPr/>
      </w:pPr>
      <w:r>
        <w:rPr/>
        <w:t>Employment Pass (“EP”) refers to a work pass issued by the Ministry of Manpower (“MOM”) to eligible foreign professionals, managers, executives, and specialists working in Singapore</w:t>
      </w:r>
    </w:p>
    <w:p>
      <w:pPr>
        <w:pStyle w:val="BodyText"/>
        <w:numPr>
          <w:ilvl w:val="0"/>
          <w:numId w:val="2"/>
        </w:numPr>
        <w:jc w:val="both"/>
        <w:rPr/>
      </w:pPr>
      <w:r>
        <w:rPr/>
        <w:t>Assisting the Company and/or applicant with the EP application process, including preliminary eligibility assessment and advisory, review and preparation of supporting documents, submission of EP application to MOM, posting of job advertisements where required, liaison with relevant authorities, submission of additional documents or appeals where necessary, and administrative support until issuance of the In-Principle Approval (“IPA”) letter and receipt of the EP card</w:t>
      </w:r>
    </w:p>
    <w:p>
      <w:pPr>
        <w:pStyle w:val="BodyText"/>
        <w:numPr>
          <w:ilvl w:val="0"/>
          <w:numId w:val="2"/>
        </w:numPr>
        <w:jc w:val="both"/>
        <w:rPr/>
      </w:pPr>
      <w:r>
        <w:rPr/>
        <w:t>Where applicable, we also provide related corporate administrative coordination and advisory support in connection with the EP application process</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NormalWeb"/>
        <w:numPr>
          <w:ilvl w:val="0"/>
          <w:numId w:val="1"/>
        </w:numPr>
        <w:spacing w:beforeAutospacing="0" w:before="0" w:afterAutospacing="0" w:after="0"/>
        <w:jc w:val="both"/>
        <w:rPr>
          <w:rFonts w:ascii="Calibri" w:hAnsi="Calibri" w:eastAsia="Calibri" w:cs="Calibri"/>
          <w:b/>
          <w:bCs/>
          <w:sz w:val="22"/>
          <w:szCs w:val="22"/>
          <w:u w:val="single"/>
          <w:lang w:val="en-US" w:eastAsia="en-US"/>
        </w:rPr>
      </w:pPr>
      <w:r>
        <w:rPr>
          <w:rFonts w:eastAsia="Calibri" w:cs="Calibri" w:ascii="Calibri" w:hAnsi="Calibri"/>
          <w:b/>
          <w:bCs/>
          <w:sz w:val="22"/>
          <w:szCs w:val="22"/>
          <w:u w:val="single"/>
          <w:lang w:val="en-US" w:eastAsia="en-US"/>
        </w:rPr>
        <w:t>Dependant’s Pass (“DP”) Application Service</w:t>
      </w:r>
    </w:p>
    <w:p>
      <w:pPr>
        <w:pStyle w:val="BodyText"/>
        <w:numPr>
          <w:ilvl w:val="0"/>
          <w:numId w:val="2"/>
        </w:numPr>
        <w:jc w:val="both"/>
        <w:rPr/>
      </w:pPr>
      <w:r>
        <w:rPr/>
        <w:t>DP refers to a pass issued by the Ministry of Manpower (“MOM”) to eligible family members of Employment Pass or S Pass holders residing in Singapore.</w:t>
      </w:r>
    </w:p>
    <w:p>
      <w:pPr>
        <w:pStyle w:val="BodyText"/>
        <w:numPr>
          <w:ilvl w:val="0"/>
          <w:numId w:val="2"/>
        </w:numPr>
        <w:jc w:val="both"/>
        <w:rPr/>
      </w:pPr>
      <w:r>
        <w:rPr/>
        <w:t>Assisting the Company and/or applicant with the DP application process, including review and preparation of supporting documents, submission of DP application to MOM, liaison with relevant authorities, submission of additional documents where required, and administrative support until issuance of the In-Principle Approval (“IPA”) letter and receipt of the DP card.</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NormalWeb"/>
        <w:numPr>
          <w:ilvl w:val="0"/>
          <w:numId w:val="1"/>
        </w:numPr>
        <w:spacing w:beforeAutospacing="0" w:before="0" w:afterAutospacing="0" w:after="0"/>
        <w:jc w:val="both"/>
        <w:rPr>
          <w:rFonts w:ascii="Calibri" w:hAnsi="Calibri" w:eastAsia="Calibri" w:cs="Calibri"/>
          <w:b/>
          <w:bCs/>
          <w:sz w:val="22"/>
          <w:szCs w:val="22"/>
          <w:u w:val="single"/>
          <w:lang w:val="en-US" w:eastAsia="en-US"/>
        </w:rPr>
      </w:pPr>
      <w:r>
        <w:rPr>
          <w:rFonts w:eastAsia="Calibri" w:cs="Calibri" w:ascii="Calibri" w:hAnsi="Calibri"/>
          <w:b/>
          <w:bCs/>
          <w:sz w:val="22"/>
          <w:szCs w:val="22"/>
          <w:u w:val="single"/>
          <w:lang w:val="en-US" w:eastAsia="en-US"/>
        </w:rPr>
        <w:t>Annual Return Service</w:t>
      </w:r>
    </w:p>
    <w:p>
      <w:pPr>
        <w:pStyle w:val="BodyText"/>
        <w:numPr>
          <w:ilvl w:val="0"/>
          <w:numId w:val="2"/>
        </w:numPr>
        <w:jc w:val="both"/>
        <w:rPr/>
      </w:pPr>
      <w:r>
        <w:rPr/>
        <w:t>The Company shall hold its Annual General Meeting (“AGM”) and file its Annual Return with the Accounting and Corporate Regulatory Authority (“ACRA”) on a yearly basis in accordance with the Companies Act 1967 and prevailing ACRA requirements. Annual compliance records, including the Register of Controllers and KYC, may also be reviewed and updated annually as required</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NormalWeb"/>
        <w:numPr>
          <w:ilvl w:val="0"/>
          <w:numId w:val="1"/>
        </w:numPr>
        <w:spacing w:beforeAutospacing="0" w:before="0" w:afterAutospacing="0" w:after="0"/>
        <w:jc w:val="both"/>
        <w:rPr>
          <w:rFonts w:ascii="Microsoft YaHei" w:hAnsi="Microsoft YaHei" w:eastAsia="Microsoft YaHei" w:cs="Calibri" w:cstheme="minorHAnsi"/>
          <w:b/>
          <w:bCs/>
          <w:sz w:val="20"/>
          <w:szCs w:val="20"/>
          <w:u w:val="single"/>
          <w:lang w:val="en-US" w:eastAsia="en-US"/>
        </w:rPr>
      </w:pPr>
      <w:r>
        <w:rPr>
          <w:rFonts w:eastAsia="Calibri" w:cs="Calibri" w:ascii="Calibri" w:hAnsi="Calibri"/>
          <w:b/>
          <w:bCs/>
          <w:sz w:val="22"/>
          <w:szCs w:val="22"/>
          <w:u w:val="single"/>
          <w:lang w:val="en-US" w:eastAsia="en-US"/>
        </w:rPr>
        <w:t>XBRL Reporting Service</w:t>
      </w:r>
    </w:p>
    <w:p>
      <w:pPr>
        <w:pStyle w:val="BodyText"/>
        <w:numPr>
          <w:ilvl w:val="0"/>
          <w:numId w:val="2"/>
        </w:numPr>
        <w:jc w:val="both"/>
        <w:rPr/>
      </w:pPr>
      <w:r>
        <w:rPr/>
        <w:t>Full XBRL is required for a company with corporate shareholders. Partial XBRL is required for a company with net liability position. Other companies are not compulsory for XBRL services.</w:t>
      </w:r>
    </w:p>
    <w:p>
      <w:pPr>
        <w:pStyle w:val="BodyText"/>
        <w:numPr>
          <w:ilvl w:val="0"/>
          <w:numId w:val="2"/>
        </w:numPr>
        <w:jc w:val="both"/>
        <w:rPr/>
      </w:pPr>
      <w:r>
        <w:rPr/>
        <w:t>XBRL stands for extensible Business Reporting Language. It is a language for the electronic communication of business and financial data worldwide. As one of the family of "XML" languages, it is becoming a standard means of communicating information between businesses and on the Internet.</w:t>
      </w:r>
    </w:p>
    <w:p>
      <w:pPr>
        <w:pStyle w:val="BodyText"/>
        <w:jc w:val="both"/>
        <w:rPr>
          <w:rFonts w:eastAsia="宋体" w:eastAsiaTheme="minorEastAsia"/>
          <w:lang w:eastAsia="zh-CN"/>
        </w:rPr>
      </w:pPr>
      <w:r>
        <w:rPr>
          <w:rFonts w:eastAsia="宋体" w:eastAsiaTheme="minorEastAsia"/>
          <w:lang w:eastAsia="zh-CN"/>
        </w:rPr>
      </w:r>
    </w:p>
    <w:p>
      <w:pPr>
        <w:pStyle w:val="ListParagraph"/>
        <w:numPr>
          <w:ilvl w:val="0"/>
          <w:numId w:val="1"/>
        </w:numPr>
        <w:tabs>
          <w:tab w:val="clear" w:pos="720"/>
          <w:tab w:val="left" w:pos="839" w:leader="none"/>
        </w:tabs>
        <w:ind w:hanging="360" w:start="450" w:end="233"/>
        <w:jc w:val="both"/>
        <w:rPr>
          <w:rFonts w:ascii="Microsoft YaHei" w:hAnsi="Microsoft YaHei" w:eastAsia="Microsoft YaHei" w:cs="Calibri" w:cstheme="minorHAnsi"/>
          <w:b/>
          <w:bCs/>
          <w:sz w:val="20"/>
          <w:szCs w:val="20"/>
          <w:u w:val="single"/>
        </w:rPr>
      </w:pPr>
      <w:r>
        <w:rPr>
          <w:rFonts w:cs="Calibri" w:cstheme="minorHAnsi"/>
          <w:b/>
          <w:bCs/>
          <w:u w:val="single"/>
        </w:rPr>
        <w:t xml:space="preserve">Management Accounts Preparation Services </w:t>
      </w:r>
      <w:r>
        <w:rPr>
          <w:rFonts w:eastAsia="Microsoft YaHei" w:cs="Calibri" w:cstheme="minorHAnsi"/>
          <w:b/>
          <w:bCs/>
          <w:u w:val="single"/>
          <w:lang w:eastAsia="zh-CN"/>
        </w:rPr>
        <w:t>- Yearly</w:t>
      </w:r>
    </w:p>
    <w:p>
      <w:pPr>
        <w:pStyle w:val="BodyText"/>
        <w:numPr>
          <w:ilvl w:val="0"/>
          <w:numId w:val="2"/>
        </w:numPr>
        <w:jc w:val="both"/>
        <w:rPr/>
      </w:pPr>
      <w:r>
        <w:rPr/>
        <w:t>Data processing of transactions based on client record and supporting documents</w:t>
      </w:r>
    </w:p>
    <w:p>
      <w:pPr>
        <w:pStyle w:val="BodyText"/>
        <w:numPr>
          <w:ilvl w:val="0"/>
          <w:numId w:val="2"/>
        </w:numPr>
        <w:jc w:val="both"/>
        <w:rPr/>
      </w:pPr>
      <w:r>
        <w:rPr/>
        <w:t>Preparing management reports in the form of Trial Balance, Balance Sheet and Profit/Loss Account with relevant schedules</w:t>
      </w:r>
    </w:p>
    <w:p>
      <w:pPr>
        <w:pStyle w:val="BodyText"/>
        <w:numPr>
          <w:ilvl w:val="0"/>
          <w:numId w:val="2"/>
        </w:numPr>
        <w:jc w:val="both"/>
        <w:rPr/>
      </w:pPr>
      <w:r>
        <w:rPr/>
        <w:t>Preparing for bank reconciliation, and ageing accounts receivable/ payable</w:t>
      </w:r>
    </w:p>
    <w:p>
      <w:pPr>
        <w:pStyle w:val="BodyText"/>
        <w:numPr>
          <w:ilvl w:val="0"/>
          <w:numId w:val="2"/>
        </w:numPr>
        <w:jc w:val="both"/>
        <w:rPr/>
      </w:pPr>
      <w:r>
        <w:rPr/>
        <w:t xml:space="preserve">Compiling general ledger </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ListParagraph"/>
        <w:numPr>
          <w:ilvl w:val="0"/>
          <w:numId w:val="1"/>
        </w:numPr>
        <w:tabs>
          <w:tab w:val="clear" w:pos="720"/>
          <w:tab w:val="left" w:pos="839" w:leader="none"/>
        </w:tabs>
        <w:ind w:hanging="360" w:start="450" w:end="233"/>
        <w:jc w:val="both"/>
        <w:rPr>
          <w:b/>
          <w:bCs/>
          <w:u w:val="single"/>
        </w:rPr>
      </w:pPr>
      <w:bookmarkStart w:id="0" w:name="_Hlk45815681"/>
      <w:r>
        <w:rPr>
          <w:b/>
          <w:bCs/>
          <w:u w:val="single"/>
        </w:rPr>
        <w:t xml:space="preserve">Unaudited Financial Statement </w:t>
      </w:r>
      <w:bookmarkEnd w:id="0"/>
      <w:r>
        <w:rPr>
          <w:b/>
          <w:bCs/>
          <w:u w:val="single"/>
        </w:rPr>
        <w:t>Preparation Services</w:t>
      </w:r>
    </w:p>
    <w:p>
      <w:pPr>
        <w:pStyle w:val="BodyText"/>
        <w:numPr>
          <w:ilvl w:val="0"/>
          <w:numId w:val="2"/>
        </w:numPr>
        <w:jc w:val="both"/>
        <w:rPr/>
      </w:pPr>
      <w:r>
        <w:rPr/>
        <w:t>Compile the financial statements of the company including directors’ statement and financial position as at Year end and statement of comprehensive income, statement of changes in equity and statement of cash flows for the financial year ending together with notes to accounts. </w:t>
      </w:r>
    </w:p>
    <w:p>
      <w:pPr>
        <w:pStyle w:val="BodyText"/>
        <w:numPr>
          <w:ilvl w:val="0"/>
          <w:numId w:val="2"/>
        </w:numPr>
        <w:jc w:val="both"/>
        <w:rPr/>
      </w:pPr>
      <w:r>
        <w:rPr/>
        <w:t>We will not carry out audit and/or review engagement procedures in relation to such financial statements. </w:t>
      </w:r>
    </w:p>
    <w:p>
      <w:pPr>
        <w:pStyle w:val="BodyText"/>
        <w:numPr>
          <w:ilvl w:val="0"/>
          <w:numId w:val="2"/>
        </w:numPr>
        <w:jc w:val="both"/>
        <w:rPr/>
      </w:pPr>
      <w:r>
        <w:rPr/>
        <w:t>Consequently, no assurance on the financial statements will be expressed.</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ListParagraph"/>
        <w:numPr>
          <w:ilvl w:val="0"/>
          <w:numId w:val="1"/>
        </w:numPr>
        <w:tabs>
          <w:tab w:val="clear" w:pos="720"/>
          <w:tab w:val="left" w:pos="839" w:leader="none"/>
        </w:tabs>
        <w:ind w:hanging="360" w:start="450" w:end="233"/>
        <w:jc w:val="both"/>
        <w:rPr>
          <w:b/>
          <w:bCs/>
          <w:u w:val="single"/>
        </w:rPr>
      </w:pPr>
      <w:r>
        <w:rPr>
          <w:b/>
          <w:bCs/>
          <w:u w:val="single"/>
        </w:rPr>
        <w:t>Auditing services - Quote once yearly accounts done</w:t>
      </w:r>
    </w:p>
    <w:p>
      <w:pPr>
        <w:pStyle w:val="BodyText"/>
        <w:numPr>
          <w:ilvl w:val="0"/>
          <w:numId w:val="2"/>
        </w:numPr>
        <w:jc w:val="both"/>
        <w:rPr/>
      </w:pPr>
      <w:r>
        <w:rPr/>
        <w:t>Auditing standards Singapore will be complied, auditor will express opinion in the audit report</w:t>
      </w:r>
    </w:p>
    <w:p>
      <w:pPr>
        <w:pStyle w:val="BodyText"/>
        <w:numPr>
          <w:ilvl w:val="0"/>
          <w:numId w:val="2"/>
        </w:numPr>
        <w:jc w:val="both"/>
        <w:rPr/>
      </w:pPr>
      <w:r>
        <w:rPr/>
        <w:t>The Company under small group can be exempt from audit, our accountant will approach you for confirmation once year end</w:t>
      </w:r>
    </w:p>
    <w:p>
      <w:pPr>
        <w:pStyle w:val="BodyText"/>
        <w:numPr>
          <w:ilvl w:val="0"/>
          <w:numId w:val="2"/>
        </w:numPr>
        <w:jc w:val="both"/>
        <w:rPr/>
      </w:pPr>
      <w:r>
        <w:rPr/>
        <w:t>To qualify as a “small group”, the group (comprising of all the companies) must fulfil two out of the following three conditions in the immediately preceding financial year:</w:t>
      </w:r>
    </w:p>
    <w:p>
      <w:pPr>
        <w:pStyle w:val="ListParagraph"/>
        <w:numPr>
          <w:ilvl w:val="0"/>
          <w:numId w:val="4"/>
        </w:numPr>
        <w:tabs>
          <w:tab w:val="clear" w:pos="720"/>
          <w:tab w:val="left" w:pos="839" w:leader="none"/>
        </w:tabs>
        <w:ind w:hanging="360" w:start="927" w:end="233"/>
        <w:jc w:val="both"/>
        <w:rPr>
          <w:rFonts w:eastAsia="Microsoft YaHei"/>
          <w:bCs/>
          <w:lang w:eastAsia="zh-CN"/>
        </w:rPr>
      </w:pPr>
      <w:r>
        <w:rPr>
          <w:rFonts w:eastAsia="Microsoft YaHei"/>
          <w:bCs/>
          <w:lang w:eastAsia="zh-CN"/>
        </w:rPr>
        <w:t>The consolidated revenue must not exceed S$ 10 million</w:t>
      </w:r>
    </w:p>
    <w:p>
      <w:pPr>
        <w:pStyle w:val="ListParagraph"/>
        <w:numPr>
          <w:ilvl w:val="0"/>
          <w:numId w:val="4"/>
        </w:numPr>
        <w:tabs>
          <w:tab w:val="clear" w:pos="720"/>
          <w:tab w:val="left" w:pos="839" w:leader="none"/>
        </w:tabs>
        <w:ind w:hanging="360" w:start="927" w:end="233"/>
        <w:jc w:val="both"/>
        <w:rPr>
          <w:rFonts w:eastAsia="Microsoft YaHei"/>
          <w:bCs/>
          <w:lang w:eastAsia="zh-CN"/>
        </w:rPr>
      </w:pPr>
      <w:r>
        <w:rPr>
          <w:rFonts w:eastAsia="Microsoft YaHei"/>
          <w:bCs/>
          <w:lang w:eastAsia="zh-CN"/>
        </w:rPr>
        <w:t>The consolidated total assets must not exceed S$ 10 million</w:t>
      </w:r>
    </w:p>
    <w:p>
      <w:pPr>
        <w:pStyle w:val="ListParagraph"/>
        <w:numPr>
          <w:ilvl w:val="0"/>
          <w:numId w:val="4"/>
        </w:numPr>
        <w:tabs>
          <w:tab w:val="clear" w:pos="720"/>
          <w:tab w:val="left" w:pos="839" w:leader="none"/>
        </w:tabs>
        <w:ind w:hanging="360" w:start="927" w:end="233"/>
        <w:jc w:val="both"/>
        <w:rPr>
          <w:rFonts w:eastAsia="Microsoft YaHei"/>
          <w:bCs/>
          <w:lang w:eastAsia="zh-CN"/>
        </w:rPr>
      </w:pPr>
      <w:r>
        <w:rPr>
          <w:rFonts w:eastAsia="Microsoft YaHei"/>
          <w:bCs/>
          <w:lang w:eastAsia="zh-CN"/>
        </w:rPr>
        <w:t>The total number of employees of the group must not exceed 50</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ListParagraph"/>
        <w:numPr>
          <w:ilvl w:val="0"/>
          <w:numId w:val="1"/>
        </w:numPr>
        <w:tabs>
          <w:tab w:val="clear" w:pos="720"/>
          <w:tab w:val="left" w:pos="839" w:leader="none"/>
        </w:tabs>
        <w:ind w:hanging="360" w:start="450" w:end="233"/>
        <w:jc w:val="both"/>
        <w:rPr>
          <w:b/>
          <w:bCs/>
          <w:u w:val="single"/>
        </w:rPr>
      </w:pPr>
      <w:r>
        <w:rPr>
          <w:b/>
          <w:bCs/>
          <w:u w:val="single"/>
        </w:rPr>
        <w:t>Annual Corporate Taxation</w:t>
      </w:r>
    </w:p>
    <w:p>
      <w:pPr>
        <w:pStyle w:val="BodyText"/>
        <w:numPr>
          <w:ilvl w:val="0"/>
          <w:numId w:val="2"/>
        </w:numPr>
        <w:jc w:val="both"/>
        <w:rPr/>
      </w:pPr>
      <w:r>
        <w:rPr/>
        <w:t>Preparing the Company’s Income Tax Return and Computation together with supporting schedules in compliance to the provisions in the Singapore Income Tax Act (“the Tax Enactments”)</w:t>
      </w:r>
    </w:p>
    <w:p>
      <w:pPr>
        <w:pStyle w:val="BodyText"/>
        <w:numPr>
          <w:ilvl w:val="0"/>
          <w:numId w:val="2"/>
        </w:numPr>
        <w:jc w:val="both"/>
        <w:rPr>
          <w:rFonts w:ascii="Calibri" w:hAnsi="Calibri" w:eastAsia="Microsoft YaHei" w:cs="Calibri" w:asciiTheme="minorHAnsi" w:cstheme="minorHAnsi" w:hAnsiTheme="minorHAnsi"/>
          <w:bCs/>
          <w:lang w:eastAsia="zh-CN"/>
        </w:rPr>
      </w:pPr>
      <w:r>
        <w:rPr/>
        <w:t>Reviewing tax status for claiming Tax Exemption, capital allowances, etc. where applicable</w:t>
      </w:r>
    </w:p>
    <w:p>
      <w:pPr>
        <w:pStyle w:val="BodyText"/>
        <w:numPr>
          <w:ilvl w:val="0"/>
          <w:numId w:val="2"/>
        </w:numPr>
        <w:jc w:val="both"/>
        <w:rPr/>
      </w:pPr>
      <w:r>
        <w:rPr/>
        <w:t>Verifying correctness of the Notices of Assessment and tax computation from the Inland Revenue of Singapore departments</w:t>
      </w:r>
    </w:p>
    <w:p>
      <w:pPr>
        <w:pStyle w:val="BodyText"/>
        <w:numPr>
          <w:ilvl w:val="0"/>
          <w:numId w:val="2"/>
        </w:numPr>
        <w:jc w:val="both"/>
        <w:rPr/>
      </w:pPr>
      <w:r>
        <w:rPr/>
        <w:t>Updating the Company on recent tax changes</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ListParagraph"/>
        <w:numPr>
          <w:ilvl w:val="0"/>
          <w:numId w:val="1"/>
        </w:numPr>
        <w:tabs>
          <w:tab w:val="clear" w:pos="720"/>
          <w:tab w:val="left" w:pos="839" w:leader="none"/>
        </w:tabs>
        <w:ind w:hanging="360" w:start="450" w:end="233"/>
        <w:jc w:val="both"/>
        <w:rPr>
          <w:b/>
          <w:bCs/>
          <w:u w:val="single"/>
        </w:rPr>
      </w:pPr>
      <w:r>
        <w:rPr>
          <w:b/>
          <w:bCs/>
          <w:u w:val="single"/>
        </w:rPr>
        <w:t>CorpPass Registration Service</w:t>
      </w:r>
    </w:p>
    <w:p>
      <w:pPr>
        <w:pStyle w:val="BodyText"/>
        <w:numPr>
          <w:ilvl w:val="0"/>
          <w:numId w:val="2"/>
        </w:numPr>
        <w:jc w:val="both"/>
        <w:rPr/>
      </w:pPr>
      <w:r>
        <w:rPr/>
        <w:t>CorpPass is Singapore’s official corporate digital identity platform, which allows companies and authorised users to access and transact with Singapore government agencies electronically.</w:t>
      </w:r>
    </w:p>
    <w:p>
      <w:pPr>
        <w:pStyle w:val="BodyText"/>
        <w:numPr>
          <w:ilvl w:val="0"/>
          <w:numId w:val="2"/>
        </w:numPr>
        <w:jc w:val="both"/>
        <w:rPr/>
      </w:pPr>
      <w:r>
        <w:rPr/>
        <w:t>Assisting the Company with the application, registration, set up, and activation of the Company’s CorpPass account, including administrator/user setup.</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ListParagraph"/>
        <w:numPr>
          <w:ilvl w:val="0"/>
          <w:numId w:val="1"/>
        </w:numPr>
        <w:tabs>
          <w:tab w:val="clear" w:pos="720"/>
          <w:tab w:val="left" w:pos="839" w:leader="none"/>
        </w:tabs>
        <w:ind w:hanging="360" w:start="450" w:end="233"/>
        <w:jc w:val="both"/>
        <w:rPr>
          <w:b/>
          <w:bCs/>
          <w:u w:val="single"/>
        </w:rPr>
      </w:pPr>
      <w:r>
        <w:rPr>
          <w:b/>
          <w:bCs/>
          <w:u w:val="single"/>
        </w:rPr>
        <w:t>AIS/IR8A Services</w:t>
      </w:r>
    </w:p>
    <w:p>
      <w:pPr>
        <w:pStyle w:val="BodyText"/>
        <w:numPr>
          <w:ilvl w:val="0"/>
          <w:numId w:val="2"/>
        </w:numPr>
        <w:jc w:val="both"/>
        <w:rPr/>
      </w:pPr>
      <w:r>
        <w:rPr/>
        <w:t>AIS (Auto-Inclusion Scheme) is an electronic employment income submission scheme administered by the Inland Revenue Authority of Singapore (“IRAS”), under which participating employers submit employees’ employment income information directly to IRAS electronically.</w:t>
      </w:r>
    </w:p>
    <w:p>
      <w:pPr>
        <w:pStyle w:val="BodyText"/>
        <w:numPr>
          <w:ilvl w:val="0"/>
          <w:numId w:val="2"/>
        </w:numPr>
        <w:jc w:val="both"/>
        <w:rPr/>
      </w:pPr>
      <w:r>
        <w:rPr/>
        <w:t>Pursuant to prevailing IRAS requirements, employers with five (5) or more employees are required to participate in the AIS programme. For employers not participating in AIS, IR8A forms shall be prepared and issued to employees for individual income tax filing purposes.</w:t>
      </w:r>
    </w:p>
    <w:p>
      <w:pPr>
        <w:pStyle w:val="BodyText"/>
        <w:spacing w:before="8" w:after="0"/>
        <w:jc w:val="both"/>
        <w:rPr>
          <w:rFonts w:eastAsia="宋体" w:eastAsiaTheme="minorEastAsia"/>
          <w:szCs w:val="24"/>
          <w:lang w:eastAsia="zh-CN"/>
        </w:rPr>
      </w:pPr>
      <w:r>
        <w:rPr>
          <w:rFonts w:eastAsia="宋体" w:eastAsiaTheme="minorEastAsia"/>
          <w:szCs w:val="24"/>
          <w:lang w:eastAsia="zh-CN"/>
        </w:rPr>
      </w:r>
    </w:p>
    <w:p>
      <w:pPr>
        <w:pStyle w:val="ListParagraph"/>
        <w:numPr>
          <w:ilvl w:val="0"/>
          <w:numId w:val="1"/>
        </w:numPr>
        <w:tabs>
          <w:tab w:val="clear" w:pos="720"/>
          <w:tab w:val="left" w:pos="839" w:leader="none"/>
        </w:tabs>
        <w:ind w:hanging="360" w:start="450" w:end="233"/>
        <w:jc w:val="both"/>
        <w:rPr>
          <w:b/>
          <w:bCs/>
          <w:u w:val="single"/>
        </w:rPr>
      </w:pPr>
      <w:r>
        <w:rPr>
          <w:b/>
          <w:bCs/>
          <w:u w:val="single"/>
        </w:rPr>
        <w:t>Payroll Service</w:t>
      </w:r>
    </w:p>
    <w:p>
      <w:pPr>
        <w:pStyle w:val="BodyText"/>
        <w:numPr>
          <w:ilvl w:val="0"/>
          <w:numId w:val="2"/>
        </w:numPr>
        <w:jc w:val="both"/>
        <w:rPr/>
      </w:pPr>
      <w:r>
        <w:rPr/>
        <w:t>Payroll Service refers to payroll administration and statutory contribution services provided in accordance with the applicable laws and regulations of Singapore</w:t>
      </w:r>
    </w:p>
    <w:p>
      <w:pPr>
        <w:pStyle w:val="BodyText"/>
        <w:numPr>
          <w:ilvl w:val="0"/>
          <w:numId w:val="2"/>
        </w:numPr>
        <w:jc w:val="both"/>
        <w:rPr/>
      </w:pPr>
      <w:r>
        <w:rPr/>
        <w:t xml:space="preserve">Assisting the Company with monthly payroll processing, including salary computation, preparation and issuance of payslips, CPF and Skills Development Levy (“SDL”) submission, as well as administrative support relating to payroll records and statutory payroll compliance matters. </w:t>
      </w:r>
    </w:p>
    <w:p>
      <w:pPr>
        <w:pStyle w:val="BodyText"/>
        <w:numPr>
          <w:ilvl w:val="0"/>
          <w:numId w:val="2"/>
        </w:numPr>
        <w:jc w:val="both"/>
        <w:rPr/>
      </w:pPr>
      <w:r>
        <w:rPr/>
        <w:t>The Company shall ensure that all payroll information and supporting documents provided are accurate, complete, and submitted on a timely basis; and ensure timely payment of employees’ salaries in accordance with the applicable payroll schedule and statutory requirements.</w:t>
      </w:r>
    </w:p>
    <w:p>
      <w:pPr>
        <w:pStyle w:val="Normal"/>
        <w:tabs>
          <w:tab w:val="clear" w:pos="720"/>
          <w:tab w:val="left" w:pos="839" w:leader="none"/>
        </w:tabs>
        <w:ind w:end="233"/>
        <w:jc w:val="both"/>
        <w:rPr>
          <w:rFonts w:ascii="Calibri" w:hAnsi="Calibri" w:eastAsia="SimSun" w:cs="Calibri" w:asciiTheme="minorHAnsi" w:cstheme="minorHAnsi" w:hAnsiTheme="minorHAnsi"/>
          <w:sz w:val="20"/>
          <w:szCs w:val="20"/>
          <w:lang w:eastAsia="zh-CN"/>
        </w:rPr>
      </w:pPr>
      <w:r>
        <w:rPr>
          <w:rFonts w:eastAsia="SimSun" w:cs="Calibri" w:cstheme="minorHAnsi"/>
          <w:sz w:val="20"/>
          <w:szCs w:val="20"/>
          <w:lang w:eastAsia="zh-CN"/>
        </w:rPr>
      </w:r>
    </w:p>
    <w:p>
      <w:pPr>
        <w:pStyle w:val="ListParagraph"/>
        <w:numPr>
          <w:ilvl w:val="0"/>
          <w:numId w:val="1"/>
        </w:numPr>
        <w:tabs>
          <w:tab w:val="clear" w:pos="720"/>
          <w:tab w:val="left" w:pos="839" w:leader="none"/>
        </w:tabs>
        <w:ind w:hanging="360" w:start="450" w:end="233"/>
        <w:jc w:val="both"/>
        <w:rPr>
          <w:b/>
          <w:bCs/>
          <w:u w:val="single"/>
        </w:rPr>
      </w:pPr>
      <w:r>
        <w:rPr>
          <w:b/>
          <w:bCs/>
          <w:u w:val="single"/>
        </w:rPr>
        <w:t>Personal Tax</w:t>
      </w:r>
    </w:p>
    <w:p>
      <w:pPr>
        <w:pStyle w:val="BodyText"/>
        <w:numPr>
          <w:ilvl w:val="0"/>
          <w:numId w:val="2"/>
        </w:numPr>
        <w:jc w:val="both"/>
        <w:rPr/>
      </w:pPr>
      <w:r>
        <w:rPr/>
        <w:t xml:space="preserve">Preparation and submission of individual income tax returns to the Inland Revenue Authority of Singapore (“IRAS”) </w:t>
      </w:r>
    </w:p>
    <w:p>
      <w:pPr>
        <w:pStyle w:val="BodyText"/>
        <w:numPr>
          <w:ilvl w:val="0"/>
          <w:numId w:val="2"/>
        </w:numPr>
        <w:jc w:val="both"/>
        <w:rPr/>
      </w:pPr>
      <w:r>
        <w:rPr/>
        <w:t>Including the compilation and review of income information and supporting documents, as well as support relating to personal income tax filing matters</w:t>
      </w:r>
    </w:p>
    <w:p>
      <w:pPr>
        <w:pStyle w:val="BodyText"/>
        <w:numPr>
          <w:ilvl w:val="0"/>
          <w:numId w:val="2"/>
        </w:numPr>
        <w:jc w:val="both"/>
        <w:rPr/>
      </w:pPr>
      <w:r>
        <w:rPr/>
        <w:t>The accuracy and completeness of all information and supporting documents provided shall remain the responsibility of the individual taxpayer</w:t>
      </w:r>
    </w:p>
    <w:p>
      <w:pPr>
        <w:pStyle w:val="Normal"/>
        <w:tabs>
          <w:tab w:val="clear" w:pos="720"/>
          <w:tab w:val="left" w:pos="839" w:leader="none"/>
        </w:tabs>
        <w:ind w:end="233"/>
        <w:jc w:val="both"/>
        <w:rPr>
          <w:rFonts w:ascii="Calibri" w:hAnsi="Calibri" w:eastAsia="SimSun" w:cs="Calibri" w:asciiTheme="minorHAnsi" w:cstheme="minorHAnsi" w:hAnsiTheme="minorHAnsi"/>
          <w:sz w:val="20"/>
          <w:szCs w:val="20"/>
          <w:lang w:val="en-SG" w:eastAsia="zh-CN"/>
        </w:rPr>
      </w:pPr>
      <w:r>
        <w:rPr>
          <w:rFonts w:eastAsia="SimSun" w:cs="Calibri" w:cstheme="minorHAnsi"/>
          <w:sz w:val="20"/>
          <w:szCs w:val="20"/>
          <w:lang w:val="en-SG" w:eastAsia="zh-CN"/>
        </w:rPr>
      </w:r>
    </w:p>
    <w:p>
      <w:pPr>
        <w:pStyle w:val="ListParagraph"/>
        <w:numPr>
          <w:ilvl w:val="0"/>
          <w:numId w:val="1"/>
        </w:numPr>
        <w:tabs>
          <w:tab w:val="clear" w:pos="720"/>
          <w:tab w:val="left" w:pos="839" w:leader="none"/>
        </w:tabs>
        <w:ind w:hanging="360" w:start="450" w:end="233"/>
        <w:jc w:val="both"/>
        <w:rPr>
          <w:b/>
          <w:bCs/>
          <w:u w:val="single"/>
        </w:rPr>
      </w:pPr>
      <w:r>
        <w:rPr>
          <w:b/>
          <w:bCs/>
          <w:u w:val="single"/>
        </w:rPr>
        <w:t>Work Pass Renewal Service</w:t>
      </w:r>
    </w:p>
    <w:p>
      <w:pPr>
        <w:pStyle w:val="BodyText"/>
        <w:numPr>
          <w:ilvl w:val="0"/>
          <w:numId w:val="2"/>
        </w:numPr>
        <w:jc w:val="both"/>
        <w:rPr/>
      </w:pPr>
      <w:r>
        <w:rPr/>
        <w:t>Work Pass Renewal Service refers to administrative assistance provided for the renewal of work passes issued by the Ministry of Manpower (“MOM”), including Employment Pass (“EP”), S Pass, and Dependent’s Pass (“DP”), or any other passes where applicable.</w:t>
      </w:r>
    </w:p>
    <w:p>
      <w:pPr>
        <w:pStyle w:val="BodyText"/>
        <w:numPr>
          <w:ilvl w:val="0"/>
          <w:numId w:val="2"/>
        </w:numPr>
        <w:jc w:val="both"/>
        <w:rPr/>
      </w:pPr>
      <w:r>
        <w:rPr/>
        <w:t>Assisting with the renewal process of the relevant work pass, including review supporting documents, eligibility assessment and advisory, submission of renewal application to MOM, liaison with relevant authorities, submission of additional documents where required, and administrative support until approval and receipt of the renewed pass card.</w:t>
      </w:r>
    </w:p>
    <w:p>
      <w:pPr>
        <w:pStyle w:val="Normal"/>
        <w:tabs>
          <w:tab w:val="clear" w:pos="720"/>
          <w:tab w:val="left" w:pos="839" w:leader="none"/>
        </w:tabs>
        <w:ind w:end="233"/>
        <w:jc w:val="both"/>
        <w:rPr>
          <w:rFonts w:ascii="Calibri" w:hAnsi="Calibri" w:eastAsia="SimSun" w:cs="Calibri" w:asciiTheme="minorHAnsi" w:cstheme="minorHAnsi" w:hAnsiTheme="minorHAnsi"/>
          <w:sz w:val="20"/>
          <w:szCs w:val="20"/>
          <w:lang w:eastAsia="zh-CN"/>
        </w:rPr>
      </w:pPr>
      <w:r>
        <w:rPr>
          <w:rFonts w:eastAsia="SimSun" w:cs="Calibri" w:cstheme="minorHAnsi"/>
          <w:sz w:val="20"/>
          <w:szCs w:val="20"/>
          <w:lang w:eastAsia="zh-CN"/>
        </w:rPr>
      </w:r>
    </w:p>
    <w:p>
      <w:pPr>
        <w:pStyle w:val="ListParagraph"/>
        <w:numPr>
          <w:ilvl w:val="0"/>
          <w:numId w:val="1"/>
        </w:numPr>
        <w:tabs>
          <w:tab w:val="clear" w:pos="720"/>
          <w:tab w:val="left" w:pos="839" w:leader="none"/>
        </w:tabs>
        <w:ind w:hanging="360" w:start="450" w:end="233"/>
        <w:jc w:val="both"/>
        <w:rPr>
          <w:rFonts w:ascii="Microsoft YaHei" w:hAnsi="Microsoft YaHei" w:eastAsia="Microsoft YaHei" w:cs="Calibri" w:cstheme="minorHAnsi"/>
          <w:b/>
          <w:bCs/>
          <w:sz w:val="20"/>
          <w:szCs w:val="20"/>
          <w:u w:val="single"/>
          <w:lang w:eastAsia="zh-CN"/>
        </w:rPr>
      </w:pPr>
      <w:r>
        <w:rPr>
          <w:b/>
          <w:bCs/>
          <w:u w:val="single"/>
        </w:rPr>
        <w:t>Letter of Consent (LOC) for Secondary Directorship Application Service</w:t>
      </w:r>
    </w:p>
    <w:p>
      <w:pPr>
        <w:pStyle w:val="BodyText"/>
        <w:numPr>
          <w:ilvl w:val="0"/>
          <w:numId w:val="2"/>
        </w:numPr>
        <w:jc w:val="both"/>
        <w:rPr/>
      </w:pPr>
      <w:r>
        <w:rPr/>
        <w:t>Letter of Consent ("LOC") for Secondary Directorship refers to the formal authorization granted by the Ministry of Manpower ("MOM") allowing an Employment Pass ("EP") holder to be appointed as a director in a related or investment-linked entity. This service ensures that the appointment complies with the Employment of Foreign Manpower Act and maintains the integrity of the applicant's primary work pass status</w:t>
      </w:r>
    </w:p>
    <w:p>
      <w:pPr>
        <w:pStyle w:val="BodyText"/>
        <w:numPr>
          <w:ilvl w:val="0"/>
          <w:numId w:val="2"/>
        </w:numPr>
        <w:jc w:val="both"/>
        <w:rPr/>
      </w:pPr>
      <w:r>
        <w:rPr/>
        <w:t>Assisting with the LOC application, including assessment of corporate nexus and eligibility, reviewing supporting documents (such as Board Resolutions from both the primary employer and the secondary entity), submission of the LOC application to MOM, liaison with relevant authorities for technical clarifications, and administrative support until the formal issuance of the LOC</w:t>
      </w:r>
    </w:p>
    <w:p>
      <w:pPr>
        <w:pStyle w:val="Normal"/>
        <w:rPr>
          <w:rFonts w:ascii="Microsoft YaHei" w:hAnsi="Microsoft YaHei" w:eastAsia="Microsoft YaHei" w:cs="Calibri" w:cstheme="minorHAnsi"/>
          <w:sz w:val="20"/>
          <w:szCs w:val="20"/>
          <w:lang w:eastAsia="zh-CN"/>
        </w:rPr>
      </w:pPr>
      <w:r>
        <w:rPr>
          <w:rFonts w:eastAsia="Microsoft YaHei" w:cs="Calibri" w:cstheme="minorHAnsi" w:ascii="Microsoft YaHei" w:hAnsi="Microsoft YaHei"/>
          <w:sz w:val="20"/>
          <w:szCs w:val="20"/>
          <w:lang w:eastAsia="zh-CN"/>
        </w:rPr>
      </w:r>
      <w:r>
        <w:br w:type="page"/>
      </w:r>
    </w:p>
    <w:p>
      <w:pPr>
        <w:pStyle w:val="Normal"/>
        <w:spacing w:before="0" w:after="0"/>
        <w:rPr>
          <w:rFonts w:eastAsia="宋体" w:eastAsiaTheme="minorEastAsia"/>
          <w:b/>
          <w:bCs/>
          <w:lang w:eastAsia="zh-CN"/>
        </w:rPr>
      </w:pPr>
      <w:r>
        <w:rPr>
          <w:rFonts w:eastAsia="宋体" w:eastAsiaTheme="minorEastAsia"/>
          <w:b/>
          <w:bCs/>
          <w:lang w:eastAsia="zh-CN"/>
        </w:rPr>
        <w:t>Company Incorporation and First-Year Service Fees:</w:t>
      </w:r>
    </w:p>
    <w:p>
      <w:pPr>
        <w:pStyle w:val="BodyText"/>
        <w:rPr>
          <w:lang w:eastAsia="zh-CN"/>
        </w:rPr>
      </w:pPr>
      <w:r>
        <w:rPr>
          <w:lang w:eastAsia="zh-CN"/>
        </w:rPr>
      </w:r>
    </w:p>
    <w:tbl>
      <w:tblPr>
        <w:tblW w:w="9351" w:type="dxa"/>
        <w:jc w:val="start"/>
        <w:tblInd w:w="0" w:type="dxa"/>
        <w:tblLayout w:type="fixed"/>
        <w:tblCellMar>
          <w:top w:w="0" w:type="dxa"/>
          <w:start w:w="10" w:type="dxa"/>
          <w:bottom w:w="0" w:type="dxa"/>
          <w:end w:w="10" w:type="dxa"/>
        </w:tblCellMar>
        <w:tblLook w:val="0000" w:noHBand="0" w:noVBand="0" w:firstColumn="0" w:lastRow="0" w:lastColumn="0" w:firstRow="0"/>
      </w:tblPr>
      <w:tblGrid>
        <w:gridCol w:w="530"/>
        <w:gridCol w:w="5843"/>
        <w:gridCol w:w="2978"/>
      </w:tblGrid>
      <w:tr>
        <w:trPr>
          <w:tblHeader w:val="true"/>
          <w:trHeight w:val="208" w:hRule="atLeast"/>
        </w:trPr>
        <w:tc>
          <w:tcPr>
            <w:tcW w:w="530"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jc w:val="center"/>
              <w:rPr>
                <w:rFonts w:eastAsia="宋体" w:eastAsiaTheme="minorEastAsia"/>
                <w:b/>
                <w:bCs/>
                <w:lang w:eastAsia="zh-CN"/>
              </w:rPr>
            </w:pPr>
            <w:r>
              <w:rPr>
                <w:rFonts w:eastAsia="Arial"/>
                <w:b/>
                <w:bCs/>
              </w:rPr>
              <w:t>No.</w:t>
            </w:r>
          </w:p>
        </w:tc>
        <w:tc>
          <w:tcPr>
            <w:tcW w:w="5843"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Mar>
              <w:top w:w="110" w:type="dxa"/>
              <w:start w:w="160" w:type="dxa"/>
              <w:bottom w:w="110" w:type="dxa"/>
              <w:end w:w="160" w:type="dxa"/>
            </w:tcMar>
          </w:tcPr>
          <w:p>
            <w:pPr>
              <w:pStyle w:val="Normal"/>
              <w:rPr>
                <w:rFonts w:eastAsia="宋体" w:eastAsiaTheme="minorEastAsia"/>
                <w:b/>
                <w:bCs/>
                <w:sz w:val="18"/>
                <w:szCs w:val="18"/>
                <w:lang w:eastAsia="zh-CN"/>
              </w:rPr>
            </w:pPr>
            <w:r>
              <w:rPr>
                <w:rFonts w:eastAsia="Arial"/>
                <w:b/>
                <w:bCs/>
              </w:rPr>
              <w:t>Service Scope</w:t>
            </w:r>
            <w:r>
              <w:rPr>
                <w:rFonts w:eastAsia="Arial"/>
                <w:b/>
                <w:bCs/>
                <w:sz w:val="18"/>
                <w:szCs w:val="18"/>
              </w:rPr>
              <w:t xml:space="preserve"> </w:t>
            </w:r>
          </w:p>
        </w:tc>
        <w:tc>
          <w:tcPr>
            <w:tcW w:w="2978"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Mar>
              <w:top w:w="110" w:type="dxa"/>
              <w:start w:w="160" w:type="dxa"/>
              <w:bottom w:w="110" w:type="dxa"/>
              <w:end w:w="160" w:type="dxa"/>
            </w:tcMar>
          </w:tcPr>
          <w:p>
            <w:pPr>
              <w:pStyle w:val="Normal"/>
              <w:rPr>
                <w:rFonts w:ascii="SimSun" w:hAnsi="SimSun" w:eastAsia="宋体" w:cs="SimSun" w:eastAsiaTheme="minorEastAsia"/>
                <w:b/>
                <w:bCs/>
              </w:rPr>
            </w:pPr>
            <w:r>
              <w:rPr>
                <w:rFonts w:eastAsia="Arial"/>
                <w:b/>
                <w:bCs/>
              </w:rPr>
              <w:t>Fee</w:t>
            </w:r>
            <w:r>
              <w:rPr>
                <w:b/>
                <w:bCs/>
              </w:rPr>
              <w:t xml:space="preserve"> (SGD)</w:t>
            </w:r>
          </w:p>
        </w:tc>
      </w:tr>
      <w:tr>
        <w:trPr>
          <w:trHeight w:val="491"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1</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Company Incorporation Service</w:t>
            </w:r>
            <w:r>
              <w:rPr>
                <w:rFonts w:eastAsia="宋体" w:eastAsiaTheme="minorEastAsia"/>
                <w:sz w:val="20"/>
                <w:szCs w:val="20"/>
                <w:lang w:eastAsia="zh-CN"/>
              </w:rPr>
              <w:t xml:space="preserve">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rPr>
            </w:pPr>
            <w:r>
              <w:rPr>
                <w:sz w:val="20"/>
                <w:szCs w:val="20"/>
              </w:rPr>
              <w:t>900.00</w:t>
            </w:r>
          </w:p>
        </w:tc>
      </w:tr>
      <w:tr>
        <w:trPr>
          <w:trHeight w:val="487"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2</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 xml:space="preserve">Corporate Secretarial Services </w:t>
            </w:r>
            <w:r>
              <w:rPr>
                <w:rFonts w:eastAsia="宋体" w:eastAsiaTheme="minorEastAsia"/>
                <w:sz w:val="20"/>
                <w:szCs w:val="20"/>
                <w:lang w:eastAsia="zh-CN"/>
              </w:rPr>
              <w:t xml:space="preserve">- </w:t>
            </w:r>
            <w:r>
              <w:rPr>
                <w:rFonts w:eastAsia="Arial"/>
                <w:sz w:val="20"/>
                <w:szCs w:val="20"/>
              </w:rPr>
              <w:t xml:space="preserve">Yearly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rPr>
            </w:pPr>
            <w:r>
              <w:rPr>
                <w:sz w:val="20"/>
                <w:szCs w:val="20"/>
              </w:rPr>
              <w:t>700.00</w:t>
            </w:r>
          </w:p>
        </w:tc>
      </w:tr>
      <w:tr>
        <w:trPr>
          <w:trHeight w:val="499"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3</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Corporate Bank Account Opening Support</w:t>
            </w:r>
            <w:r>
              <w:rPr>
                <w:rFonts w:eastAsia="宋体" w:eastAsiaTheme="minorEastAsia"/>
                <w:sz w:val="20"/>
                <w:szCs w:val="20"/>
                <w:lang w:eastAsia="zh-CN"/>
              </w:rPr>
              <w:t xml:space="preserve">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sz w:val="20"/>
                <w:szCs w:val="20"/>
              </w:rPr>
              <w:t>1,000.00</w:t>
            </w:r>
          </w:p>
        </w:tc>
      </w:tr>
      <w:tr>
        <w:trPr>
          <w:trHeight w:val="452"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4</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 xml:space="preserve">Registered Office and Mailing Address Services </w:t>
            </w:r>
            <w:r>
              <w:rPr>
                <w:rFonts w:eastAsia="宋体" w:eastAsiaTheme="minorEastAsia"/>
                <w:sz w:val="20"/>
                <w:szCs w:val="20"/>
                <w:lang w:eastAsia="zh-CN"/>
              </w:rPr>
              <w:t xml:space="preserve">- </w:t>
            </w:r>
            <w:r>
              <w:rPr>
                <w:rFonts w:eastAsia="Arial"/>
                <w:sz w:val="20"/>
                <w:szCs w:val="20"/>
              </w:rPr>
              <w:t xml:space="preserve">Yearly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sz w:val="20"/>
                <w:szCs w:val="20"/>
              </w:rPr>
              <w:t>360.00</w:t>
            </w:r>
          </w:p>
        </w:tc>
      </w:tr>
      <w:tr>
        <w:trPr>
          <w:trHeight w:val="534" w:hRule="atLeast"/>
        </w:trPr>
        <w:tc>
          <w:tcPr>
            <w:tcW w:w="530" w:type="dxa"/>
            <w:vMerge w:val="restart"/>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r>
          </w:p>
          <w:p>
            <w:pPr>
              <w:pStyle w:val="Normal"/>
              <w:jc w:val="center"/>
              <w:rPr>
                <w:rFonts w:eastAsia="宋体" w:eastAsiaTheme="minorEastAsia"/>
                <w:sz w:val="20"/>
                <w:szCs w:val="20"/>
                <w:lang w:eastAsia="zh-CN"/>
              </w:rPr>
            </w:pPr>
            <w:r>
              <w:rPr>
                <w:rFonts w:eastAsia="宋体" w:eastAsiaTheme="minorEastAsia"/>
                <w:sz w:val="20"/>
                <w:szCs w:val="20"/>
                <w:lang w:eastAsia="zh-CN"/>
              </w:rPr>
            </w:r>
          </w:p>
          <w:p>
            <w:pPr>
              <w:pStyle w:val="Normal"/>
              <w:jc w:val="center"/>
              <w:rPr>
                <w:rFonts w:eastAsia="宋体" w:eastAsiaTheme="minorEastAsia"/>
                <w:sz w:val="20"/>
                <w:szCs w:val="20"/>
                <w:lang w:eastAsia="zh-CN"/>
              </w:rPr>
            </w:pPr>
            <w:r>
              <w:rPr>
                <w:rFonts w:eastAsia="宋体" w:eastAsiaTheme="minorEastAsia"/>
                <w:sz w:val="20"/>
                <w:szCs w:val="20"/>
                <w:lang w:eastAsia="zh-CN"/>
              </w:rPr>
              <w:t>5</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 xml:space="preserve">Local Nominee Director Service </w:t>
            </w:r>
            <w:r>
              <w:rPr>
                <w:rFonts w:eastAsia="宋体" w:eastAsiaTheme="minorEastAsia"/>
                <w:sz w:val="20"/>
                <w:szCs w:val="20"/>
                <w:lang w:eastAsia="zh-CN"/>
              </w:rPr>
              <w:t xml:space="preserve">- </w:t>
            </w:r>
            <w:r>
              <w:rPr>
                <w:rFonts w:eastAsia="Arial"/>
                <w:sz w:val="20"/>
                <w:szCs w:val="20"/>
              </w:rPr>
              <w:t>Yearly</w:t>
            </w:r>
            <w:r>
              <w:rPr>
                <w:rFonts w:eastAsia="宋体" w:eastAsiaTheme="minorEastAsia"/>
                <w:sz w:val="20"/>
                <w:szCs w:val="20"/>
                <w:lang w:eastAsia="zh-CN"/>
              </w:rPr>
              <w:t xml:space="preserve">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sz w:val="20"/>
                <w:szCs w:val="20"/>
              </w:rPr>
              <w:t>3,000.00</w:t>
            </w:r>
          </w:p>
        </w:tc>
      </w:tr>
      <w:tr>
        <w:trPr>
          <w:trHeight w:val="474" w:hRule="atLeast"/>
        </w:trPr>
        <w:tc>
          <w:tcPr>
            <w:tcW w:w="530" w:type="dxa"/>
            <w:vMerge w:val="continue"/>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 xml:space="preserve">Additional Deposit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rPr>
            </w:pPr>
            <w:r>
              <w:rPr>
                <w:sz w:val="20"/>
                <w:szCs w:val="20"/>
              </w:rPr>
              <w:t>3,000.00</w:t>
            </w:r>
          </w:p>
        </w:tc>
      </w:tr>
      <w:tr>
        <w:trPr>
          <w:trHeight w:val="551"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6</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Employment Pass (EP) Application Service</w:t>
            </w:r>
            <w:r>
              <w:rPr>
                <w:rFonts w:eastAsia="宋体" w:eastAsiaTheme="minorEastAsia"/>
                <w:sz w:val="20"/>
                <w:szCs w:val="20"/>
                <w:lang w:eastAsia="zh-CN"/>
              </w:rPr>
              <w:t xml:space="preserve">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rPr>
            </w:pPr>
            <w:r>
              <w:rPr>
                <w:sz w:val="20"/>
                <w:szCs w:val="20"/>
              </w:rPr>
              <w:t>4,000.00</w:t>
            </w:r>
          </w:p>
        </w:tc>
      </w:tr>
      <w:tr>
        <w:trPr>
          <w:trHeight w:val="71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7</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One-Time Post-EP Changes</w:t>
            </w:r>
            <w:r>
              <w:rPr>
                <w:rFonts w:eastAsia="宋体" w:eastAsiaTheme="minorEastAsia"/>
                <w:sz w:val="20"/>
                <w:szCs w:val="20"/>
                <w:lang w:eastAsia="zh-CN"/>
              </w:rPr>
              <w:t xml:space="preserve"> </w:t>
            </w:r>
          </w:p>
          <w:p>
            <w:pPr>
              <w:pStyle w:val="Normal"/>
              <w:rPr>
                <w:rFonts w:eastAsia="宋体" w:eastAsiaTheme="minorEastAsia"/>
                <w:sz w:val="20"/>
                <w:szCs w:val="20"/>
                <w:lang w:eastAsia="zh-CN"/>
              </w:rPr>
            </w:pPr>
            <w:r>
              <w:rPr>
                <w:rFonts w:eastAsia="宋体" w:eastAsiaTheme="minorEastAsia"/>
                <w:sz w:val="20"/>
                <w:szCs w:val="20"/>
                <w:lang w:eastAsia="zh-CN"/>
              </w:rPr>
              <w:t xml:space="preserve">- </w:t>
            </w:r>
            <w:r>
              <w:rPr>
                <w:rFonts w:eastAsia="Arial"/>
                <w:sz w:val="20"/>
                <w:szCs w:val="20"/>
              </w:rPr>
              <w:t>Update of personal particulars</w:t>
            </w:r>
          </w:p>
          <w:p>
            <w:pPr>
              <w:pStyle w:val="Normal"/>
              <w:rPr>
                <w:rFonts w:eastAsia="宋体" w:eastAsiaTheme="minorEastAsia"/>
                <w:sz w:val="20"/>
                <w:szCs w:val="20"/>
                <w:lang w:eastAsia="zh-CN"/>
              </w:rPr>
            </w:pPr>
            <w:r>
              <w:rPr>
                <w:rFonts w:eastAsia="宋体" w:eastAsiaTheme="minorEastAsia"/>
                <w:sz w:val="20"/>
                <w:szCs w:val="20"/>
                <w:lang w:eastAsia="zh-CN"/>
              </w:rPr>
              <w:t xml:space="preserve">- </w:t>
            </w:r>
            <w:r>
              <w:rPr>
                <w:rFonts w:eastAsia="Arial"/>
                <w:sz w:val="20"/>
                <w:szCs w:val="20"/>
              </w:rPr>
              <w:t>Resignation of local Nominee Director</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rPr>
            </w:pPr>
            <w:r>
              <w:rPr>
                <w:sz w:val="20"/>
                <w:szCs w:val="20"/>
              </w:rPr>
              <w:t>F.O.C.</w:t>
            </w:r>
          </w:p>
          <w:p>
            <w:pPr>
              <w:pStyle w:val="Normal"/>
              <w:rPr>
                <w:sz w:val="20"/>
                <w:szCs w:val="20"/>
              </w:rPr>
            </w:pPr>
            <w:r>
              <w:rPr>
                <w:sz w:val="20"/>
                <w:szCs w:val="20"/>
              </w:rPr>
              <w:t>Included in package</w:t>
            </w:r>
          </w:p>
          <w:p>
            <w:pPr>
              <w:pStyle w:val="Normal"/>
              <w:rPr>
                <w:sz w:val="20"/>
                <w:szCs w:val="20"/>
                <w:lang w:eastAsia="zh-CN"/>
              </w:rPr>
            </w:pPr>
            <w:r>
              <w:rPr>
                <w:sz w:val="20"/>
                <w:szCs w:val="20"/>
                <w:lang w:eastAsia="zh-CN"/>
              </w:rPr>
            </w:r>
          </w:p>
        </w:tc>
      </w:tr>
      <w:tr>
        <w:trPr>
          <w:trHeight w:val="513"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8</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CorpPass Account Registration</w:t>
            </w:r>
            <w:r>
              <w:rPr>
                <w:rFonts w:eastAsia="宋体" w:eastAsiaTheme="minorEastAsia"/>
                <w:sz w:val="20"/>
                <w:szCs w:val="20"/>
                <w:lang w:eastAsia="zh-CN"/>
              </w:rPr>
              <w:t xml:space="preserve">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lang w:eastAsia="zh-CN"/>
              </w:rPr>
            </w:pPr>
            <w:r>
              <w:rPr>
                <w:sz w:val="20"/>
                <w:szCs w:val="20"/>
              </w:rPr>
              <w:t>F.O.C.</w:t>
            </w:r>
          </w:p>
          <w:p>
            <w:pPr>
              <w:pStyle w:val="Normal"/>
              <w:rPr>
                <w:rFonts w:eastAsia="宋体" w:eastAsiaTheme="minorEastAsia"/>
                <w:sz w:val="20"/>
                <w:szCs w:val="20"/>
                <w:lang w:eastAsia="zh-CN"/>
              </w:rPr>
            </w:pPr>
            <w:r>
              <w:rPr>
                <w:sz w:val="20"/>
                <w:szCs w:val="20"/>
              </w:rPr>
              <w:t>Included in package</w:t>
            </w:r>
          </w:p>
        </w:tc>
      </w:tr>
      <w:tr>
        <w:trPr>
          <w:trHeight w:val="14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9</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ascii="Microsoft YaHei" w:hAnsi="Microsoft YaHei" w:eastAsia="Microsoft YaHei"/>
                <w:sz w:val="18"/>
                <w:szCs w:val="18"/>
                <w:lang w:eastAsia="zh-CN"/>
              </w:rPr>
            </w:pPr>
            <w:r>
              <w:rPr>
                <w:rFonts w:eastAsia="Arial"/>
                <w:sz w:val="20"/>
                <w:szCs w:val="20"/>
              </w:rPr>
              <w:t xml:space="preserve">PDPA Compliance </w:t>
            </w:r>
            <w:r>
              <w:rPr>
                <w:rFonts w:eastAsia="宋体" w:eastAsiaTheme="minorEastAsia"/>
                <w:sz w:val="20"/>
                <w:szCs w:val="20"/>
                <w:lang w:eastAsia="zh-CN"/>
              </w:rPr>
              <w:t>-</w:t>
            </w:r>
            <w:r>
              <w:rPr>
                <w:rFonts w:eastAsia="Arial"/>
                <w:sz w:val="20"/>
                <w:szCs w:val="20"/>
              </w:rPr>
              <w:t xml:space="preserve"> DPO Appointment &amp; Policy Documentation</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lang w:eastAsia="zh-CN"/>
              </w:rPr>
            </w:pPr>
            <w:r>
              <w:rPr>
                <w:sz w:val="20"/>
                <w:szCs w:val="20"/>
              </w:rPr>
              <w:t>F.O.C.</w:t>
            </w:r>
          </w:p>
          <w:p>
            <w:pPr>
              <w:pStyle w:val="Normal"/>
              <w:rPr>
                <w:rFonts w:eastAsia="宋体" w:eastAsiaTheme="minorEastAsia"/>
                <w:sz w:val="20"/>
                <w:szCs w:val="20"/>
                <w:lang w:eastAsia="zh-CN"/>
              </w:rPr>
            </w:pPr>
            <w:r>
              <w:rPr>
                <w:sz w:val="20"/>
                <w:szCs w:val="20"/>
              </w:rPr>
              <w:t>Included in package</w:t>
            </w:r>
          </w:p>
        </w:tc>
      </w:tr>
      <w:tr>
        <w:trPr>
          <w:trHeight w:val="14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10</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rFonts w:eastAsia="Arial"/>
                <w:sz w:val="20"/>
                <w:szCs w:val="20"/>
              </w:rPr>
              <w:t>Corporate Consultation Support</w:t>
            </w:r>
            <w:r>
              <w:rPr>
                <w:rFonts w:eastAsia="宋体" w:eastAsiaTheme="minorEastAsia"/>
                <w:sz w:val="20"/>
                <w:szCs w:val="20"/>
                <w:lang w:eastAsia="zh-CN"/>
              </w:rPr>
              <w:t xml:space="preserve">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rPr>
            </w:pPr>
            <w:r>
              <w:rPr>
                <w:sz w:val="20"/>
                <w:szCs w:val="20"/>
              </w:rPr>
              <w:t>F.O.C.</w:t>
            </w:r>
          </w:p>
          <w:p>
            <w:pPr>
              <w:pStyle w:val="Normal"/>
              <w:rPr>
                <w:rFonts w:eastAsia="宋体" w:eastAsiaTheme="minorEastAsia"/>
                <w:sz w:val="20"/>
                <w:szCs w:val="20"/>
                <w:lang w:eastAsia="zh-CN"/>
              </w:rPr>
            </w:pPr>
            <w:r>
              <w:rPr>
                <w:sz w:val="20"/>
                <w:szCs w:val="20"/>
              </w:rPr>
              <w:t>Included in package</w:t>
            </w:r>
          </w:p>
        </w:tc>
      </w:tr>
      <w:tr>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pPr>
            <w:r>
              <w:rPr>
                <w:sz w:val="20"/>
                <w:szCs w:val="20"/>
              </w:rPr>
              <w:t>11</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pPr>
            <w:r>
              <w:rPr>
                <w:sz w:val="20"/>
                <w:szCs w:val="20"/>
              </w:rPr>
              <w:t>Purchase of Certificate of Incorporation</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pPr>
            <w:r>
              <w:rPr>
                <w:sz w:val="20"/>
                <w:szCs w:val="20"/>
              </w:rPr>
              <w:t>100.00</w:t>
            </w:r>
          </w:p>
        </w:tc>
      </w:tr>
      <w:tr>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pPr>
            <w:r>
              <w:rPr>
                <w:sz w:val="20"/>
                <w:szCs w:val="20"/>
              </w:rPr>
              <w:t>12</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pPr>
            <w:r>
              <w:rPr>
                <w:sz w:val="20"/>
                <w:szCs w:val="20"/>
              </w:rPr>
              <w:t>DP Application</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pPr>
            <w:r>
              <w:rPr>
                <w:sz w:val="20"/>
                <w:szCs w:val="20"/>
              </w:rPr>
              <w:t>600.00/person</w:t>
            </w:r>
          </w:p>
        </w:tc>
      </w:tr>
      <w:tr>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pPr>
            <w:r>
              <w:rPr>
                <w:sz w:val="20"/>
                <w:szCs w:val="20"/>
              </w:rPr>
              <w:t>13</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pPr>
            <w:r>
              <w:rPr>
                <w:sz w:val="20"/>
                <w:szCs w:val="20"/>
              </w:rPr>
              <w:t>Letter of Consent (LOC) Application</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pPr>
            <w:r>
              <w:rPr>
                <w:sz w:val="20"/>
                <w:szCs w:val="20"/>
              </w:rPr>
              <w:t>200.00/person</w:t>
            </w:r>
          </w:p>
        </w:tc>
      </w:tr>
      <w:tr>
        <w:trPr>
          <w:trHeight w:val="597" w:hRule="atLeast"/>
        </w:trPr>
        <w:tc>
          <w:tcPr>
            <w:tcW w:w="6373"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宋体" w:eastAsiaTheme="minorEastAsia"/>
                <w:b/>
                <w:bCs/>
                <w:lang w:eastAsia="zh-CN"/>
              </w:rPr>
            </w:pPr>
            <w:r>
              <w:rPr>
                <w:rFonts w:eastAsia="Arial"/>
                <w:b/>
                <w:bCs/>
              </w:rPr>
              <w:t>Total</w:t>
            </w:r>
            <w:r>
              <w:rPr>
                <w:b/>
                <w:bCs/>
              </w:rPr>
              <w:t xml:space="preserve"> (SGD)</w:t>
            </w:r>
          </w:p>
        </w:tc>
        <w:tc>
          <w:tcPr>
            <w:tcW w:w="2978" w:type="dxa"/>
            <w:tcBorders>
              <w:top w:val="single" w:sz="4" w:space="0" w:color="000000"/>
              <w:start w:val="single" w:sz="4" w:space="0" w:color="000000"/>
              <w:bottom w:val="single" w:sz="4" w:space="0" w:color="000000"/>
              <w:end w:val="single" w:sz="4" w:space="0" w:color="000000"/>
            </w:tcBorders>
            <w:vAlign w:val="center"/>
          </w:tcPr>
          <w:p>
            <w:pPr>
              <w:pStyle w:val="Normal"/>
              <w:ind w:start="141"/>
              <w:rPr>
                <w:rFonts w:eastAsia="宋体" w:eastAsiaTheme="minorEastAsia"/>
                <w:b/>
                <w:bCs/>
                <w:lang w:eastAsia="zh-CN"/>
              </w:rPr>
            </w:pPr>
            <w:r>
              <w:rPr>
                <w:b/>
                <w:sz w:val="20"/>
                <w:szCs w:val="20"/>
              </w:rPr>
              <w:t>13,860.00</w:t>
            </w:r>
          </w:p>
          <w:p>
            <w:pPr>
              <w:pStyle w:val="Normal"/>
              <w:ind w:start="141"/>
              <w:rPr>
                <w:rFonts w:eastAsia="宋体" w:eastAsiaTheme="minorEastAsia"/>
                <w:b/>
                <w:bCs/>
                <w:sz w:val="20"/>
                <w:szCs w:val="20"/>
                <w:lang w:eastAsia="zh-CN"/>
              </w:rPr>
            </w:pPr>
            <w:r>
              <w:rPr>
                <w:rFonts w:eastAsia="宋体" w:eastAsiaTheme="minorEastAsia"/>
                <w:b/>
                <w:bCs/>
                <w:sz w:val="20"/>
                <w:szCs w:val="20"/>
                <w:lang w:eastAsia="zh-CN"/>
              </w:rPr>
              <w:t>(I</w:t>
            </w:r>
            <w:r>
              <w:rPr>
                <w:rFonts w:eastAsia="Microsoft YaHei" w:ascii="Microsoft YaHei" w:hAnsi="Microsoft YaHei"/>
                <w:b/>
                <w:bCs/>
                <w:sz w:val="18"/>
                <w:szCs w:val="18"/>
                <w:lang w:eastAsia="zh-CN"/>
              </w:rPr>
              <w:t>ncluding secure deposit</w:t>
            </w:r>
            <w:r>
              <w:rPr>
                <w:rFonts w:eastAsia="宋体" w:eastAsiaTheme="minorEastAsia"/>
                <w:b/>
                <w:bCs/>
                <w:sz w:val="20"/>
                <w:szCs w:val="20"/>
                <w:lang w:eastAsia="zh-CN"/>
              </w:rPr>
              <w:t xml:space="preserve"> 3,000.00)</w:t>
            </w:r>
          </w:p>
        </w:tc>
      </w:tr>
    </w:tbl>
    <w:p>
      <w:pPr>
        <w:pStyle w:val="BodyText"/>
        <w:rPr>
          <w:rFonts w:eastAsia="宋体" w:eastAsiaTheme="minorEastAsia"/>
          <w:lang w:eastAsia="zh-CN"/>
        </w:rPr>
      </w:pPr>
      <w:r>
        <w:rPr>
          <w:rFonts w:eastAsia="宋体" w:eastAsiaTheme="minorEastAsia"/>
          <w:lang w:eastAsia="zh-CN"/>
        </w:rPr>
      </w:r>
    </w:p>
    <w:p>
      <w:pPr>
        <w:pStyle w:val="BodyText"/>
        <w:rPr>
          <w:lang w:eastAsia="zh-CN"/>
        </w:rPr>
      </w:pPr>
      <w:r>
        <w:rPr>
          <w:rFonts w:eastAsia="宋体" w:eastAsiaTheme="minorEastAsia"/>
          <w:b/>
          <w:bCs/>
          <w:lang w:eastAsia="zh-CN"/>
        </w:rPr>
        <w:t xml:space="preserve">Indicative Fees for Ongoing Company Maintenance Services:  </w:t>
      </w:r>
    </w:p>
    <w:p>
      <w:pPr>
        <w:pStyle w:val="BodyText"/>
        <w:spacing w:before="3" w:after="0"/>
        <w:rPr>
          <w:rFonts w:eastAsia="宋体" w:eastAsiaTheme="minorEastAsia"/>
          <w:b/>
          <w:sz w:val="15"/>
          <w:lang w:eastAsia="zh-CN"/>
        </w:rPr>
      </w:pPr>
      <w:r>
        <w:rPr>
          <w:rFonts w:eastAsia="宋体" w:eastAsiaTheme="minorEastAsia"/>
          <w:b/>
          <w:sz w:val="15"/>
          <w:lang w:eastAsia="zh-CN"/>
        </w:rPr>
        <w:t xml:space="preserve">    </w:t>
      </w:r>
    </w:p>
    <w:tbl>
      <w:tblPr>
        <w:tblW w:w="9351" w:type="dxa"/>
        <w:jc w:val="start"/>
        <w:tblInd w:w="0" w:type="dxa"/>
        <w:tblLayout w:type="fixed"/>
        <w:tblCellMar>
          <w:top w:w="0" w:type="dxa"/>
          <w:start w:w="10" w:type="dxa"/>
          <w:bottom w:w="0" w:type="dxa"/>
          <w:end w:w="10" w:type="dxa"/>
        </w:tblCellMar>
        <w:tblLook w:val="0000" w:noHBand="0" w:noVBand="0" w:firstColumn="0" w:lastRow="0" w:lastColumn="0" w:firstRow="0"/>
      </w:tblPr>
      <w:tblGrid>
        <w:gridCol w:w="530"/>
        <w:gridCol w:w="5843"/>
        <w:gridCol w:w="2978"/>
      </w:tblGrid>
      <w:tr>
        <w:trPr>
          <w:tblHeader w:val="true"/>
          <w:trHeight w:val="211" w:hRule="atLeast"/>
        </w:trPr>
        <w:tc>
          <w:tcPr>
            <w:tcW w:w="530"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jc w:val="center"/>
              <w:rPr>
                <w:rFonts w:eastAsia="宋体" w:eastAsiaTheme="minorEastAsia"/>
                <w:b/>
                <w:bCs/>
                <w:lang w:eastAsia="zh-CN"/>
              </w:rPr>
            </w:pPr>
            <w:r>
              <w:rPr>
                <w:rFonts w:eastAsia="Arial"/>
                <w:b/>
                <w:bCs/>
              </w:rPr>
              <w:t>No.</w:t>
            </w:r>
          </w:p>
        </w:tc>
        <w:tc>
          <w:tcPr>
            <w:tcW w:w="5843"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Mar>
              <w:top w:w="110" w:type="dxa"/>
              <w:start w:w="160" w:type="dxa"/>
              <w:bottom w:w="110" w:type="dxa"/>
              <w:end w:w="160" w:type="dxa"/>
            </w:tcMar>
          </w:tcPr>
          <w:p>
            <w:pPr>
              <w:pStyle w:val="Normal"/>
              <w:rPr>
                <w:rFonts w:eastAsia="宋体" w:eastAsiaTheme="minorEastAsia"/>
                <w:b/>
                <w:bCs/>
                <w:sz w:val="18"/>
                <w:szCs w:val="18"/>
                <w:lang w:eastAsia="zh-CN"/>
              </w:rPr>
            </w:pPr>
            <w:r>
              <w:rPr>
                <w:rFonts w:eastAsia="Arial"/>
                <w:b/>
                <w:bCs/>
              </w:rPr>
              <w:t>Service Scope</w:t>
            </w:r>
            <w:r>
              <w:rPr>
                <w:rFonts w:eastAsia="Arial"/>
                <w:b/>
                <w:bCs/>
                <w:sz w:val="18"/>
                <w:szCs w:val="18"/>
              </w:rPr>
              <w:t xml:space="preserve"> </w:t>
            </w:r>
          </w:p>
        </w:tc>
        <w:tc>
          <w:tcPr>
            <w:tcW w:w="2978"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Mar>
              <w:top w:w="110" w:type="dxa"/>
              <w:start w:w="160" w:type="dxa"/>
              <w:bottom w:w="110" w:type="dxa"/>
              <w:end w:w="160" w:type="dxa"/>
            </w:tcMar>
          </w:tcPr>
          <w:p>
            <w:pPr>
              <w:pStyle w:val="Normal"/>
              <w:rPr>
                <w:rFonts w:eastAsia="宋体" w:eastAsiaTheme="minorEastAsia"/>
                <w:b/>
                <w:bCs/>
                <w:lang w:eastAsia="zh-CN"/>
              </w:rPr>
            </w:pPr>
            <w:r>
              <w:rPr>
                <w:rFonts w:eastAsia="Arial"/>
                <w:b/>
                <w:bCs/>
              </w:rPr>
              <w:t>Fee (SGD)</w:t>
            </w:r>
          </w:p>
        </w:tc>
      </w:tr>
      <w:tr>
        <w:trPr>
          <w:trHeight w:val="56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1</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Accounts Preparation</w:t>
            </w:r>
            <w:r>
              <w:rPr>
                <w:rFonts w:eastAsia="Arial"/>
                <w:sz w:val="20"/>
                <w:szCs w:val="20"/>
              </w:rPr>
              <w:t xml:space="preserve"> </w:t>
            </w:r>
            <w:r>
              <w:rPr>
                <w:rFonts w:eastAsia="宋体" w:eastAsiaTheme="minorEastAsia"/>
                <w:sz w:val="20"/>
                <w:szCs w:val="20"/>
                <w:lang w:eastAsia="zh-CN"/>
              </w:rPr>
              <w:t xml:space="preserve">- </w:t>
            </w:r>
            <w:r>
              <w:rPr>
                <w:rFonts w:eastAsia="Arial"/>
                <w:sz w:val="20"/>
                <w:szCs w:val="20"/>
              </w:rPr>
              <w:t>Yearly</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Microsoft YaHei"/>
                <w:sz w:val="18"/>
                <w:szCs w:val="18"/>
                <w:lang w:eastAsia="zh-CN"/>
              </w:rPr>
            </w:pPr>
            <w:r>
              <w:rPr>
                <w:sz w:val="20"/>
                <w:szCs w:val="20"/>
              </w:rPr>
              <w:t xml:space="preserve">From 1,500.00/year </w:t>
            </w:r>
          </w:p>
          <w:p>
            <w:pPr>
              <w:pStyle w:val="Normal"/>
              <w:rPr>
                <w:rFonts w:ascii="Microsoft YaHei" w:hAnsi="Microsoft YaHei" w:eastAsia="Microsoft YaHei" w:cs="Arial"/>
                <w:sz w:val="18"/>
                <w:szCs w:val="18"/>
                <w:lang w:eastAsia="zh-CN"/>
              </w:rPr>
            </w:pPr>
            <w:r>
              <w:rPr>
                <w:rFonts w:eastAsia="Microsoft YaHei"/>
                <w:sz w:val="18"/>
                <w:szCs w:val="18"/>
              </w:rPr>
              <w:t>(Based on volume) *</w:t>
            </w:r>
          </w:p>
        </w:tc>
      </w:tr>
      <w:tr>
        <w:trPr>
          <w:trHeight w:val="429"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2</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Secretarial Services</w:t>
            </w:r>
            <w:r>
              <w:rPr>
                <w:rFonts w:eastAsia="Arial"/>
                <w:sz w:val="20"/>
                <w:szCs w:val="20"/>
              </w:rPr>
              <w:t xml:space="preserve"> </w:t>
            </w:r>
            <w:r>
              <w:rPr>
                <w:rFonts w:eastAsia="宋体" w:eastAsiaTheme="minorEastAsia"/>
                <w:sz w:val="20"/>
                <w:szCs w:val="20"/>
                <w:lang w:eastAsia="zh-CN"/>
              </w:rPr>
              <w:t xml:space="preserve">- </w:t>
            </w:r>
            <w:r>
              <w:rPr>
                <w:rFonts w:eastAsia="Arial"/>
                <w:sz w:val="20"/>
                <w:szCs w:val="20"/>
              </w:rPr>
              <w:t>Yearly</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sz w:val="20"/>
                <w:szCs w:val="20"/>
              </w:rPr>
              <w:t>700.00/year</w:t>
            </w:r>
          </w:p>
        </w:tc>
      </w:tr>
      <w:tr>
        <w:trPr>
          <w:trHeight w:val="227" w:hRule="atLeast"/>
        </w:trPr>
        <w:tc>
          <w:tcPr>
            <w:tcW w:w="53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宋体" w:eastAsiaTheme="minorEastAsia"/>
                <w:sz w:val="20"/>
                <w:szCs w:val="20"/>
                <w:lang w:eastAsia="zh-CN"/>
              </w:rPr>
            </w:pPr>
            <w:r>
              <w:rPr>
                <w:rFonts w:eastAsia="宋体" w:eastAsiaTheme="minorEastAsia"/>
                <w:sz w:val="20"/>
                <w:szCs w:val="20"/>
                <w:lang w:eastAsia="zh-CN"/>
              </w:rPr>
              <w:t>3</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sz w:val="20"/>
                <w:szCs w:val="20"/>
              </w:rPr>
            </w:pPr>
            <w:r>
              <w:rPr>
                <w:rFonts w:eastAsia="Arial"/>
                <w:sz w:val="20"/>
                <w:szCs w:val="20"/>
              </w:rPr>
              <w:t xml:space="preserve">Local Nominee Director Service </w:t>
            </w:r>
            <w:r>
              <w:rPr>
                <w:rFonts w:eastAsia="宋体" w:eastAsiaTheme="minorEastAsia"/>
                <w:sz w:val="20"/>
                <w:szCs w:val="20"/>
                <w:lang w:eastAsia="zh-CN"/>
              </w:rPr>
              <w:t xml:space="preserve">- </w:t>
            </w:r>
            <w:r>
              <w:rPr>
                <w:rFonts w:eastAsia="Arial"/>
                <w:sz w:val="20"/>
                <w:szCs w:val="20"/>
              </w:rPr>
              <w:t>Yearly</w:t>
            </w:r>
            <w:r>
              <w:rPr>
                <w:rFonts w:eastAsia="宋体" w:eastAsiaTheme="minorEastAsia"/>
                <w:sz w:val="20"/>
                <w:szCs w:val="20"/>
                <w:lang w:eastAsia="zh-CN"/>
              </w:rPr>
              <w:t xml:space="preserve">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rPr>
            </w:pPr>
            <w:r>
              <w:rPr>
                <w:sz w:val="20"/>
                <w:szCs w:val="20"/>
              </w:rPr>
              <w:t>3,000.00</w:t>
            </w:r>
          </w:p>
        </w:tc>
      </w:tr>
      <w:tr>
        <w:trPr>
          <w:trHeight w:val="227" w:hRule="atLeast"/>
        </w:trPr>
        <w:tc>
          <w:tcPr>
            <w:tcW w:w="530" w:type="dxa"/>
            <w:vMerge w:val="continue"/>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Arial"/>
                <w:sz w:val="20"/>
                <w:szCs w:val="20"/>
              </w:rPr>
            </w:pPr>
            <w:r>
              <w:rPr>
                <w:sz w:val="20"/>
                <w:szCs w:val="20"/>
              </w:rPr>
              <w:t>Additional Deposit</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rFonts w:eastAsia="宋体" w:eastAsiaTheme="minorEastAsia"/>
                <w:sz w:val="20"/>
                <w:szCs w:val="20"/>
                <w:lang w:eastAsia="zh-CN"/>
              </w:rPr>
              <w:t>0</w:t>
            </w:r>
          </w:p>
        </w:tc>
      </w:tr>
      <w:tr>
        <w:trPr>
          <w:trHeight w:val="227"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4</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Registered mailing Address</w:t>
            </w:r>
            <w:r>
              <w:rPr>
                <w:rFonts w:eastAsia="Arial"/>
                <w:sz w:val="20"/>
                <w:szCs w:val="20"/>
              </w:rPr>
              <w:t xml:space="preserve"> </w:t>
            </w:r>
            <w:r>
              <w:rPr>
                <w:rFonts w:eastAsia="宋体" w:eastAsiaTheme="minorEastAsia"/>
                <w:sz w:val="20"/>
                <w:szCs w:val="20"/>
                <w:lang w:eastAsia="zh-CN"/>
              </w:rPr>
              <w:t xml:space="preserve">- </w:t>
            </w:r>
            <w:r>
              <w:rPr>
                <w:rFonts w:eastAsia="Arial"/>
                <w:sz w:val="20"/>
                <w:szCs w:val="20"/>
              </w:rPr>
              <w:t>Yearly</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sz w:val="20"/>
                <w:szCs w:val="20"/>
              </w:rPr>
              <w:t>360.00/year</w:t>
            </w:r>
          </w:p>
        </w:tc>
      </w:tr>
      <w:tr>
        <w:trPr>
          <w:trHeight w:val="298"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5</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Annual Return Services</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rPr>
            </w:pPr>
            <w:r>
              <w:rPr>
                <w:sz w:val="20"/>
                <w:szCs w:val="20"/>
              </w:rPr>
              <w:t>60.00/year</w:t>
            </w:r>
          </w:p>
        </w:tc>
      </w:tr>
      <w:tr>
        <w:trPr>
          <w:trHeight w:val="534"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6</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 xml:space="preserve">Unaudit Report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sz w:val="20"/>
                <w:szCs w:val="20"/>
              </w:rPr>
              <w:t>700.00/year</w:t>
            </w:r>
          </w:p>
        </w:tc>
      </w:tr>
      <w:tr>
        <w:trPr>
          <w:trHeight w:val="551"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7</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Corporate Taxation</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sz w:val="20"/>
                <w:szCs w:val="20"/>
              </w:rPr>
            </w:pPr>
            <w:r>
              <w:rPr>
                <w:sz w:val="20"/>
                <w:szCs w:val="20"/>
              </w:rPr>
              <w:t>700.00/year</w:t>
            </w:r>
          </w:p>
        </w:tc>
      </w:tr>
      <w:tr>
        <w:trPr>
          <w:trHeight w:val="71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8</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 xml:space="preserve">Personal tax submission including </w:t>
            </w:r>
            <w:r>
              <w:rPr>
                <w:rFonts w:eastAsia="宋体" w:eastAsiaTheme="minorEastAsia"/>
                <w:sz w:val="20"/>
                <w:szCs w:val="20"/>
                <w:lang w:eastAsia="zh-CN"/>
              </w:rPr>
              <w:t>Singpass</w:t>
            </w:r>
            <w:r>
              <w:rPr>
                <w:sz w:val="20"/>
                <w:szCs w:val="20"/>
              </w:rPr>
              <w:t xml:space="preserve"> account opening and submission for one director</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sz w:val="20"/>
                <w:szCs w:val="20"/>
              </w:rPr>
              <w:t>300.00/year</w:t>
            </w:r>
          </w:p>
        </w:tc>
      </w:tr>
      <w:tr>
        <w:trPr>
          <w:trHeight w:val="71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9</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Payroll service</w:t>
            </w:r>
            <w:r>
              <w:rPr>
                <w:rFonts w:eastAsia="宋体" w:eastAsiaTheme="minorEastAsia"/>
                <w:sz w:val="20"/>
                <w:szCs w:val="20"/>
                <w:lang w:eastAsia="zh-CN"/>
              </w:rPr>
              <w:t xml:space="preserve"> </w:t>
            </w:r>
          </w:p>
          <w:p>
            <w:pPr>
              <w:pStyle w:val="Normal"/>
              <w:rPr>
                <w:rFonts w:eastAsia="宋体" w:eastAsiaTheme="minorEastAsia"/>
                <w:sz w:val="20"/>
                <w:szCs w:val="20"/>
                <w:lang w:eastAsia="zh-CN"/>
              </w:rPr>
            </w:pPr>
            <w:r>
              <w:rPr>
                <w:sz w:val="20"/>
                <w:szCs w:val="20"/>
              </w:rPr>
              <w:t>- for up to 2 persons</w:t>
            </w:r>
          </w:p>
          <w:p>
            <w:pPr>
              <w:pStyle w:val="Normal"/>
              <w:rPr>
                <w:rFonts w:eastAsia="宋体" w:eastAsiaTheme="minorEastAsia"/>
                <w:sz w:val="20"/>
                <w:szCs w:val="20"/>
                <w:lang w:eastAsia="zh-CN"/>
              </w:rPr>
            </w:pPr>
            <w:r>
              <w:rPr>
                <w:sz w:val="20"/>
                <w:szCs w:val="20"/>
              </w:rPr>
              <w:t>- S$30 per additional headcount</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eastAsia="宋体" w:eastAsiaTheme="minorEastAsia"/>
                <w:sz w:val="20"/>
                <w:szCs w:val="20"/>
                <w:lang w:eastAsia="zh-CN"/>
              </w:rPr>
            </w:pPr>
            <w:r>
              <w:rPr>
                <w:sz w:val="20"/>
                <w:szCs w:val="20"/>
              </w:rPr>
              <w:t>From 600.00/year</w:t>
            </w:r>
          </w:p>
        </w:tc>
      </w:tr>
      <w:tr>
        <w:trPr>
          <w:trHeight w:val="56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10</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XBRL Reporting Service</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pPr>
            <w:r>
              <w:rPr>
                <w:sz w:val="20"/>
                <w:szCs w:val="20"/>
              </w:rPr>
              <w:t>On Quote</w:t>
            </w:r>
          </w:p>
        </w:tc>
      </w:tr>
      <w:tr>
        <w:trPr>
          <w:trHeight w:val="56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11</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Auditing Services</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pPr>
            <w:r>
              <w:rPr>
                <w:sz w:val="20"/>
                <w:szCs w:val="20"/>
              </w:rPr>
              <w:t>On Quote</w:t>
            </w:r>
          </w:p>
        </w:tc>
      </w:tr>
      <w:tr>
        <w:trPr>
          <w:trHeight w:val="560"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12</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sz w:val="20"/>
                <w:szCs w:val="20"/>
                <w:lang w:eastAsia="zh-CN"/>
              </w:rPr>
            </w:pPr>
            <w:r>
              <w:rPr>
                <w:sz w:val="20"/>
                <w:szCs w:val="20"/>
              </w:rPr>
              <w:t>AIS/IR8A Services</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ascii="Microsoft YaHei" w:hAnsi="Microsoft YaHei" w:eastAsia="Microsoft YaHei" w:cs="Arial"/>
                <w:sz w:val="18"/>
                <w:szCs w:val="18"/>
                <w:lang w:eastAsia="zh-CN"/>
              </w:rPr>
            </w:pPr>
            <w:r>
              <w:rPr>
                <w:sz w:val="20"/>
                <w:szCs w:val="20"/>
              </w:rPr>
              <w:t>F.O.C.</w:t>
            </w:r>
          </w:p>
          <w:p>
            <w:pPr>
              <w:pStyle w:val="Normal"/>
              <w:rPr>
                <w:rFonts w:ascii="Microsoft YaHei" w:hAnsi="Microsoft YaHei" w:eastAsia="Microsoft YaHei" w:cs="Arial"/>
                <w:sz w:val="18"/>
                <w:szCs w:val="18"/>
                <w:lang w:eastAsia="zh-CN"/>
              </w:rPr>
            </w:pPr>
            <w:r>
              <w:rPr>
                <w:sz w:val="20"/>
                <w:szCs w:val="20"/>
              </w:rPr>
              <w:t>Included in package</w:t>
            </w:r>
          </w:p>
        </w:tc>
      </w:tr>
      <w:tr>
        <w:trPr>
          <w:trHeight w:val="597" w:hRule="atLeast"/>
        </w:trPr>
        <w:tc>
          <w:tcPr>
            <w:tcW w:w="6373"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宋体" w:eastAsiaTheme="minorEastAsia"/>
                <w:b/>
                <w:bCs/>
                <w:lang w:eastAsia="zh-CN"/>
              </w:rPr>
            </w:pPr>
            <w:r>
              <w:rPr>
                <w:b/>
                <w:bCs/>
              </w:rPr>
              <w:t>Total (SGD)</w:t>
            </w:r>
            <w:r>
              <w:rPr>
                <w:rFonts w:eastAsia="宋体" w:eastAsiaTheme="minorEastAsia"/>
                <w:lang w:eastAsia="zh-CN"/>
              </w:rPr>
              <w:t xml:space="preserve"> </w:t>
            </w:r>
            <w:r>
              <w:rPr>
                <w:rFonts w:eastAsia="宋体" w:eastAsiaTheme="minorEastAsia"/>
                <w:b/>
                <w:bCs/>
                <w:lang w:eastAsia="zh-CN"/>
              </w:rPr>
              <w:t>*</w:t>
            </w:r>
          </w:p>
        </w:tc>
        <w:tc>
          <w:tcPr>
            <w:tcW w:w="2978" w:type="dxa"/>
            <w:tcBorders>
              <w:top w:val="single" w:sz="4" w:space="0" w:color="000000"/>
              <w:start w:val="single" w:sz="4" w:space="0" w:color="000000"/>
              <w:bottom w:val="single" w:sz="4" w:space="0" w:color="000000"/>
              <w:end w:val="single" w:sz="4" w:space="0" w:color="000000"/>
            </w:tcBorders>
            <w:vAlign w:val="center"/>
          </w:tcPr>
          <w:p>
            <w:pPr>
              <w:pStyle w:val="Normal"/>
              <w:ind w:start="142"/>
              <w:rPr>
                <w:rFonts w:ascii="Microsoft YaHei" w:hAnsi="Microsoft YaHei" w:eastAsia="Microsoft YaHei" w:cs="Arial"/>
                <w:b/>
                <w:bCs/>
                <w:sz w:val="20"/>
                <w:szCs w:val="20"/>
                <w:lang w:eastAsia="zh-CN"/>
              </w:rPr>
            </w:pPr>
            <w:r>
              <w:rPr>
                <w:b/>
              </w:rPr>
              <w:t>From</w:t>
            </w:r>
          </w:p>
          <w:p>
            <w:pPr>
              <w:pStyle w:val="Normal"/>
              <w:ind w:start="142"/>
              <w:rPr>
                <w:rFonts w:eastAsia="宋体" w:eastAsiaTheme="minorEastAsia"/>
                <w:b/>
                <w:bCs/>
                <w:lang w:eastAsia="zh-CN"/>
              </w:rPr>
            </w:pPr>
            <w:r>
              <w:rPr>
                <w:rFonts w:eastAsia="宋体" w:eastAsiaTheme="minorEastAsia"/>
                <w:b/>
                <w:lang w:eastAsia="zh-CN"/>
              </w:rPr>
              <w:t>7</w:t>
            </w:r>
            <w:r>
              <w:rPr>
                <w:b/>
              </w:rPr>
              <w:t>,920.00/year</w:t>
            </w:r>
          </w:p>
        </w:tc>
      </w:tr>
    </w:tbl>
    <w:p>
      <w:pPr>
        <w:pStyle w:val="BodyText"/>
        <w:spacing w:lineRule="auto" w:line="257"/>
        <w:ind w:end="390"/>
        <w:rPr>
          <w:rFonts w:ascii="Calibri" w:hAnsi="Calibri" w:eastAsia="宋体" w:cs="Calibri" w:asciiTheme="minorHAnsi" w:cstheme="minorHAnsi" w:eastAsiaTheme="minorEastAsia" w:hAnsiTheme="minorHAnsi"/>
          <w:sz w:val="20"/>
          <w:szCs w:val="20"/>
          <w:lang w:eastAsia="zh-CN"/>
        </w:rPr>
      </w:pPr>
      <w:r>
        <w:rPr>
          <w:rFonts w:eastAsia="宋体" w:cs="Calibri" w:cstheme="minorHAnsi" w:eastAsiaTheme="minorEastAsia"/>
          <w:sz w:val="20"/>
          <w:szCs w:val="20"/>
          <w:lang w:eastAsia="zh-CN"/>
        </w:rPr>
      </w:r>
    </w:p>
    <w:p>
      <w:pPr>
        <w:pStyle w:val="BodyText"/>
        <w:spacing w:lineRule="auto" w:line="257"/>
        <w:ind w:end="390"/>
        <w:rPr>
          <w:rFonts w:ascii="Calibri" w:hAnsi="Calibri" w:eastAsia="宋体" w:cs="Calibri" w:asciiTheme="minorHAnsi" w:cstheme="minorHAnsi" w:eastAsiaTheme="minorEastAsia" w:hAnsiTheme="minorHAnsi"/>
          <w:sz w:val="20"/>
          <w:szCs w:val="20"/>
          <w:lang w:eastAsia="zh-CN"/>
        </w:rPr>
      </w:pPr>
      <w:r>
        <w:rPr>
          <w:rFonts w:eastAsia="宋体" w:cs="Calibri" w:cstheme="minorHAnsi" w:eastAsiaTheme="minorEastAsia"/>
          <w:sz w:val="20"/>
          <w:szCs w:val="20"/>
          <w:lang w:eastAsia="zh-CN"/>
        </w:rPr>
      </w:r>
    </w:p>
    <w:tbl>
      <w:tblPr>
        <w:tblW w:w="9351" w:type="dxa"/>
        <w:jc w:val="start"/>
        <w:tblInd w:w="0" w:type="dxa"/>
        <w:tblLayout w:type="fixed"/>
        <w:tblCellMar>
          <w:top w:w="0" w:type="dxa"/>
          <w:start w:w="10" w:type="dxa"/>
          <w:bottom w:w="0" w:type="dxa"/>
          <w:end w:w="10" w:type="dxa"/>
        </w:tblCellMar>
        <w:tblLook w:val="0000" w:noHBand="0" w:noVBand="0" w:firstColumn="0" w:lastRow="0" w:lastColumn="0" w:firstRow="0"/>
      </w:tblPr>
      <w:tblGrid>
        <w:gridCol w:w="530"/>
        <w:gridCol w:w="5843"/>
        <w:gridCol w:w="2978"/>
      </w:tblGrid>
      <w:tr>
        <w:trPr>
          <w:tblHeader w:val="true"/>
          <w:trHeight w:val="327" w:hRule="atLeast"/>
        </w:trPr>
        <w:tc>
          <w:tcPr>
            <w:tcW w:w="530"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jc w:val="center"/>
              <w:rPr>
                <w:rFonts w:eastAsia="宋体" w:eastAsiaTheme="minorEastAsia"/>
                <w:b/>
                <w:bCs/>
                <w:lang w:eastAsia="zh-CN"/>
              </w:rPr>
            </w:pPr>
            <w:r>
              <w:rPr>
                <w:rFonts w:eastAsia="Arial"/>
                <w:b/>
                <w:bCs/>
              </w:rPr>
              <w:t>No.</w:t>
            </w:r>
          </w:p>
        </w:tc>
        <w:tc>
          <w:tcPr>
            <w:tcW w:w="5843"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Mar>
              <w:top w:w="110" w:type="dxa"/>
              <w:start w:w="160" w:type="dxa"/>
              <w:bottom w:w="110" w:type="dxa"/>
              <w:end w:w="160" w:type="dxa"/>
            </w:tcMar>
          </w:tcPr>
          <w:p>
            <w:pPr>
              <w:pStyle w:val="Normal"/>
              <w:rPr>
                <w:rFonts w:eastAsia="宋体" w:eastAsiaTheme="minorEastAsia"/>
                <w:b/>
                <w:bCs/>
                <w:lang w:eastAsia="zh-CN"/>
              </w:rPr>
            </w:pPr>
            <w:r>
              <w:rPr>
                <w:rFonts w:eastAsia="Arial"/>
                <w:b/>
                <w:bCs/>
              </w:rPr>
              <w:t xml:space="preserve">Service Scope </w:t>
            </w:r>
            <w:r>
              <w:rPr>
                <w:rFonts w:eastAsia="宋体" w:eastAsiaTheme="minorEastAsia"/>
                <w:b/>
                <w:bCs/>
                <w:lang w:eastAsia="zh-CN"/>
              </w:rPr>
              <w:t>-Other Fees/Government Fees (if available)</w:t>
            </w:r>
          </w:p>
        </w:tc>
        <w:tc>
          <w:tcPr>
            <w:tcW w:w="2978"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Mar>
              <w:top w:w="110" w:type="dxa"/>
              <w:start w:w="160" w:type="dxa"/>
              <w:bottom w:w="110" w:type="dxa"/>
              <w:end w:w="160" w:type="dxa"/>
            </w:tcMar>
          </w:tcPr>
          <w:p>
            <w:pPr>
              <w:pStyle w:val="Normal"/>
              <w:rPr>
                <w:rFonts w:eastAsia="宋体" w:eastAsiaTheme="minorEastAsia"/>
                <w:b/>
                <w:bCs/>
                <w:lang w:eastAsia="zh-CN"/>
              </w:rPr>
            </w:pPr>
            <w:r>
              <w:rPr>
                <w:rFonts w:eastAsia="Arial"/>
                <w:b/>
                <w:bCs/>
              </w:rPr>
              <w:t>Fee (SGD)</w:t>
            </w:r>
          </w:p>
        </w:tc>
      </w:tr>
      <w:tr>
        <w:trPr>
          <w:trHeight w:val="624"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1</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ascii="Microsoft YaHei" w:hAnsi="Microsoft YaHei" w:eastAsia="Microsoft YaHei" w:cs="Arial"/>
                <w:sz w:val="18"/>
                <w:szCs w:val="18"/>
                <w:lang w:eastAsia="zh-CN"/>
              </w:rPr>
            </w:pPr>
            <w:r>
              <w:rPr>
                <w:rFonts w:eastAsia="Microsoft YaHei" w:cs="Arial" w:ascii="Microsoft YaHei" w:hAnsi="Microsoft YaHei"/>
                <w:sz w:val="18"/>
                <w:szCs w:val="18"/>
                <w:lang w:eastAsia="zh-CN"/>
              </w:rPr>
              <w:t xml:space="preserve">EP renewal service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ascii="Microsoft YaHei" w:hAnsi="Microsoft YaHei" w:eastAsia="Microsoft YaHei" w:cs="Arial"/>
                <w:sz w:val="18"/>
                <w:szCs w:val="18"/>
                <w:lang w:eastAsia="zh-CN"/>
              </w:rPr>
            </w:pPr>
            <w:r>
              <w:rPr>
                <w:sz w:val="20"/>
                <w:szCs w:val="20"/>
              </w:rPr>
              <w:t xml:space="preserve">1,800.00/person </w:t>
            </w:r>
          </w:p>
        </w:tc>
      </w:tr>
      <w:tr>
        <w:trPr>
          <w:trHeight w:val="573"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2</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ascii="Microsoft YaHei" w:hAnsi="Microsoft YaHei" w:eastAsia="Microsoft YaHei" w:cs="Arial"/>
                <w:sz w:val="18"/>
                <w:szCs w:val="18"/>
                <w:lang w:eastAsia="zh-CN"/>
              </w:rPr>
            </w:pPr>
            <w:r>
              <w:rPr>
                <w:rFonts w:eastAsia="Microsoft YaHei" w:cs="Arial" w:ascii="Microsoft YaHei" w:hAnsi="Microsoft YaHei"/>
                <w:sz w:val="18"/>
                <w:szCs w:val="18"/>
                <w:lang w:eastAsia="zh-CN"/>
              </w:rPr>
              <w:t xml:space="preserve">DP Application </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ascii="Microsoft YaHei" w:hAnsi="Microsoft YaHei" w:eastAsia="Microsoft YaHei" w:cs="Arial"/>
                <w:sz w:val="18"/>
                <w:szCs w:val="18"/>
                <w:lang w:eastAsia="zh-CN"/>
              </w:rPr>
            </w:pPr>
            <w:r>
              <w:rPr>
                <w:sz w:val="20"/>
                <w:szCs w:val="20"/>
              </w:rPr>
              <w:t>600.00/person</w:t>
            </w:r>
          </w:p>
        </w:tc>
      </w:tr>
      <w:tr>
        <w:trPr>
          <w:trHeight w:val="624"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pPr>
            <w:r>
              <w:rPr>
                <w:sz w:val="20"/>
                <w:szCs w:val="20"/>
              </w:rPr>
              <w:t>3</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eastAsia="宋体" w:eastAsiaTheme="minorEastAsia"/>
                <w:lang w:eastAsia="zh-CN"/>
              </w:rPr>
            </w:pPr>
            <w:r>
              <w:rPr>
                <w:rFonts w:eastAsia="Microsoft YaHei" w:ascii="Microsoft YaHei" w:hAnsi="Microsoft YaHei"/>
                <w:sz w:val="18"/>
                <w:szCs w:val="18"/>
              </w:rPr>
              <w:t>DP renewal service</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pPr>
            <w:r>
              <w:rPr>
                <w:sz w:val="20"/>
                <w:szCs w:val="20"/>
              </w:rPr>
              <w:t>600.00/person</w:t>
            </w:r>
          </w:p>
          <w:p>
            <w:pPr>
              <w:pStyle w:val="Normal"/>
              <w:rPr/>
            </w:pPr>
            <w:r>
              <w:rPr>
                <w:sz w:val="20"/>
                <w:szCs w:val="20"/>
              </w:rPr>
              <w:t>(Government fee included</w:t>
            </w:r>
            <w:r>
              <w:rPr>
                <w:rFonts w:eastAsia="Microsoft YaHei"/>
                <w:sz w:val="18"/>
                <w:szCs w:val="18"/>
              </w:rPr>
              <w:t>)</w:t>
            </w:r>
          </w:p>
        </w:tc>
      </w:tr>
      <w:tr>
        <w:trPr>
          <w:trHeight w:val="499"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4</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ascii="Microsoft YaHei" w:hAnsi="Microsoft YaHei" w:eastAsia="Microsoft YaHei" w:cs="Arial"/>
                <w:sz w:val="18"/>
                <w:szCs w:val="18"/>
                <w:lang w:eastAsia="zh-CN"/>
              </w:rPr>
            </w:pPr>
            <w:r>
              <w:rPr>
                <w:rFonts w:eastAsia="Microsoft YaHei" w:cs="Arial" w:ascii="Microsoft YaHei" w:hAnsi="Microsoft YaHei"/>
                <w:sz w:val="18"/>
                <w:szCs w:val="18"/>
                <w:lang w:eastAsia="zh-CN"/>
              </w:rPr>
              <w:t>Letter of Consent (LOC) Application</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ascii="Microsoft YaHei" w:hAnsi="Microsoft YaHei" w:eastAsia="Microsoft YaHei" w:cs="Arial"/>
                <w:sz w:val="18"/>
                <w:szCs w:val="18"/>
                <w:lang w:eastAsia="zh-CN"/>
              </w:rPr>
            </w:pPr>
            <w:r>
              <w:rPr>
                <w:sz w:val="20"/>
                <w:szCs w:val="20"/>
              </w:rPr>
              <w:t>200.00/person</w:t>
            </w:r>
          </w:p>
        </w:tc>
      </w:tr>
      <w:tr>
        <w:trPr>
          <w:trHeight w:val="499" w:hRule="atLeast"/>
        </w:trPr>
        <w:tc>
          <w:tcPr>
            <w:tcW w:w="530" w:type="dxa"/>
            <w:tcBorders>
              <w:top w:val="single" w:sz="4" w:space="0" w:color="000000"/>
              <w:start w:val="single" w:sz="4" w:space="0" w:color="000000"/>
              <w:bottom w:val="single" w:sz="4" w:space="0" w:color="000000"/>
              <w:end w:val="single" w:sz="4" w:space="0" w:color="000000"/>
            </w:tcBorders>
          </w:tcPr>
          <w:p>
            <w:pPr>
              <w:pStyle w:val="Normal"/>
              <w:jc w:val="center"/>
              <w:rPr>
                <w:rFonts w:eastAsia="宋体" w:eastAsiaTheme="minorEastAsia"/>
                <w:sz w:val="20"/>
                <w:szCs w:val="20"/>
                <w:lang w:eastAsia="zh-CN"/>
              </w:rPr>
            </w:pPr>
            <w:r>
              <w:rPr>
                <w:rFonts w:eastAsia="宋体" w:eastAsiaTheme="minorEastAsia"/>
                <w:sz w:val="20"/>
                <w:szCs w:val="20"/>
                <w:lang w:eastAsia="zh-CN"/>
              </w:rPr>
              <w:t>5</w:t>
            </w:r>
          </w:p>
        </w:tc>
        <w:tc>
          <w:tcPr>
            <w:tcW w:w="5843" w:type="dxa"/>
            <w:tcBorders>
              <w:top w:val="single" w:sz="4" w:space="0" w:color="000000"/>
              <w:start w:val="single" w:sz="4" w:space="0" w:color="000000"/>
              <w:bottom w:val="single" w:sz="4" w:space="0" w:color="000000"/>
              <w:end w:val="single" w:sz="4" w:space="0" w:color="000000"/>
            </w:tcBorders>
            <w:tcMar>
              <w:top w:w="100" w:type="dxa"/>
              <w:start w:w="160" w:type="dxa"/>
              <w:bottom w:w="100" w:type="dxa"/>
              <w:end w:w="160" w:type="dxa"/>
            </w:tcMar>
          </w:tcPr>
          <w:p>
            <w:pPr>
              <w:pStyle w:val="Normal"/>
              <w:rPr>
                <w:rFonts w:ascii="Microsoft YaHei" w:hAnsi="Microsoft YaHei" w:eastAsia="Microsoft YaHei" w:cs="Arial"/>
                <w:sz w:val="18"/>
                <w:szCs w:val="18"/>
                <w:lang w:eastAsia="zh-CN"/>
              </w:rPr>
            </w:pPr>
            <w:r>
              <w:rPr>
                <w:rFonts w:eastAsia="Microsoft YaHei" w:cs="Arial" w:ascii="Microsoft YaHei" w:hAnsi="Microsoft YaHei"/>
                <w:sz w:val="18"/>
                <w:szCs w:val="18"/>
                <w:lang w:eastAsia="zh-CN"/>
              </w:rPr>
              <w:t>EP monthly SDL</w:t>
            </w:r>
          </w:p>
        </w:tc>
        <w:tc>
          <w:tcPr>
            <w:tcW w:w="2978" w:type="dxa"/>
            <w:tcBorders>
              <w:top w:val="single" w:sz="4" w:space="0" w:color="000000"/>
              <w:start w:val="single" w:sz="4" w:space="0" w:color="000000"/>
              <w:bottom w:val="single" w:sz="4" w:space="0" w:color="000000"/>
              <w:end w:val="single" w:sz="4" w:space="0" w:color="000000"/>
            </w:tcBorders>
            <w:tcMar>
              <w:top w:w="100" w:type="dxa"/>
              <w:start w:w="120" w:type="dxa"/>
              <w:bottom w:w="100" w:type="dxa"/>
              <w:end w:w="120" w:type="dxa"/>
            </w:tcMar>
          </w:tcPr>
          <w:p>
            <w:pPr>
              <w:pStyle w:val="Normal"/>
              <w:rPr>
                <w:rFonts w:ascii="Microsoft YaHei" w:hAnsi="Microsoft YaHei" w:eastAsia="Microsoft YaHei" w:cs="Arial"/>
                <w:sz w:val="18"/>
                <w:szCs w:val="18"/>
                <w:lang w:eastAsia="zh-CN"/>
              </w:rPr>
            </w:pPr>
            <w:r>
              <w:rPr>
                <w:sz w:val="20"/>
                <w:szCs w:val="20"/>
              </w:rPr>
              <w:t>135.00/year</w:t>
            </w:r>
          </w:p>
        </w:tc>
      </w:tr>
    </w:tbl>
    <w:p>
      <w:pPr>
        <w:pStyle w:val="BodyText"/>
        <w:spacing w:lineRule="auto" w:line="257"/>
        <w:ind w:end="390"/>
        <w:rPr>
          <w:rFonts w:ascii="Calibri" w:hAnsi="Calibri" w:eastAsia="宋体" w:cs="Calibri" w:asciiTheme="minorHAnsi" w:cstheme="minorHAnsi" w:eastAsiaTheme="minorEastAsia" w:hAnsiTheme="minorHAnsi"/>
          <w:sz w:val="20"/>
          <w:szCs w:val="20"/>
          <w:lang w:eastAsia="zh-CN"/>
        </w:rPr>
      </w:pPr>
      <w:r>
        <w:rPr>
          <w:rFonts w:eastAsia="宋体" w:cs="Calibri" w:cstheme="minorHAnsi" w:eastAsiaTheme="minorEastAsia"/>
          <w:sz w:val="20"/>
          <w:szCs w:val="20"/>
          <w:lang w:eastAsia="zh-CN"/>
        </w:rPr>
      </w:r>
    </w:p>
    <w:p>
      <w:pPr>
        <w:pStyle w:val="Normal"/>
        <w:spacing w:before="52" w:after="0"/>
        <w:rPr>
          <w:rFonts w:eastAsia="宋体" w:eastAsiaTheme="minorEastAsia"/>
          <w:lang w:eastAsia="zh-CN"/>
        </w:rPr>
      </w:pPr>
      <w:r>
        <w:rPr>
          <w:rFonts w:eastAsia="宋体" w:eastAsiaTheme="minorEastAsia"/>
          <w:lang w:eastAsia="zh-CN"/>
        </w:rPr>
        <w:t xml:space="preserve">* </w:t>
      </w:r>
      <w:r>
        <w:rPr/>
        <w:t>Our accounting fees will be revised according to the volume of work and the amount of time required.</w:t>
      </w:r>
    </w:p>
    <w:p>
      <w:pPr>
        <w:pStyle w:val="Normal"/>
        <w:spacing w:before="52" w:after="0"/>
        <w:rPr>
          <w:rFonts w:eastAsia="宋体" w:eastAsiaTheme="minorEastAsia"/>
          <w:lang w:eastAsia="zh-CN"/>
        </w:rPr>
      </w:pPr>
      <w:r>
        <w:rPr>
          <w:rFonts w:eastAsia="宋体" w:eastAsiaTheme="minorEastAsia"/>
          <w:lang w:eastAsia="zh-CN"/>
        </w:rPr>
        <w:t>* For any other company changes, please refer to the last page for the applicable fees.</w:t>
      </w:r>
    </w:p>
    <w:p>
      <w:pPr>
        <w:pStyle w:val="Normal"/>
        <w:spacing w:before="52" w:after="0"/>
        <w:rPr>
          <w:rFonts w:ascii="Calibri" w:hAnsi="Calibri" w:eastAsia="Microsoft YaHei" w:cs="Calibri" w:asciiTheme="minorHAnsi" w:cstheme="minorHAnsi" w:hAnsiTheme="minorHAnsi"/>
          <w:sz w:val="20"/>
          <w:szCs w:val="20"/>
          <w:lang w:eastAsia="zh-CN"/>
        </w:rPr>
      </w:pPr>
      <w:r>
        <w:rPr>
          <w:rFonts w:eastAsia="Microsoft YaHei" w:cs="Calibri" w:cstheme="minorHAnsi"/>
          <w:sz w:val="20"/>
          <w:szCs w:val="20"/>
          <w:lang w:eastAsia="zh-CN"/>
        </w:rPr>
      </w:r>
    </w:p>
    <w:p>
      <w:pPr>
        <w:pStyle w:val="Normal"/>
        <w:spacing w:before="52" w:after="0"/>
        <w:rPr>
          <w:rFonts w:eastAsia="Microsoft YaHei"/>
          <w:b/>
          <w:bCs/>
          <w:u w:val="single"/>
          <w:lang w:val="en-SG" w:eastAsia="zh-CN"/>
        </w:rPr>
      </w:pPr>
      <w:r>
        <w:rPr>
          <w:rFonts w:eastAsia="Microsoft YaHei"/>
          <w:b/>
          <w:bCs/>
          <w:u w:val="single"/>
          <w:lang w:val="en-SG" w:eastAsia="zh-CN"/>
        </w:rPr>
        <w:t>Payment Terms</w:t>
      </w:r>
    </w:p>
    <w:p>
      <w:pPr>
        <w:pStyle w:val="Normal"/>
        <w:spacing w:before="52" w:after="0"/>
        <w:rPr>
          <w:rFonts w:ascii="Calibri" w:hAnsi="Calibri" w:eastAsia="Microsoft YaHei" w:cs="Calibri" w:asciiTheme="minorHAnsi" w:cstheme="minorHAnsi" w:hAnsiTheme="minorHAnsi"/>
          <w:sz w:val="20"/>
          <w:szCs w:val="20"/>
          <w:u w:val="single"/>
          <w:lang w:val="en-SG" w:eastAsia="zh-CN"/>
        </w:rPr>
      </w:pPr>
      <w:r>
        <w:rPr>
          <w:rFonts w:eastAsia="Microsoft YaHei" w:cs="Calibri" w:cstheme="minorHAnsi"/>
          <w:sz w:val="20"/>
          <w:szCs w:val="20"/>
          <w:u w:val="single"/>
          <w:lang w:val="en-SG" w:eastAsia="zh-CN"/>
        </w:rPr>
      </w:r>
    </w:p>
    <w:p>
      <w:pPr>
        <w:pStyle w:val="Normal"/>
        <w:spacing w:before="52" w:after="0"/>
        <w:jc w:val="both"/>
        <w:rPr>
          <w:rFonts w:eastAsia="Microsoft YaHei"/>
          <w:lang w:val="en-SG" w:eastAsia="zh-CN"/>
        </w:rPr>
      </w:pPr>
      <w:r>
        <w:rPr>
          <w:rFonts w:eastAsia="Microsoft YaHei"/>
          <w:lang w:val="en-SG" w:eastAsia="zh-CN"/>
        </w:rPr>
        <w:t>The Company shall pay the applicable service fees in accordance with the quotation, invoice, or service package agreed between the parties. Unless otherwise agreed in writing, all service fees shall be payable in advance before commencement of the relevant service.</w:t>
      </w:r>
    </w:p>
    <w:p>
      <w:pPr>
        <w:pStyle w:val="Normal"/>
        <w:spacing w:before="52" w:after="0"/>
        <w:jc w:val="both"/>
        <w:rPr>
          <w:rFonts w:ascii="Calibri" w:hAnsi="Calibri" w:eastAsia="Microsoft YaHei" w:cs="Calibri" w:asciiTheme="minorHAnsi" w:cstheme="minorHAnsi" w:hAnsiTheme="minorHAnsi"/>
          <w:sz w:val="20"/>
          <w:szCs w:val="20"/>
          <w:lang w:val="en-SG" w:eastAsia="zh-CN"/>
        </w:rPr>
      </w:pPr>
      <w:r>
        <w:rPr>
          <w:rFonts w:eastAsia="Microsoft YaHei" w:cs="Calibri" w:cstheme="minorHAnsi"/>
          <w:sz w:val="20"/>
          <w:szCs w:val="20"/>
          <w:lang w:val="en-SG" w:eastAsia="zh-CN"/>
        </w:rPr>
      </w:r>
    </w:p>
    <w:p>
      <w:pPr>
        <w:pStyle w:val="Normal"/>
        <w:spacing w:before="52" w:after="0"/>
        <w:jc w:val="both"/>
        <w:rPr>
          <w:rFonts w:eastAsia="Microsoft YaHei"/>
          <w:lang w:val="en-SG" w:eastAsia="zh-CN"/>
        </w:rPr>
      </w:pPr>
      <w:r>
        <w:rPr>
          <w:rFonts w:eastAsia="Microsoft YaHei"/>
          <w:lang w:val="en-SG" w:eastAsia="zh-CN"/>
        </w:rPr>
        <w:t>Government fees, filing fees, application fees, statutory charges, courier fees, translation fees, notarisation fees, and any third-party disbursements are not included in the service fees unless expressly stated, and shall be borne by the Company separately.</w:t>
      </w:r>
    </w:p>
    <w:p>
      <w:pPr>
        <w:pStyle w:val="Normal"/>
        <w:spacing w:before="52" w:after="0"/>
        <w:jc w:val="both"/>
        <w:rPr>
          <w:rFonts w:ascii="Calibri" w:hAnsi="Calibri" w:eastAsia="Microsoft YaHei" w:cs="Calibri" w:asciiTheme="minorHAnsi" w:cstheme="minorHAnsi" w:hAnsiTheme="minorHAnsi"/>
          <w:sz w:val="20"/>
          <w:szCs w:val="20"/>
          <w:lang w:val="en-SG" w:eastAsia="zh-CN"/>
        </w:rPr>
      </w:pPr>
      <w:r>
        <w:rPr>
          <w:rFonts w:eastAsia="Microsoft YaHei" w:cs="Calibri" w:cstheme="minorHAnsi"/>
          <w:sz w:val="20"/>
          <w:szCs w:val="20"/>
          <w:lang w:val="en-SG" w:eastAsia="zh-CN"/>
        </w:rPr>
      </w:r>
    </w:p>
    <w:p>
      <w:pPr>
        <w:pStyle w:val="Normal"/>
        <w:spacing w:before="52" w:after="0"/>
        <w:jc w:val="both"/>
        <w:rPr>
          <w:rFonts w:eastAsia="Microsoft YaHei"/>
          <w:lang w:val="en-SG" w:eastAsia="zh-CN"/>
        </w:rPr>
      </w:pPr>
      <w:r>
        <w:rPr>
          <w:rFonts w:eastAsia="Microsoft YaHei"/>
          <w:lang w:val="en-SG" w:eastAsia="zh-CN"/>
        </w:rPr>
        <w:t>The Company shall provide all required information and supporting documents in a timely, accurate, and complete manner. Any delay caused by the Company, government authority, or third party shall not be deemed as delay or default by us as the Service Provider.</w:t>
      </w:r>
      <w:r>
        <w:br w:type="page"/>
      </w:r>
    </w:p>
    <w:p>
      <w:pPr>
        <w:pStyle w:val="Normal"/>
        <w:spacing w:before="0" w:after="0"/>
        <w:rPr>
          <w:rFonts w:eastAsia="Microsoft YaHei"/>
          <w:b/>
          <w:bCs/>
          <w:u w:val="single"/>
          <w:lang w:val="en-SG" w:eastAsia="zh-CN"/>
        </w:rPr>
      </w:pPr>
      <w:r>
        <w:rPr>
          <w:rFonts w:eastAsia="Microsoft YaHei"/>
          <w:b/>
          <w:bCs/>
          <w:u w:val="single"/>
          <w:lang w:val="en-SG" w:eastAsia="zh-CN"/>
        </w:rPr>
        <w:t>General</w:t>
      </w:r>
    </w:p>
    <w:p>
      <w:pPr>
        <w:pStyle w:val="Normal"/>
        <w:spacing w:before="52" w:after="0"/>
        <w:rPr>
          <w:rFonts w:ascii="Calibri" w:hAnsi="Calibri" w:eastAsia="Microsoft YaHei" w:cs="Calibri" w:asciiTheme="minorHAnsi" w:cstheme="minorHAnsi" w:hAnsiTheme="minorHAnsi"/>
          <w:b/>
          <w:bCs/>
          <w:sz w:val="20"/>
          <w:szCs w:val="20"/>
          <w:u w:val="single"/>
          <w:lang w:val="en-SG" w:eastAsia="zh-CN"/>
        </w:rPr>
      </w:pPr>
      <w:r>
        <w:rPr>
          <w:rFonts w:eastAsia="Microsoft YaHei" w:cs="Calibri" w:cstheme="minorHAnsi"/>
          <w:b/>
          <w:bCs/>
          <w:sz w:val="20"/>
          <w:szCs w:val="20"/>
          <w:u w:val="single"/>
          <w:lang w:val="en-SG" w:eastAsia="zh-CN"/>
        </w:rPr>
      </w:r>
    </w:p>
    <w:p>
      <w:pPr>
        <w:pStyle w:val="Normal"/>
        <w:spacing w:before="52" w:after="0"/>
        <w:jc w:val="both"/>
        <w:rPr>
          <w:rFonts w:eastAsia="Microsoft YaHei"/>
          <w:lang w:val="en-SG" w:eastAsia="zh-CN"/>
        </w:rPr>
      </w:pPr>
      <w:r>
        <w:rPr>
          <w:rFonts w:eastAsia="Microsoft YaHei"/>
          <w:lang w:val="en-SG" w:eastAsia="zh-CN"/>
        </w:rPr>
        <w:t>Our services shall remain in force until terminated by either party giving two months’ notice. Payment for any unexpired period of our services is refundable to the company.</w:t>
      </w:r>
    </w:p>
    <w:p>
      <w:pPr>
        <w:pStyle w:val="Normal"/>
        <w:spacing w:before="52" w:after="0"/>
        <w:jc w:val="both"/>
        <w:rPr>
          <w:rFonts w:ascii="Calibri" w:hAnsi="Calibri" w:eastAsia="Microsoft YaHei" w:cs="Calibri" w:asciiTheme="minorHAnsi" w:cstheme="minorHAnsi" w:hAnsiTheme="minorHAnsi"/>
          <w:sz w:val="20"/>
          <w:szCs w:val="20"/>
          <w:lang w:val="en-SG" w:eastAsia="zh-CN"/>
        </w:rPr>
      </w:pPr>
      <w:r>
        <w:rPr>
          <w:rFonts w:eastAsia="Microsoft YaHei" w:cs="Calibri" w:cstheme="minorHAnsi"/>
          <w:sz w:val="20"/>
          <w:szCs w:val="20"/>
          <w:lang w:val="en-SG" w:eastAsia="zh-CN"/>
        </w:rPr>
      </w:r>
    </w:p>
    <w:p>
      <w:pPr>
        <w:pStyle w:val="Normal"/>
        <w:spacing w:before="52" w:after="0"/>
        <w:jc w:val="both"/>
        <w:rPr>
          <w:rFonts w:eastAsia="Microsoft YaHei"/>
          <w:lang w:val="en-SG" w:eastAsia="zh-CN"/>
        </w:rPr>
      </w:pPr>
      <w:r>
        <w:rPr>
          <w:rFonts w:eastAsia="Microsoft YaHei"/>
          <w:lang w:val="en-SG" w:eastAsia="zh-CN"/>
        </w:rPr>
        <w:t>Our performance of services is on a confidential basis with an undertaking that no information of whatsoever nature will be released to third parties except for our employees in charge of your account or another person designated by you in writing. The company and its directors agree to indemnify us for any losses, damages, costs and expenses in relation to proper performance of our duties unless caused by our willful default or negligence arising in connection with the performance or non-performance of our services.</w:t>
      </w:r>
    </w:p>
    <w:p>
      <w:pPr>
        <w:pStyle w:val="Normal"/>
        <w:ind w:end="233"/>
        <w:jc w:val="both"/>
        <w:rPr>
          <w:rFonts w:ascii="Calibri" w:hAnsi="Calibri" w:cs="Calibri" w:asciiTheme="minorHAnsi" w:cstheme="minorHAnsi" w:hAnsiTheme="minorHAnsi"/>
          <w:lang w:eastAsia="zh-CN"/>
        </w:rPr>
      </w:pPr>
      <w:r>
        <w:rPr>
          <w:rFonts w:cs="Calibri" w:cstheme="minorHAnsi"/>
          <w:lang w:eastAsia="zh-CN"/>
        </w:rPr>
      </w:r>
    </w:p>
    <w:p>
      <w:pPr>
        <w:pStyle w:val="Normal"/>
        <w:spacing w:before="52" w:after="0"/>
        <w:jc w:val="both"/>
        <w:rPr>
          <w:rFonts w:eastAsia="Microsoft YaHei"/>
          <w:lang w:val="en-SG" w:eastAsia="zh-CN"/>
        </w:rPr>
      </w:pPr>
      <w:r>
        <w:rPr>
          <w:rFonts w:eastAsia="Microsoft YaHei"/>
          <w:lang w:val="en-SG" w:eastAsia="zh-CN"/>
        </w:rPr>
        <w:t>We shall indemnify the company from and against all actions, proceedings, claims or demand brought or made against the company by the Government Agencies in consequence of any neglect or default or alleged neglect or default caused by ourselves in the performance of our services hereunder and the costs and expenses incurred in connection therewith.</w:t>
      </w:r>
    </w:p>
    <w:p>
      <w:pPr>
        <w:pStyle w:val="BodyText"/>
        <w:spacing w:before="1" w:after="0"/>
        <w:jc w:val="both"/>
        <w:rPr>
          <w:rFonts w:ascii="Calibri" w:hAnsi="Calibri" w:cs="Calibri" w:asciiTheme="minorHAnsi" w:cstheme="minorHAnsi" w:hAnsiTheme="minorHAnsi"/>
          <w:lang w:val="en-SG" w:eastAsia="zh-CN"/>
        </w:rPr>
      </w:pPr>
      <w:r>
        <w:rPr>
          <w:rFonts w:cs="Calibri" w:cstheme="minorHAnsi"/>
          <w:lang w:val="en-SG" w:eastAsia="zh-CN"/>
        </w:rPr>
      </w:r>
    </w:p>
    <w:p>
      <w:pPr>
        <w:pStyle w:val="Normal"/>
        <w:spacing w:before="52" w:after="0"/>
        <w:jc w:val="both"/>
        <w:rPr>
          <w:rFonts w:eastAsia="Microsoft YaHei"/>
          <w:lang w:val="en-SG" w:eastAsia="zh-CN"/>
        </w:rPr>
      </w:pPr>
      <w:r>
        <w:rPr>
          <w:rFonts w:eastAsia="Microsoft YaHei"/>
          <w:lang w:val="en-SG" w:eastAsia="zh-CN"/>
        </w:rPr>
        <w:t>Thank you for giving us an opportunity to work with you and your Management.</w:t>
      </w:r>
    </w:p>
    <w:p>
      <w:pPr>
        <w:pStyle w:val="BodyText"/>
        <w:ind w:start="118"/>
        <w:jc w:val="both"/>
        <w:rPr>
          <w:rFonts w:ascii="Calibri" w:hAnsi="Calibri" w:eastAsia="宋体" w:cs="Calibri" w:asciiTheme="minorHAnsi" w:cstheme="minorHAnsi" w:eastAsiaTheme="minorEastAsia" w:hAnsiTheme="minorHAnsi"/>
          <w:lang w:eastAsia="zh-CN"/>
        </w:rPr>
      </w:pPr>
      <w:r>
        <w:rPr>
          <w:rFonts w:eastAsia="宋体" w:cs="Calibri" w:cstheme="minorHAnsi" w:eastAsiaTheme="minorEastAsia"/>
          <w:lang w:eastAsia="zh-CN"/>
        </w:rPr>
      </w:r>
    </w:p>
    <w:p>
      <w:pPr>
        <w:pStyle w:val="BodyText"/>
        <w:ind w:start="118"/>
        <w:jc w:val="both"/>
        <w:rPr>
          <w:rFonts w:ascii="Calibri" w:hAnsi="Calibri" w:eastAsia="宋体" w:cs="Calibri" w:asciiTheme="minorHAnsi" w:cstheme="minorHAnsi" w:eastAsiaTheme="minorEastAsia" w:hAnsiTheme="minorHAnsi"/>
          <w:lang w:eastAsia="zh-CN"/>
        </w:rPr>
      </w:pPr>
      <w:r>
        <w:rPr>
          <w:rFonts w:eastAsia="宋体" w:cs="Calibri" w:cstheme="minorHAnsi" w:eastAsiaTheme="minorEastAsia"/>
          <w:lang w:eastAsia="zh-CN"/>
        </w:rPr>
      </w:r>
    </w:p>
    <w:p>
      <w:pPr>
        <w:pStyle w:val="BodyText"/>
        <w:ind w:start="118"/>
        <w:jc w:val="both"/>
        <w:rPr>
          <w:rFonts w:ascii="Calibri" w:hAnsi="Calibri" w:eastAsia="宋体" w:cs="Calibri" w:asciiTheme="minorHAnsi" w:cstheme="minorHAnsi" w:eastAsiaTheme="minorEastAsia" w:hAnsiTheme="minorHAnsi"/>
          <w:lang w:eastAsia="zh-CN"/>
        </w:rPr>
      </w:pPr>
      <w:r>
        <w:rPr>
          <w:rFonts w:eastAsia="宋体" w:cs="Calibri" w:cstheme="minorHAnsi" w:eastAsiaTheme="minorEastAsia"/>
          <w:lang w:eastAsia="zh-CN"/>
        </w:rPr>
      </w:r>
    </w:p>
    <w:p>
      <w:pPr>
        <w:pStyle w:val="BodyText"/>
        <w:ind w:start="118"/>
        <w:jc w:val="both"/>
        <w:rPr/>
      </w:pPr>
      <w:r>
        <w:rPr/>
        <w:t>Yours faithfully,</w:t>
      </w:r>
    </w:p>
    <w:p>
      <w:pPr>
        <w:pStyle w:val="BodyText"/>
        <w:tabs>
          <w:tab w:val="clear" w:pos="720"/>
          <w:tab w:val="left" w:pos="3718" w:leader="none"/>
        </w:tabs>
        <w:ind w:start="118"/>
        <w:jc w:val="both"/>
        <w:rPr>
          <w:rFonts w:ascii="Calibri" w:hAnsi="Calibri" w:cs="Calibri" w:asciiTheme="minorHAnsi" w:cstheme="minorHAnsi" w:hAnsiTheme="minorHAnsi"/>
        </w:rPr>
      </w:pPr>
      <w:r>
        <w:rPr/>
        <w:t>Best</w:t>
      </w:r>
      <w:r>
        <w:rPr>
          <w:spacing w:val="-1"/>
        </w:rPr>
        <w:t xml:space="preserve"> </w:t>
      </w:r>
      <w:r>
        <w:rPr/>
        <w:t>regards,</w:t>
      </w:r>
      <w:r>
        <w:rPr>
          <w:rFonts w:cs="Calibri" w:cstheme="minorHAnsi"/>
        </w:rPr>
        <w:tab/>
      </w:r>
      <w:r>
        <w:rPr/>
        <w:t>I agreed and approved the</w:t>
      </w:r>
      <w:r>
        <w:rPr>
          <w:spacing w:val="-6"/>
        </w:rPr>
        <w:t xml:space="preserve"> </w:t>
      </w:r>
      <w:r>
        <w:rPr/>
        <w:t>above</w:t>
      </w:r>
    </w:p>
    <w:p>
      <w:pPr>
        <w:pStyle w:val="BodyText"/>
        <w:rPr>
          <w:rFonts w:ascii="Calibri" w:hAnsi="Calibri" w:cs="Calibri" w:asciiTheme="minorHAnsi" w:cstheme="minorHAnsi" w:hAnsiTheme="minorHAnsi"/>
        </w:rPr>
      </w:pPr>
      <w:r>
        <w:rPr>
          <w:rFonts w:cs="Calibri" w:cstheme="minorHAnsi"/>
        </w:rPr>
      </w:r>
    </w:p>
    <w:p>
      <w:pPr>
        <w:pStyle w:val="BodyText"/>
        <w:rPr>
          <w:rFonts w:ascii="Calibri" w:hAnsi="Calibri" w:cs="Calibri" w:asciiTheme="minorHAnsi" w:cstheme="minorHAnsi" w:hAnsiTheme="minorHAnsi"/>
        </w:rPr>
      </w:pPr>
      <w:r>
        <w:rPr/>
        <w:drawing>
          <wp:inline distT="0" distB="0" distL="0" distR="0">
            <wp:extent cx="1291590" cy="409575"/>
            <wp:effectExtent l="0" t="0" r="0" b="0"/>
            <wp:docPr id="1"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 title=""/>
                    <pic:cNvPicPr>
                      <a:picLocks noChangeAspect="1" noChangeArrowheads="1"/>
                    </pic:cNvPicPr>
                  </pic:nvPicPr>
                  <pic:blipFill>
                    <a:blip r:embed="rId2"/>
                    <a:stretch>
                      <a:fillRect/>
                    </a:stretch>
                  </pic:blipFill>
                  <pic:spPr bwMode="auto">
                    <a:xfrm>
                      <a:off x="0" y="0"/>
                      <a:ext cx="1291590" cy="409575"/>
                    </a:xfrm>
                    <a:prstGeom prst="rect">
                      <a:avLst/>
                    </a:prstGeom>
                    <a:noFill/>
                  </pic:spPr>
                </pic:pic>
              </a:graphicData>
            </a:graphic>
          </wp:inline>
        </w:drawing>
      </w:r>
      <w:r>
        <w:rPr>
          <w:rFonts w:cs="Calibri" w:cstheme="minorHAnsi"/>
        </w:rPr>
        <w:t xml:space="preserve">                 </w:t>
      </w:r>
      <w:r>
        <w:rPr>
          <w:rFonts w:cs="Calibri" w:cstheme="minorHAnsi"/>
        </w:rPr>
        <w:tab/>
        <w:t xml:space="preserve">  ……………………………………………</w:t>
      </w:r>
    </w:p>
    <w:p>
      <w:pPr>
        <w:pStyle w:val="Normal"/>
        <w:tabs>
          <w:tab w:val="clear" w:pos="720"/>
          <w:tab w:val="left" w:pos="3718" w:leader="none"/>
        </w:tabs>
        <w:ind w:start="118"/>
        <w:jc w:val="both"/>
        <w:rPr>
          <w:rFonts w:ascii="Calibri" w:hAnsi="Calibri" w:eastAsia="宋体" w:cs="Calibri" w:asciiTheme="minorHAnsi" w:cstheme="minorHAnsi" w:eastAsiaTheme="minorEastAsia" w:hAnsiTheme="minorHAnsi"/>
          <w:b/>
          <w:lang w:eastAsia="zh-CN"/>
        </w:rPr>
      </w:pPr>
      <w:r>
        <w:rPr>
          <w:rFonts w:cs="Calibri" w:cstheme="minorHAnsi"/>
          <w:b/>
        </w:rPr>
        <w:t>Cindy, Zhang</w:t>
      </w:r>
      <w:r>
        <w:rPr>
          <w:rFonts w:eastAsia="宋体" w:cs="Calibri" w:cstheme="minorHAnsi" w:eastAsiaTheme="minorEastAsia"/>
          <w:b/>
          <w:lang w:eastAsia="zh-CN"/>
        </w:rPr>
        <w:t xml:space="preserve">    </w:t>
      </w:r>
    </w:p>
    <w:p>
      <w:pPr>
        <w:pStyle w:val="Normal"/>
        <w:tabs>
          <w:tab w:val="clear" w:pos="720"/>
          <w:tab w:val="left" w:pos="3718" w:leader="none"/>
        </w:tabs>
        <w:ind w:start="118"/>
        <w:jc w:val="both"/>
        <w:rPr>
          <w:rFonts w:ascii="Calibri" w:hAnsi="Calibri" w:eastAsia="宋体" w:cs="Calibri" w:asciiTheme="minorHAnsi" w:cstheme="minorHAnsi" w:eastAsiaTheme="minorEastAsia" w:hAnsiTheme="minorHAnsi"/>
          <w:b/>
          <w:lang w:eastAsia="zh-CN"/>
        </w:rPr>
      </w:pPr>
      <w:r>
        <w:rPr>
          <w:rFonts w:cs="Calibri" w:cstheme="minorHAnsi"/>
          <w:b/>
        </w:rPr>
        <w:t>D</w:t>
      </w:r>
      <w:r>
        <w:rPr>
          <w:rFonts w:eastAsia="宋体" w:cs="Calibri" w:cstheme="minorHAnsi" w:eastAsiaTheme="minorEastAsia"/>
          <w:b/>
          <w:lang w:eastAsia="zh-CN"/>
        </w:rPr>
        <w:t>irec</w:t>
      </w:r>
      <w:r>
        <w:rPr>
          <w:rFonts w:cs="Calibri" w:cstheme="minorHAnsi"/>
          <w:b/>
        </w:rPr>
        <w:t>tor, Tassure Group</w:t>
        <w:tab/>
        <w:t xml:space="preserve">Name: </w:t>
      </w:r>
    </w:p>
    <w:p>
      <w:pPr>
        <w:pStyle w:val="Normal"/>
        <w:spacing w:lineRule="auto" w:line="401"/>
        <w:ind w:start="3718" w:end="390"/>
        <w:rPr>
          <w:rFonts w:eastAsia="宋体" w:cs="Calibri" w:cstheme="minorHAnsi" w:eastAsiaTheme="minorEastAsia"/>
          <w:lang w:eastAsia="zh-CN"/>
        </w:rPr>
      </w:pPr>
      <w:r>
        <w:rPr>
          <w:rFonts w:eastAsia="宋体" w:cs="Calibri" w:cstheme="minorHAnsi" w:eastAsiaTheme="minorEastAsia"/>
          <w:b/>
          <w:lang w:eastAsia="zh-CN"/>
        </w:rPr>
        <w:t>Company:</w:t>
      </w:r>
      <w:r>
        <w:rPr>
          <w:rFonts w:cs="Calibri" w:cstheme="minorHAnsi"/>
        </w:rPr>
        <w:t xml:space="preserve"> </w:t>
      </w:r>
    </w:p>
    <w:p>
      <w:pPr>
        <w:pStyle w:val="Normal"/>
        <w:rPr/>
      </w:pPr>
      <w:r>
        <w:rPr/>
      </w:r>
      <w:r>
        <w:br w:type="page"/>
      </w:r>
    </w:p>
    <w:p>
      <w:pPr>
        <w:pStyle w:val="Normal"/>
        <w:spacing w:before="0" w:after="16"/>
        <w:rPr>
          <w:rFonts w:eastAsia="宋体" w:eastAsiaTheme="minorEastAsia"/>
          <w:b/>
          <w:bCs/>
          <w:lang w:eastAsia="zh-CN"/>
        </w:rPr>
      </w:pPr>
      <w:r>
        <w:rPr>
          <w:b/>
          <w:bCs/>
        </w:rPr>
        <w:t>For any other post-incorporation changes, please refer to the following fee schedule (if applicable)</w:t>
      </w:r>
      <w:r>
        <w:rPr>
          <w:rFonts w:eastAsia="宋体" w:eastAsiaTheme="minorEastAsia"/>
          <w:b/>
          <w:bCs/>
          <w:lang w:eastAsia="zh-CN"/>
        </w:rPr>
        <w:t>：</w:t>
      </w:r>
    </w:p>
    <w:p>
      <w:pPr>
        <w:pStyle w:val="Normal"/>
        <w:spacing w:before="0" w:after="60"/>
        <w:rPr>
          <w:rFonts w:ascii="Calibri" w:hAnsi="Calibri" w:eastAsia="Microsoft YaHei" w:cs="Calibri" w:asciiTheme="minorHAnsi" w:cstheme="minorHAnsi" w:hAnsiTheme="minorHAnsi"/>
          <w:sz w:val="20"/>
          <w:szCs w:val="20"/>
          <w:lang w:eastAsia="zh-CN"/>
        </w:rPr>
      </w:pPr>
      <w:r>
        <w:rPr>
          <w:rFonts w:eastAsia="Microsoft YaHei" w:cs="Calibri" w:cstheme="minorHAnsi"/>
          <w:sz w:val="20"/>
          <w:szCs w:val="20"/>
          <w:lang w:eastAsia="zh-CN"/>
        </w:rPr>
      </w:r>
    </w:p>
    <w:tbl>
      <w:tblPr>
        <w:tblW w:w="9351" w:type="dxa"/>
        <w:jc w:val="start"/>
        <w:tblInd w:w="0" w:type="dxa"/>
        <w:tblLayout w:type="fixed"/>
        <w:tblCellMar>
          <w:top w:w="100" w:type="dxa"/>
          <w:start w:w="160" w:type="dxa"/>
          <w:bottom w:w="100" w:type="dxa"/>
          <w:end w:w="160" w:type="dxa"/>
        </w:tblCellMar>
        <w:tblLook w:val="0000" w:noHBand="0" w:noVBand="0" w:firstColumn="0" w:lastRow="0" w:lastColumn="0" w:firstRow="0"/>
      </w:tblPr>
      <w:tblGrid>
        <w:gridCol w:w="642"/>
        <w:gridCol w:w="2022"/>
        <w:gridCol w:w="3796"/>
        <w:gridCol w:w="1057"/>
        <w:gridCol w:w="1834"/>
      </w:tblGrid>
      <w:tr>
        <w:trPr>
          <w:trHeight w:val="426" w:hRule="atLeast"/>
        </w:trPr>
        <w:tc>
          <w:tcPr>
            <w:tcW w:w="9351" w:type="dxa"/>
            <w:gridSpan w:val="5"/>
            <w:tcBorders>
              <w:top w:val="single" w:sz="4" w:space="0" w:color="888888"/>
              <w:start w:val="single" w:sz="4" w:space="0" w:color="888888"/>
              <w:bottom w:val="single" w:sz="4" w:space="0" w:color="888888"/>
              <w:end w:val="single" w:sz="4" w:space="0" w:color="888888"/>
            </w:tcBorders>
            <w:shd w:color="auto" w:fill="BFBFBF" w:themeFill="background1" w:themeFillShade="bf" w:val="clear"/>
          </w:tcPr>
          <w:p>
            <w:pPr>
              <w:pStyle w:val="Normal"/>
              <w:jc w:val="center"/>
              <w:rPr>
                <w:b/>
                <w:bCs/>
                <w:lang w:eastAsia="zh-CN"/>
              </w:rPr>
            </w:pPr>
            <w:r>
              <w:rPr>
                <w:rFonts w:eastAsia="Arial"/>
                <w:b/>
                <w:bCs/>
                <w:sz w:val="20"/>
                <w:szCs w:val="20"/>
              </w:rPr>
              <w:t>Corporate Secretarial Services</w:t>
            </w:r>
          </w:p>
        </w:tc>
      </w:tr>
      <w:tr>
        <w:trPr>
          <w:trHeight w:val="403" w:hRule="atLeast"/>
        </w:trPr>
        <w:tc>
          <w:tcPr>
            <w:tcW w:w="642" w:type="dxa"/>
            <w:tcBorders>
              <w:top w:val="single" w:sz="4" w:space="0" w:color="888888"/>
              <w:start w:val="single" w:sz="4" w:space="0" w:color="888888"/>
              <w:bottom w:val="single" w:sz="4" w:space="0" w:color="888888"/>
              <w:end w:val="single" w:sz="4" w:space="0" w:color="888888"/>
            </w:tcBorders>
            <w:shd w:color="auto" w:fill="BFBFBF" w:themeFill="background1" w:themeFillShade="bf" w:val="clear"/>
            <w:tcMar>
              <w:start w:w="100" w:type="dxa"/>
              <w:end w:w="100" w:type="dxa"/>
            </w:tcMar>
          </w:tcPr>
          <w:p>
            <w:pPr>
              <w:pStyle w:val="Normal"/>
              <w:jc w:val="center"/>
              <w:rPr>
                <w:b/>
                <w:bCs/>
              </w:rPr>
            </w:pPr>
            <w:r>
              <w:rPr>
                <w:rFonts w:eastAsia="Arial"/>
                <w:b/>
                <w:bCs/>
                <w:sz w:val="20"/>
                <w:szCs w:val="20"/>
              </w:rPr>
              <w:t>No.</w:t>
            </w:r>
            <w:r>
              <w:rPr>
                <w:rFonts w:eastAsia="Arial"/>
                <w:b/>
                <w:bCs/>
              </w:rPr>
              <w:br/>
            </w:r>
          </w:p>
        </w:tc>
        <w:tc>
          <w:tcPr>
            <w:tcW w:w="2022" w:type="dxa"/>
            <w:tcBorders>
              <w:top w:val="single" w:sz="4" w:space="0" w:color="888888"/>
              <w:start w:val="single" w:sz="4" w:space="0" w:color="888888"/>
              <w:bottom w:val="single" w:sz="4" w:space="0" w:color="888888"/>
              <w:end w:val="single" w:sz="4" w:space="0" w:color="888888"/>
            </w:tcBorders>
            <w:shd w:color="auto" w:fill="BFBFBF" w:themeFill="background1" w:themeFillShade="bf" w:val="clear"/>
            <w:tcMar>
              <w:start w:w="100" w:type="dxa"/>
              <w:end w:w="100" w:type="dxa"/>
            </w:tcMar>
          </w:tcPr>
          <w:p>
            <w:pPr>
              <w:pStyle w:val="Normal"/>
              <w:jc w:val="center"/>
              <w:rPr>
                <w:b/>
                <w:bCs/>
                <w:lang w:eastAsia="zh-CN"/>
              </w:rPr>
            </w:pPr>
            <w:r>
              <w:rPr>
                <w:rFonts w:eastAsia="Arial"/>
                <w:b/>
                <w:bCs/>
                <w:sz w:val="20"/>
                <w:szCs w:val="20"/>
              </w:rPr>
              <w:t>Service</w:t>
            </w:r>
          </w:p>
        </w:tc>
        <w:tc>
          <w:tcPr>
            <w:tcW w:w="3796" w:type="dxa"/>
            <w:tcBorders>
              <w:top w:val="single" w:sz="4" w:space="0" w:color="888888"/>
              <w:start w:val="single" w:sz="4" w:space="0" w:color="888888"/>
              <w:bottom w:val="single" w:sz="4" w:space="0" w:color="888888"/>
              <w:end w:val="single" w:sz="4" w:space="0" w:color="888888"/>
            </w:tcBorders>
            <w:shd w:color="auto" w:fill="BFBFBF" w:themeFill="background1" w:themeFillShade="bf" w:val="clear"/>
            <w:tcMar>
              <w:start w:w="100" w:type="dxa"/>
              <w:end w:w="100" w:type="dxa"/>
            </w:tcMar>
          </w:tcPr>
          <w:p>
            <w:pPr>
              <w:pStyle w:val="Normal"/>
              <w:jc w:val="center"/>
              <w:rPr>
                <w:b/>
                <w:bCs/>
                <w:lang w:eastAsia="zh-CN"/>
              </w:rPr>
            </w:pPr>
            <w:r>
              <w:rPr>
                <w:rFonts w:eastAsia="Arial"/>
                <w:b/>
                <w:bCs/>
                <w:sz w:val="20"/>
                <w:szCs w:val="20"/>
              </w:rPr>
              <w:t>Description</w:t>
            </w:r>
          </w:p>
        </w:tc>
        <w:tc>
          <w:tcPr>
            <w:tcW w:w="1057" w:type="dxa"/>
            <w:tcBorders>
              <w:top w:val="single" w:sz="4" w:space="0" w:color="888888"/>
              <w:start w:val="single" w:sz="4" w:space="0" w:color="888888"/>
              <w:bottom w:val="single" w:sz="4" w:space="0" w:color="888888"/>
              <w:end w:val="single" w:sz="4" w:space="0" w:color="888888"/>
            </w:tcBorders>
            <w:shd w:color="auto" w:fill="BFBFBF" w:themeFill="background1" w:themeFillShade="bf" w:val="clear"/>
            <w:tcMar>
              <w:start w:w="100" w:type="dxa"/>
              <w:end w:w="100" w:type="dxa"/>
            </w:tcMar>
          </w:tcPr>
          <w:p>
            <w:pPr>
              <w:pStyle w:val="Normal"/>
              <w:jc w:val="center"/>
              <w:rPr>
                <w:b/>
                <w:bCs/>
                <w:lang w:eastAsia="zh-CN"/>
              </w:rPr>
            </w:pPr>
            <w:r>
              <w:rPr>
                <w:rFonts w:eastAsia="Arial"/>
                <w:b/>
                <w:bCs/>
                <w:sz w:val="20"/>
                <w:szCs w:val="20"/>
              </w:rPr>
              <w:t>Qty.</w:t>
            </w:r>
          </w:p>
        </w:tc>
        <w:tc>
          <w:tcPr>
            <w:tcW w:w="1834" w:type="dxa"/>
            <w:tcBorders>
              <w:top w:val="single" w:sz="4" w:space="0" w:color="888888"/>
              <w:start w:val="single" w:sz="4" w:space="0" w:color="888888"/>
              <w:bottom w:val="single" w:sz="4" w:space="0" w:color="888888"/>
              <w:end w:val="single" w:sz="4" w:space="0" w:color="888888"/>
            </w:tcBorders>
            <w:shd w:color="auto" w:fill="BFBFBF" w:themeFill="background1" w:themeFillShade="bf" w:val="clear"/>
            <w:tcMar>
              <w:start w:w="100" w:type="dxa"/>
              <w:end w:w="100" w:type="dxa"/>
            </w:tcMar>
          </w:tcPr>
          <w:p>
            <w:pPr>
              <w:pStyle w:val="Normal"/>
              <w:jc w:val="center"/>
              <w:rPr>
                <w:b/>
                <w:bCs/>
                <w:lang w:eastAsia="zh-CN"/>
              </w:rPr>
            </w:pPr>
            <w:r>
              <w:rPr>
                <w:rFonts w:eastAsia="Arial"/>
                <w:b/>
                <w:bCs/>
                <w:sz w:val="20"/>
                <w:szCs w:val="20"/>
              </w:rPr>
              <w:t>Price (SGD)</w:t>
            </w:r>
          </w:p>
        </w:tc>
      </w:tr>
      <w:tr>
        <w:trPr>
          <w:trHeight w:val="426" w:hRule="atLeast"/>
        </w:trPr>
        <w:tc>
          <w:tcPr>
            <w:tcW w:w="64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pPr>
            <w:r>
              <w:rPr>
                <w:rFonts w:eastAsia="Arial"/>
                <w:b/>
                <w:bCs/>
                <w:sz w:val="16"/>
                <w:szCs w:val="16"/>
              </w:rPr>
              <w:t>1</w:t>
            </w:r>
          </w:p>
        </w:tc>
        <w:tc>
          <w:tcPr>
            <w:tcW w:w="202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Company changes including Lodgement services to ACRA</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Update of company/shareholders/officer particulars</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rFonts w:eastAsia="Arial"/>
                <w:color w:val="4A4A4A"/>
                <w:sz w:val="18"/>
                <w:szCs w:val="18"/>
              </w:rPr>
              <w:t>FOC</w:t>
            </w:r>
          </w:p>
        </w:tc>
      </w:tr>
      <w:tr>
        <w:trPr>
          <w:trHeight w:val="285"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Change of office registered address</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rFonts w:eastAsia="Arial"/>
                <w:color w:val="4A4A4A"/>
                <w:sz w:val="18"/>
                <w:szCs w:val="18"/>
              </w:rPr>
              <w:t>FOC</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Change of secretary</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rFonts w:eastAsia="Arial"/>
                <w:color w:val="4A4A4A"/>
                <w:sz w:val="18"/>
                <w:szCs w:val="18"/>
              </w:rPr>
              <w:t>FOC</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Change of business activities</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rFonts w:eastAsia="Arial"/>
                <w:color w:val="4A4A4A"/>
                <w:sz w:val="18"/>
                <w:szCs w:val="18"/>
              </w:rPr>
              <w:t>FOC</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Change of auditor (if appointed our auditor; if outside, $50 will be applicable)</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rFonts w:eastAsia="Arial"/>
                <w:color w:val="4A4A4A"/>
                <w:sz w:val="18"/>
                <w:szCs w:val="18"/>
              </w:rPr>
              <w:t>FOC</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AGM and Annual return (Government fee SGD 60 applicable)</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rFonts w:eastAsia="Arial"/>
                <w:color w:val="4A4A4A"/>
                <w:sz w:val="18"/>
                <w:szCs w:val="18"/>
              </w:rPr>
              <w:t>FOC</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Appointment and resignation of officer</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100.00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Dividend declaration</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100.00</w:t>
            </w:r>
          </w:p>
        </w:tc>
      </w:tr>
      <w:tr>
        <w:trPr>
          <w:trHeight w:val="290"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Any other lodgements other than regular changes</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50.00</w:t>
            </w:r>
          </w:p>
        </w:tc>
      </w:tr>
      <w:tr>
        <w:trPr>
          <w:trHeight w:val="582" w:hRule="atLeast"/>
        </w:trPr>
        <w:tc>
          <w:tcPr>
            <w:tcW w:w="64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pPr>
            <w:r>
              <w:rPr>
                <w:rFonts w:eastAsia="Arial"/>
                <w:b/>
                <w:bCs/>
                <w:sz w:val="16"/>
                <w:szCs w:val="16"/>
              </w:rPr>
              <w:t>2</w:t>
            </w:r>
          </w:p>
        </w:tc>
        <w:tc>
          <w:tcPr>
            <w:tcW w:w="202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Special Resolution including Lodgement services to ACRA</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Change of company name</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300.00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Amendment in company Constitution (based on complexity level, lawyer will be involved)</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300.00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Split/replace of share certification</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100.00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Removal of charge for ACRA register</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200.00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EGM for bank facilities /other investment</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300.00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Any other lodgements other than regular changes</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rFonts w:eastAsia="宋体" w:eastAsiaTheme="minorEastAsia"/>
                <w:sz w:val="20"/>
                <w:szCs w:val="20"/>
                <w:lang w:eastAsia="zh-CN"/>
              </w:rPr>
              <w:t xml:space="preserve">From </w:t>
            </w:r>
            <w:r>
              <w:rPr>
                <w:sz w:val="20"/>
                <w:szCs w:val="20"/>
              </w:rPr>
              <w:t>SGD 200.00</w:t>
            </w:r>
          </w:p>
        </w:tc>
      </w:tr>
      <w:tr>
        <w:trPr>
          <w:trHeight w:val="594" w:hRule="atLeast"/>
        </w:trPr>
        <w:tc>
          <w:tcPr>
            <w:tcW w:w="64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pPr>
            <w:r>
              <w:rPr>
                <w:rFonts w:eastAsia="Arial"/>
                <w:b/>
                <w:bCs/>
                <w:sz w:val="16"/>
                <w:szCs w:val="16"/>
              </w:rPr>
              <w:t>3</w:t>
            </w:r>
          </w:p>
        </w:tc>
        <w:tc>
          <w:tcPr>
            <w:tcW w:w="202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Share issue and transfer</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Allotment of shares / Increase paid up capital</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200.00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Share transfer (excluding Stamp duty and government fee)</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300.00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Share transfer with any corporate shareholder (excluding Stamp and government fee)</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400.00</w:t>
            </w:r>
          </w:p>
        </w:tc>
      </w:tr>
      <w:tr>
        <w:trPr>
          <w:trHeight w:val="526" w:hRule="atLeast"/>
        </w:trPr>
        <w:tc>
          <w:tcPr>
            <w:tcW w:w="642"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pPr>
            <w:r>
              <w:rPr>
                <w:rFonts w:eastAsia="Arial"/>
                <w:b/>
                <w:bCs/>
                <w:sz w:val="16"/>
                <w:szCs w:val="16"/>
              </w:rPr>
              <w:t>4</w:t>
            </w:r>
          </w:p>
        </w:tc>
        <w:tc>
          <w:tcPr>
            <w:tcW w:w="2022"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Share Capital deduction</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EGM preparation and ACRA lodgements</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sz w:val="18"/>
                <w:szCs w:val="18"/>
                <w:lang w:eastAsia="zh-CN"/>
              </w:rPr>
            </w:pPr>
            <w:r>
              <w:rPr>
                <w:sz w:val="14"/>
                <w:szCs w:val="14"/>
              </w:rPr>
              <w:t>Per Transaction</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2,000.00</w:t>
            </w:r>
          </w:p>
        </w:tc>
      </w:tr>
      <w:tr>
        <w:trPr>
          <w:trHeight w:val="830" w:hRule="atLeast"/>
        </w:trPr>
        <w:tc>
          <w:tcPr>
            <w:tcW w:w="642"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pPr>
            <w:r>
              <w:rPr>
                <w:rFonts w:eastAsia="Arial"/>
                <w:b/>
                <w:bCs/>
                <w:sz w:val="16"/>
                <w:szCs w:val="16"/>
              </w:rPr>
              <w:t>5</w:t>
            </w:r>
          </w:p>
        </w:tc>
        <w:tc>
          <w:tcPr>
            <w:tcW w:w="2022"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Trade mark application (Singapore)</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Apply Trade Mark and assist to prepare documents</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One-Off</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color w:val="4A4A4A"/>
                <w:sz w:val="18"/>
                <w:szCs w:val="18"/>
              </w:rPr>
            </w:pPr>
            <w:r>
              <w:rPr>
                <w:sz w:val="20"/>
                <w:szCs w:val="20"/>
              </w:rPr>
              <w:t>SGD 900.00</w:t>
            </w:r>
          </w:p>
          <w:p>
            <w:pPr>
              <w:pStyle w:val="Normal"/>
              <w:jc w:val="center"/>
              <w:rPr>
                <w:color w:val="4A4A4A"/>
                <w:sz w:val="18"/>
                <w:szCs w:val="18"/>
              </w:rPr>
            </w:pPr>
            <w:r>
              <w:rPr>
                <w:rFonts w:eastAsia="Arial"/>
                <w:color w:val="4A4A4A"/>
                <w:sz w:val="18"/>
                <w:szCs w:val="18"/>
              </w:rPr>
              <w:t xml:space="preserve"> </w:t>
            </w:r>
            <w:r>
              <w:rPr>
                <w:rFonts w:eastAsia="Arial"/>
                <w:color w:val="4A4A4A"/>
                <w:sz w:val="18"/>
                <w:szCs w:val="18"/>
              </w:rPr>
              <w:t>(extra 400 per additional class)</w:t>
            </w:r>
            <w:r>
              <w:rPr>
                <w:color w:val="4A4A4A"/>
                <w:sz w:val="18"/>
                <w:szCs w:val="18"/>
              </w:rPr>
              <w:t xml:space="preserve"> </w:t>
            </w:r>
          </w:p>
        </w:tc>
      </w:tr>
      <w:tr>
        <w:trPr>
          <w:trHeight w:val="426" w:hRule="atLeast"/>
        </w:trPr>
        <w:tc>
          <w:tcPr>
            <w:tcW w:w="64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lang w:eastAsia="zh-CN"/>
              </w:rPr>
            </w:pPr>
            <w:r>
              <w:rPr>
                <w:rFonts w:eastAsia="宋体" w:eastAsiaTheme="minorEastAsia"/>
                <w:b/>
                <w:bCs/>
                <w:sz w:val="16"/>
                <w:szCs w:val="16"/>
                <w:lang w:eastAsia="zh-CN"/>
              </w:rPr>
              <w:t>6</w:t>
            </w:r>
          </w:p>
        </w:tc>
        <w:tc>
          <w:tcPr>
            <w:tcW w:w="202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Secretary attendance Services</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Assists and attend to Bank for bank requirement</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One-Off</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200.00</w:t>
            </w:r>
          </w:p>
        </w:tc>
      </w:tr>
      <w:tr>
        <w:trPr>
          <w:trHeight w:val="134" w:hRule="atLeast"/>
        </w:trPr>
        <w:tc>
          <w:tcPr>
            <w:tcW w:w="64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888888"/>
              <w:start w:val="single" w:sz="4" w:space="0" w:color="888888"/>
              <w:bottom w:val="single" w:sz="4" w:space="0" w:color="888888"/>
              <w:end w:val="single" w:sz="4" w:space="0" w:color="888888"/>
            </w:tcBorders>
            <w:tcMar>
              <w:top w:w="0" w:type="dxa"/>
              <w:start w:w="10" w:type="dxa"/>
              <w:bottom w:w="0" w:type="dxa"/>
              <w:end w:w="10" w:type="dxa"/>
            </w:tcMar>
          </w:tcPr>
          <w:p>
            <w:pPr>
              <w:pStyle w:val="Normal"/>
              <w:rPr>
                <w:sz w:val="18"/>
                <w:szCs w:val="18"/>
              </w:rPr>
            </w:pPr>
            <w:r>
              <w:rPr>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sz w:val="18"/>
                <w:szCs w:val="18"/>
                <w:lang w:eastAsia="zh-CN"/>
              </w:rPr>
            </w:pPr>
            <w:r>
              <w:rPr>
                <w:rFonts w:eastAsia="Arial"/>
                <w:color w:val="4A4A4A"/>
                <w:sz w:val="18"/>
                <w:szCs w:val="18"/>
              </w:rPr>
              <w:t>Assists and attend to Court on behalf for tax purpose</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One-Off</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sz w:val="18"/>
                <w:szCs w:val="18"/>
              </w:rPr>
            </w:pPr>
            <w:r>
              <w:rPr>
                <w:sz w:val="20"/>
                <w:szCs w:val="20"/>
              </w:rPr>
              <w:t>SGD 500.00</w:t>
            </w:r>
          </w:p>
        </w:tc>
      </w:tr>
      <w:tr>
        <w:trPr>
          <w:trHeight w:val="134" w:hRule="atLeast"/>
        </w:trPr>
        <w:tc>
          <w:tcPr>
            <w:tcW w:w="642" w:type="dxa"/>
            <w:vMerge w:val="restart"/>
            <w:tcBorders>
              <w:top w:val="single" w:sz="4" w:space="0" w:color="888888"/>
              <w:start w:val="single" w:sz="4" w:space="0" w:color="888888"/>
              <w:bottom w:val="single" w:sz="4" w:space="0" w:color="000000"/>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b/>
                <w:bCs/>
                <w:sz w:val="16"/>
                <w:szCs w:val="16"/>
                <w:lang w:eastAsia="zh-CN"/>
              </w:rPr>
            </w:pPr>
            <w:r>
              <w:rPr>
                <w:rFonts w:eastAsia="宋体" w:eastAsiaTheme="minorEastAsia"/>
                <w:b/>
                <w:bCs/>
                <w:sz w:val="16"/>
                <w:szCs w:val="16"/>
                <w:lang w:eastAsia="zh-CN"/>
              </w:rPr>
              <w:t>7</w:t>
            </w:r>
          </w:p>
        </w:tc>
        <w:tc>
          <w:tcPr>
            <w:tcW w:w="2022" w:type="dxa"/>
            <w:vMerge w:val="restart"/>
            <w:tcBorders>
              <w:top w:val="single" w:sz="4" w:space="0" w:color="888888"/>
              <w:start w:val="single" w:sz="4" w:space="0" w:color="888888"/>
              <w:bottom w:val="single" w:sz="4" w:space="0" w:color="000000"/>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 xml:space="preserve">Voluntarily striking off </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Arial"/>
                <w:color w:val="4A4A4A"/>
                <w:sz w:val="18"/>
                <w:szCs w:val="18"/>
              </w:rPr>
            </w:pPr>
            <w:r>
              <w:rPr>
                <w:rFonts w:eastAsia="Arial"/>
                <w:color w:val="4A4A4A"/>
                <w:sz w:val="18"/>
                <w:szCs w:val="18"/>
              </w:rPr>
              <w:t>Dormant Company</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One-Off</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20"/>
                <w:szCs w:val="20"/>
              </w:rPr>
              <w:t>SGD 500.00</w:t>
            </w:r>
          </w:p>
        </w:tc>
      </w:tr>
      <w:tr>
        <w:trPr>
          <w:trHeight w:val="134" w:hRule="atLeast"/>
        </w:trPr>
        <w:tc>
          <w:tcPr>
            <w:tcW w:w="642" w:type="dxa"/>
            <w:vMerge w:val="continue"/>
            <w:tcBorders>
              <w:top w:val="single" w:sz="4" w:space="0" w:color="000000"/>
              <w:start w:val="single" w:sz="4" w:space="0" w:color="888888"/>
              <w:bottom w:val="single" w:sz="4" w:space="0" w:color="000000"/>
              <w:end w:val="single" w:sz="4" w:space="0" w:color="888888"/>
            </w:tcBorders>
            <w:tcMar>
              <w:top w:w="0" w:type="dxa"/>
              <w:start w:w="10" w:type="dxa"/>
              <w:bottom w:w="0" w:type="dxa"/>
              <w:end w:w="10" w:type="dxa"/>
            </w:tcMar>
            <w:vAlign w:val="center"/>
          </w:tcPr>
          <w:p>
            <w:pPr>
              <w:pStyle w:val="Normal"/>
              <w:jc w:val="center"/>
              <w:rPr>
                <w:rFonts w:eastAsia="宋体" w:eastAsiaTheme="minorEastAsia"/>
                <w:b/>
                <w:bCs/>
                <w:sz w:val="16"/>
                <w:szCs w:val="16"/>
                <w:lang w:eastAsia="zh-CN"/>
              </w:rPr>
            </w:pPr>
            <w:r>
              <w:rPr>
                <w:rFonts w:eastAsia="宋体" w:eastAsiaTheme="minorEastAsia"/>
                <w:b/>
                <w:bCs/>
                <w:sz w:val="16"/>
                <w:szCs w:val="16"/>
                <w:lang w:eastAsia="zh-CN"/>
              </w:rPr>
            </w:r>
          </w:p>
        </w:tc>
        <w:tc>
          <w:tcPr>
            <w:tcW w:w="2022" w:type="dxa"/>
            <w:vMerge w:val="continue"/>
            <w:tcBorders>
              <w:top w:val="single" w:sz="4" w:space="0" w:color="000000"/>
              <w:start w:val="single" w:sz="4" w:space="0" w:color="888888"/>
              <w:bottom w:val="single" w:sz="4" w:space="0" w:color="000000"/>
              <w:end w:val="single" w:sz="4" w:space="0" w:color="888888"/>
            </w:tcBorders>
            <w:tcMar>
              <w:top w:w="0" w:type="dxa"/>
              <w:start w:w="10" w:type="dxa"/>
              <w:bottom w:w="0" w:type="dxa"/>
              <w:end w:w="10" w:type="dxa"/>
            </w:tcMar>
          </w:tcPr>
          <w:p>
            <w:pPr>
              <w:pStyle w:val="Normal"/>
              <w:rPr>
                <w:rFonts w:eastAsia="Arial"/>
                <w:color w:val="4A4A4A"/>
                <w:sz w:val="18"/>
                <w:szCs w:val="18"/>
              </w:rPr>
            </w:pPr>
            <w:r>
              <w:rPr>
                <w:rFonts w:eastAsia="Arial"/>
                <w:color w:val="4A4A4A"/>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Arial"/>
                <w:color w:val="4A4A4A"/>
                <w:sz w:val="18"/>
                <w:szCs w:val="18"/>
              </w:rPr>
            </w:pPr>
            <w:r>
              <w:rPr>
                <w:rFonts w:eastAsia="Arial"/>
                <w:color w:val="4A4A4A"/>
                <w:sz w:val="18"/>
                <w:szCs w:val="18"/>
              </w:rPr>
              <w:t>Active Company</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One-Off</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20"/>
                <w:szCs w:val="20"/>
              </w:rPr>
              <w:t>SGD 600.00</w:t>
            </w:r>
          </w:p>
        </w:tc>
      </w:tr>
      <w:tr>
        <w:trPr>
          <w:trHeight w:val="134" w:hRule="atLeast"/>
        </w:trPr>
        <w:tc>
          <w:tcPr>
            <w:tcW w:w="642"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b/>
                <w:bCs/>
                <w:sz w:val="16"/>
                <w:szCs w:val="16"/>
                <w:lang w:eastAsia="zh-CN"/>
              </w:rPr>
            </w:pPr>
            <w:r>
              <w:rPr>
                <w:rFonts w:eastAsia="宋体" w:eastAsiaTheme="minorEastAsia"/>
                <w:b/>
                <w:bCs/>
                <w:sz w:val="16"/>
                <w:szCs w:val="16"/>
                <w:lang w:eastAsia="zh-CN"/>
              </w:rPr>
              <w:t>8</w:t>
            </w:r>
          </w:p>
        </w:tc>
        <w:tc>
          <w:tcPr>
            <w:tcW w:w="2022"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 xml:space="preserve">Corporate Account Clousure Service </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 xml:space="preserve">Assits to Close Corporate Account </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One-Off</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20"/>
                <w:szCs w:val="20"/>
              </w:rPr>
              <w:t>SGD 200.00</w:t>
            </w:r>
          </w:p>
        </w:tc>
      </w:tr>
      <w:tr>
        <w:trPr>
          <w:trHeight w:val="134" w:hRule="atLeast"/>
        </w:trPr>
        <w:tc>
          <w:tcPr>
            <w:tcW w:w="64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b/>
                <w:bCs/>
                <w:sz w:val="16"/>
                <w:szCs w:val="16"/>
                <w:lang w:eastAsia="zh-CN"/>
              </w:rPr>
            </w:pPr>
            <w:r>
              <w:rPr>
                <w:rFonts w:eastAsia="宋体" w:eastAsiaTheme="minorEastAsia"/>
                <w:b/>
                <w:bCs/>
                <w:sz w:val="16"/>
                <w:szCs w:val="16"/>
                <w:lang w:eastAsia="zh-CN"/>
              </w:rPr>
              <w:t>9</w:t>
            </w:r>
          </w:p>
        </w:tc>
        <w:tc>
          <w:tcPr>
            <w:tcW w:w="2022" w:type="dxa"/>
            <w:vMerge w:val="restart"/>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Other / Additional Services</w:t>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 xml:space="preserve">CTC documents </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Per Set</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20"/>
                <w:szCs w:val="20"/>
              </w:rPr>
              <w:t>SGD 50.00</w:t>
            </w:r>
          </w:p>
        </w:tc>
      </w:tr>
      <w:tr>
        <w:trPr>
          <w:trHeight w:val="134" w:hRule="atLeast"/>
        </w:trPr>
        <w:tc>
          <w:tcPr>
            <w:tcW w:w="642" w:type="dxa"/>
            <w:vMerge w:val="continue"/>
            <w:tcBorders>
              <w:top w:val="single" w:sz="4" w:space="0" w:color="000000"/>
              <w:start w:val="single" w:sz="4" w:space="0" w:color="888888"/>
              <w:bottom w:val="single" w:sz="4" w:space="0" w:color="000000"/>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000000"/>
              <w:start w:val="single" w:sz="4" w:space="0" w:color="888888"/>
              <w:bottom w:val="single" w:sz="4" w:space="0" w:color="000000"/>
              <w:end w:val="single" w:sz="4" w:space="0" w:color="888888"/>
            </w:tcBorders>
            <w:tcMar>
              <w:top w:w="0" w:type="dxa"/>
              <w:start w:w="10" w:type="dxa"/>
              <w:bottom w:w="0" w:type="dxa"/>
              <w:end w:w="10" w:type="dxa"/>
            </w:tcMar>
          </w:tcPr>
          <w:p>
            <w:pPr>
              <w:pStyle w:val="Normal"/>
              <w:rPr>
                <w:rFonts w:eastAsia="Arial"/>
                <w:color w:val="4A4A4A"/>
                <w:sz w:val="18"/>
                <w:szCs w:val="18"/>
              </w:rPr>
            </w:pPr>
            <w:r>
              <w:rPr>
                <w:rFonts w:eastAsia="Arial"/>
                <w:color w:val="4A4A4A"/>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Register of Director/Shareholder/Secretary etc</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Per Set</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20"/>
                <w:szCs w:val="20"/>
              </w:rPr>
              <w:t>SGD 40.00</w:t>
            </w:r>
          </w:p>
        </w:tc>
      </w:tr>
      <w:tr>
        <w:trPr>
          <w:trHeight w:val="134" w:hRule="atLeast"/>
        </w:trPr>
        <w:tc>
          <w:tcPr>
            <w:tcW w:w="642" w:type="dxa"/>
            <w:vMerge w:val="continue"/>
            <w:tcBorders>
              <w:top w:val="single" w:sz="4" w:space="0" w:color="000000"/>
              <w:start w:val="single" w:sz="4" w:space="0" w:color="888888"/>
              <w:bottom w:val="single" w:sz="4" w:space="0" w:color="000000"/>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000000"/>
              <w:start w:val="single" w:sz="4" w:space="0" w:color="888888"/>
              <w:bottom w:val="single" w:sz="4" w:space="0" w:color="000000"/>
              <w:end w:val="single" w:sz="4" w:space="0" w:color="888888"/>
            </w:tcBorders>
            <w:tcMar>
              <w:top w:w="0" w:type="dxa"/>
              <w:start w:w="10" w:type="dxa"/>
              <w:bottom w:w="0" w:type="dxa"/>
              <w:end w:w="10" w:type="dxa"/>
            </w:tcMar>
          </w:tcPr>
          <w:p>
            <w:pPr>
              <w:pStyle w:val="Normal"/>
              <w:rPr>
                <w:rFonts w:eastAsia="Arial"/>
                <w:color w:val="4A4A4A"/>
                <w:sz w:val="18"/>
                <w:szCs w:val="18"/>
              </w:rPr>
            </w:pPr>
            <w:r>
              <w:rPr>
                <w:rFonts w:eastAsia="Arial"/>
                <w:color w:val="4A4A4A"/>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 xml:space="preserve">Lodgement of Register of Controller </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Per Lodgement</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20"/>
                <w:szCs w:val="20"/>
              </w:rPr>
              <w:t>SGD 80.00</w:t>
            </w:r>
          </w:p>
        </w:tc>
      </w:tr>
      <w:tr>
        <w:trPr>
          <w:trHeight w:val="134" w:hRule="atLeast"/>
        </w:trPr>
        <w:tc>
          <w:tcPr>
            <w:tcW w:w="642" w:type="dxa"/>
            <w:vMerge w:val="continue"/>
            <w:tcBorders>
              <w:top w:val="single" w:sz="4" w:space="0" w:color="000000"/>
              <w:start w:val="single" w:sz="4" w:space="0" w:color="888888"/>
              <w:bottom w:val="single" w:sz="4" w:space="0" w:color="888888"/>
              <w:end w:val="single" w:sz="4" w:space="0" w:color="888888"/>
            </w:tcBorders>
            <w:tcMar>
              <w:top w:w="0" w:type="dxa"/>
              <w:start w:w="10" w:type="dxa"/>
              <w:bottom w:w="0" w:type="dxa"/>
              <w:end w:w="10" w:type="dxa"/>
            </w:tcMar>
          </w:tcPr>
          <w:p>
            <w:pPr>
              <w:pStyle w:val="Normal"/>
              <w:jc w:val="center"/>
              <w:rPr/>
            </w:pPr>
            <w:r>
              <w:rPr/>
            </w:r>
          </w:p>
        </w:tc>
        <w:tc>
          <w:tcPr>
            <w:tcW w:w="2022" w:type="dxa"/>
            <w:vMerge w:val="continue"/>
            <w:tcBorders>
              <w:top w:val="single" w:sz="4" w:space="0" w:color="000000"/>
              <w:start w:val="single" w:sz="4" w:space="0" w:color="888888"/>
              <w:bottom w:val="single" w:sz="4" w:space="0" w:color="888888"/>
              <w:end w:val="single" w:sz="4" w:space="0" w:color="888888"/>
            </w:tcBorders>
            <w:tcMar>
              <w:top w:w="0" w:type="dxa"/>
              <w:start w:w="10" w:type="dxa"/>
              <w:bottom w:w="0" w:type="dxa"/>
              <w:end w:w="10" w:type="dxa"/>
            </w:tcMar>
          </w:tcPr>
          <w:p>
            <w:pPr>
              <w:pStyle w:val="Normal"/>
              <w:rPr>
                <w:rFonts w:eastAsia="Arial"/>
                <w:color w:val="4A4A4A"/>
                <w:sz w:val="18"/>
                <w:szCs w:val="18"/>
              </w:rPr>
            </w:pPr>
            <w:r>
              <w:rPr>
                <w:rFonts w:eastAsia="Arial"/>
                <w:color w:val="4A4A4A"/>
                <w:sz w:val="18"/>
                <w:szCs w:val="18"/>
              </w:rPr>
            </w:r>
          </w:p>
        </w:tc>
        <w:tc>
          <w:tcPr>
            <w:tcW w:w="3796"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rPr>
                <w:rFonts w:eastAsia="宋体" w:eastAsiaTheme="minorEastAsia"/>
                <w:color w:val="4A4A4A"/>
                <w:sz w:val="18"/>
                <w:szCs w:val="18"/>
                <w:lang w:eastAsia="zh-CN"/>
              </w:rPr>
            </w:pPr>
            <w:r>
              <w:rPr>
                <w:rFonts w:eastAsia="Arial"/>
                <w:color w:val="4A4A4A"/>
                <w:sz w:val="18"/>
                <w:szCs w:val="18"/>
              </w:rPr>
              <w:t xml:space="preserve">KYC/Due diligence/CDD/Background/Compliance checking </w:t>
            </w:r>
          </w:p>
        </w:tc>
        <w:tc>
          <w:tcPr>
            <w:tcW w:w="1057" w:type="dxa"/>
            <w:tcBorders>
              <w:top w:val="single" w:sz="4" w:space="0" w:color="888888"/>
              <w:start w:val="single" w:sz="4" w:space="0" w:color="888888"/>
              <w:bottom w:val="single" w:sz="4" w:space="0" w:color="888888"/>
              <w:end w:val="single" w:sz="4" w:space="0" w:color="888888"/>
            </w:tcBorders>
            <w:shd w:color="auto" w:fill="FFFFFF"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14"/>
                <w:szCs w:val="14"/>
              </w:rPr>
              <w:t>Per Time</w:t>
            </w:r>
          </w:p>
        </w:tc>
        <w:tc>
          <w:tcPr>
            <w:tcW w:w="1834" w:type="dxa"/>
            <w:tcBorders>
              <w:top w:val="single" w:sz="4" w:space="0" w:color="888888"/>
              <w:start w:val="single" w:sz="4" w:space="0" w:color="888888"/>
              <w:bottom w:val="single" w:sz="4" w:space="0" w:color="888888"/>
              <w:end w:val="single" w:sz="4" w:space="0" w:color="888888"/>
            </w:tcBorders>
            <w:shd w:color="auto" w:fill="F5F5F5" w:val="clear"/>
            <w:tcMar>
              <w:top w:w="60" w:type="dxa"/>
              <w:start w:w="100" w:type="dxa"/>
              <w:bottom w:w="60" w:type="dxa"/>
              <w:end w:w="100" w:type="dxa"/>
            </w:tcMar>
            <w:vAlign w:val="center"/>
          </w:tcPr>
          <w:p>
            <w:pPr>
              <w:pStyle w:val="Normal"/>
              <w:jc w:val="center"/>
              <w:rPr>
                <w:rFonts w:eastAsia="宋体" w:eastAsiaTheme="minorEastAsia"/>
                <w:color w:val="4A4A4A"/>
                <w:sz w:val="18"/>
                <w:szCs w:val="18"/>
                <w:lang w:eastAsia="zh-CN"/>
              </w:rPr>
            </w:pPr>
            <w:r>
              <w:rPr>
                <w:sz w:val="20"/>
                <w:szCs w:val="20"/>
              </w:rPr>
              <w:t>SGD 100.00</w:t>
            </w:r>
          </w:p>
        </w:tc>
      </w:tr>
    </w:tbl>
    <w:p>
      <w:pPr>
        <w:pStyle w:val="Normal"/>
        <w:rPr/>
      </w:pPr>
      <w:r>
        <w:rPr/>
      </w:r>
    </w:p>
    <w:p>
      <w:pPr>
        <w:pStyle w:val="Normal"/>
        <w:spacing w:lineRule="auto" w:line="401"/>
        <w:ind w:end="390"/>
        <w:rPr>
          <w:rFonts w:eastAsia="宋体" w:cs="Calibri" w:cstheme="minorHAnsi" w:eastAsiaTheme="minorEastAsia"/>
          <w:lang w:eastAsia="zh-CN"/>
        </w:rPr>
      </w:pPr>
      <w:r>
        <w:rPr>
          <w:rFonts w:eastAsia="宋体" w:cs="Calibri" w:cstheme="minorHAnsi" w:eastAsiaTheme="minorEastAsia"/>
          <w:lang w:eastAsia="zh-CN"/>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0" w:right="1180" w:gutter="0" w:header="686" w:top="2620" w:footer="728" w:bottom="920"/>
      <w:pgNumType w:fmt="decimal"/>
      <w:formProt w:val="false"/>
      <w:textDirection w:val="lrTb"/>
      <w:docGrid w:type="default" w:linePitch="299"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iso-8859-1"/>
    <w:family w:val="roman"/>
    <w:pitch w:val="variable"/>
  </w:font>
  <w:font w:name="Calibri">
    <w:charset w:val="00" w:characterSet="iso-8859-1"/>
    <w:family w:val="swiss"/>
    <w:pitch w:val="variable"/>
  </w:font>
  <w:font w:name="Cambria">
    <w:charset w:val="00" w:characterSet="iso-8859-1"/>
    <w:family w:val="swiss"/>
    <w:pitch w:val="variable"/>
  </w:font>
  <w:font w:name="Cambria">
    <w:charset w:val="00" w:characterSet="iso-8859-1"/>
    <w:family w:val="roman"/>
    <w:pitch w:val="variable"/>
  </w:font>
  <w:font w:name="Courier New">
    <w:charset w:val="00" w:characterSet="iso-8859-1"/>
    <w:family w:val="roman"/>
    <w:pitch w:val="variable"/>
  </w:font>
  <w:font w:name="Liberation Sans">
    <w:altName w:val="Arial"/>
    <w:charset w:val="00" w:characterSet="iso-8859-1"/>
    <w:family w:val="swiss"/>
    <w:pitch w:val="variable"/>
  </w:font>
  <w:font w:name=".......">
    <w:charset w:val="00" w:characterSet="iso-8859-1"/>
    <w:family w:val="roman"/>
    <w:pitch w:val="variable"/>
  </w:font>
  <w:font w:name="Courier New">
    <w:charset w:val="00" w:characterSet="iso-8859-1"/>
    <w:family w:val="swiss"/>
    <w:pitch w:val="variable"/>
  </w:font>
  <w:font w:name="Microsoft YaHei">
    <w:charset w:val="00" w:characterSet="iso-8859-1"/>
    <w:family w:val="swiss"/>
    <w:pitch w:val="variable"/>
  </w:font>
  <w:font w:name="SimSun">
    <w:charset w:val="00" w:characterSet="iso-8859-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6350" distB="12700" distL="6350" distR="8255" simplePos="0" locked="0" layoutInCell="0" allowOverlap="1" relativeHeight="12" wp14:anchorId="4066C6CC">
              <wp:simplePos x="0" y="0"/>
              <wp:positionH relativeFrom="page">
                <wp:posOffset>882650</wp:posOffset>
              </wp:positionH>
              <wp:positionV relativeFrom="page">
                <wp:posOffset>10054590</wp:posOffset>
              </wp:positionV>
              <wp:extent cx="5795645" cy="635"/>
              <wp:effectExtent l="3810" t="3175" r="3175" b="3175"/>
              <wp:wrapNone/>
              <wp:docPr id="4" name="Line 3"/>
              <a:graphic xmlns:a="http://schemas.openxmlformats.org/drawingml/2006/main">
                <a:graphicData uri="http://schemas.microsoft.com/office/word/2010/wordprocessingShape">
                  <wps:wsp>
                    <wps:cNvSpPr/>
                    <wps:spPr>
                      <a:xfrm>
                        <a:off x="0" y="0"/>
                        <a:ext cx="5795640" cy="720"/>
                      </a:xfrm>
                      <a:prstGeom prst="line">
                        <a:avLst/>
                      </a:prstGeom>
                      <a:ln w="6480">
                        <a:solidFill>
                          <a:srgbClr val="dadada"/>
                        </a:solidFill>
                        <a:round/>
                      </a:ln>
                    </wps:spPr>
                    <wps:style>
                      <a:lnRef idx="0"/>
                      <a:fillRef idx="0"/>
                      <a:effectRef idx="0"/>
                      <a:fontRef idx="minor"/>
                    </wps:style>
                    <wps:bodyPr/>
                  </wps:wsp>
                </a:graphicData>
              </a:graphic>
            </wp:anchor>
          </w:drawing>
        </mc:Choice>
        <mc:Fallback>
          <w:pict>
            <v:line id="shape_0" from="69.5pt,791.7pt" to="525.8pt,791.7pt" ID="Line 3" stroked="t" o:allowincell="f" style="position:absolute;mso-position-horizontal-relative:page;mso-position-vertical-relative:page" wp14:anchorId="4066C6CC">
              <v:stroke color="#dadada" weight="6480" joinstyle="round" endcap="flat"/>
              <v:fill o:detectmouseclick="t" on="false"/>
              <w10:wrap type="none"/>
            </v:line>
          </w:pict>
        </mc:Fallback>
      </mc:AlternateContent>
      <mc:AlternateContent>
        <mc:Choice Requires="wps">
          <w:drawing>
            <wp:anchor behindDoc="1" distT="0" distB="0" distL="0" distR="3175" simplePos="0" locked="0" layoutInCell="0" allowOverlap="1" relativeHeight="31" wp14:anchorId="188A3C00">
              <wp:simplePos x="0" y="0"/>
              <wp:positionH relativeFrom="page">
                <wp:posOffset>904240</wp:posOffset>
              </wp:positionH>
              <wp:positionV relativeFrom="page">
                <wp:posOffset>10085070</wp:posOffset>
              </wp:positionV>
              <wp:extent cx="664210" cy="165735"/>
              <wp:effectExtent l="0" t="635" r="0" b="0"/>
              <wp:wrapNone/>
              <wp:docPr id="5" name="Text Box 2"/>
              <a:graphic xmlns:a="http://schemas.openxmlformats.org/drawingml/2006/main">
                <a:graphicData uri="http://schemas.microsoft.com/office/word/2010/wordprocessingShape">
                  <wps:wsp>
                    <wps:cNvSpPr/>
                    <wps:spPr>
                      <a:xfrm>
                        <a:off x="0" y="0"/>
                        <a:ext cx="664200" cy="165600"/>
                      </a:xfrm>
                      <a:prstGeom prst="rect">
                        <a:avLst/>
                      </a:prstGeom>
                      <a:noFill/>
                      <a:ln w="0">
                        <a:noFill/>
                      </a:ln>
                    </wps:spPr>
                    <wps:style>
                      <a:lnRef idx="0"/>
                      <a:fillRef idx="0"/>
                      <a:effectRef idx="0"/>
                      <a:fontRef idx="minor"/>
                    </wps:style>
                    <wps:txbx>
                      <w:txbxContent>
                        <w:p>
                          <w:pPr>
                            <w:pStyle w:val="BodyText"/>
                            <w:spacing w:lineRule="exact" w:line="245"/>
                            <w:ind w:start="40"/>
                            <w:rPr/>
                          </w:pPr>
                          <w:r>
                            <w:rPr/>
                            <w:fldChar w:fldCharType="begin"/>
                          </w:r>
                          <w:r>
                            <w:rPr/>
                            <w:instrText xml:space="preserve"> PAGE </w:instrText>
                          </w:r>
                          <w:r>
                            <w:rPr/>
                            <w:fldChar w:fldCharType="separate"/>
                          </w:r>
                          <w:r>
                            <w:rPr/>
                            <w:t>10</w:t>
                          </w:r>
                          <w:r>
                            <w:rPr/>
                            <w:fldChar w:fldCharType="end"/>
                          </w:r>
                          <w:r>
                            <w:rPr/>
                            <w:t xml:space="preserve"> </w:t>
                          </w:r>
                          <w:r>
                            <w:rPr/>
                            <w:t xml:space="preserve">| </w:t>
                          </w:r>
                          <w:r>
                            <w:rPr>
                              <w:color w:val="808080"/>
                            </w:rPr>
                            <w:t xml:space="preserve">P a g e </w:t>
                          </w:r>
                        </w:p>
                      </w:txbxContent>
                    </wps:txbx>
                    <wps:bodyPr lIns="0" rIns="0" tIns="0" bIns="0" anchor="t" upright="1">
                      <a:noAutofit/>
                    </wps:bodyPr>
                  </wps:wsp>
                </a:graphicData>
              </a:graphic>
            </wp:anchor>
          </w:drawing>
        </mc:Choice>
        <mc:Fallback>
          <w:pict>
            <v:rect id="shape_0" ID="Text Box 2" path="m0,0l-2147483645,0l-2147483645,-2147483646l0,-2147483646xe" stroked="f" o:allowincell="f" style="position:absolute;margin-left:71.2pt;margin-top:794.1pt;width:52.25pt;height:13pt;mso-wrap-style:square;v-text-anchor:top;mso-position-horizontal-relative:page;mso-position-vertical-relative:page" wp14:anchorId="188A3C00">
              <v:fill o:detectmouseclick="t" on="false"/>
              <v:stroke color="#3465a4" joinstyle="round" endcap="flat"/>
              <v:textbox>
                <w:txbxContent>
                  <w:p>
                    <w:pPr>
                      <w:pStyle w:val="BodyText"/>
                      <w:spacing w:lineRule="exact" w:line="245"/>
                      <w:ind w:start="40"/>
                      <w:rPr/>
                    </w:pPr>
                    <w:r>
                      <w:rPr/>
                      <w:fldChar w:fldCharType="begin"/>
                    </w:r>
                    <w:r>
                      <w:rPr/>
                      <w:instrText xml:space="preserve"> PAGE </w:instrText>
                    </w:r>
                    <w:r>
                      <w:rPr/>
                      <w:fldChar w:fldCharType="separate"/>
                    </w:r>
                    <w:r>
                      <w:rPr/>
                      <w:t>10</w:t>
                    </w:r>
                    <w:r>
                      <w:rPr/>
                      <w:fldChar w:fldCharType="end"/>
                    </w:r>
                    <w:r>
                      <w:rPr/>
                      <w:t xml:space="preserve"> </w:t>
                    </w:r>
                    <w:r>
                      <w:rPr/>
                      <w:t xml:space="preserve">| </w:t>
                    </w:r>
                    <w:r>
                      <w:rPr>
                        <w:color w:val="808080"/>
                      </w:rPr>
                      <w:t xml:space="preserve">P a g e </w:t>
                    </w:r>
                  </w:p>
                </w:txbxContent>
              </v:textbox>
              <w10:wrap type="none"/>
            </v:rect>
          </w:pict>
        </mc:Fallback>
      </mc:AlternateContent>
      <mc:AlternateContent>
        <mc:Choice Requires="wps">
          <w:drawing>
            <wp:anchor behindDoc="1" distT="0" distB="0" distL="0" distR="0" simplePos="0" locked="0" layoutInCell="0" allowOverlap="1" relativeHeight="51" wp14:anchorId="35C11BF5">
              <wp:simplePos x="0" y="0"/>
              <wp:positionH relativeFrom="page">
                <wp:posOffset>2809875</wp:posOffset>
              </wp:positionH>
              <wp:positionV relativeFrom="page">
                <wp:posOffset>10096500</wp:posOffset>
              </wp:positionV>
              <wp:extent cx="3981450" cy="323850"/>
              <wp:effectExtent l="0" t="0" r="0" b="0"/>
              <wp:wrapNone/>
              <wp:docPr id="6" name="Text Box 1"/>
              <a:graphic xmlns:a="http://schemas.openxmlformats.org/drawingml/2006/main">
                <a:graphicData uri="http://schemas.microsoft.com/office/word/2010/wordprocessingShape">
                  <wps:wsp>
                    <wps:cNvSpPr/>
                    <wps:spPr>
                      <a:xfrm>
                        <a:off x="0" y="0"/>
                        <a:ext cx="3981600" cy="324000"/>
                      </a:xfrm>
                      <a:prstGeom prst="rect">
                        <a:avLst/>
                      </a:prstGeom>
                      <a:noFill/>
                      <a:ln w="0">
                        <a:noFill/>
                      </a:ln>
                    </wps:spPr>
                    <wps:style>
                      <a:lnRef idx="0"/>
                      <a:fillRef idx="0"/>
                      <a:effectRef idx="0"/>
                      <a:fontRef idx="minor"/>
                    </wps:style>
                    <wps:txbx>
                      <w:txbxContent>
                        <w:p>
                          <w:pPr>
                            <w:pStyle w:val="FrameContents"/>
                            <w:spacing w:lineRule="exact" w:line="223"/>
                            <w:ind w:start="20"/>
                            <w:rPr>
                              <w:rFonts w:ascii="Calibri" w:hAnsi="Calibri" w:eastAsia="宋体" w:cs="Calibri" w:asciiTheme="minorHAnsi" w:cstheme="minorHAnsi" w:eastAsiaTheme="minorEastAsia" w:hAnsiTheme="minorHAnsi"/>
                              <w:sz w:val="18"/>
                              <w:szCs w:val="18"/>
                              <w:lang w:eastAsia="zh-CN"/>
                            </w:rPr>
                          </w:pPr>
                          <w:r>
                            <w:rPr>
                              <w:rFonts w:cs="Calibri" w:cstheme="minorHAnsi"/>
                              <w:sz w:val="18"/>
                              <w:szCs w:val="18"/>
                            </w:rPr>
                            <w:t xml:space="preserve">Company </w:t>
                          </w:r>
                          <w:r>
                            <w:rPr>
                              <w:rFonts w:eastAsia="宋体" w:cs="Calibri" w:cstheme="minorHAnsi" w:eastAsiaTheme="minorEastAsia"/>
                              <w:sz w:val="18"/>
                              <w:szCs w:val="18"/>
                              <w:lang w:eastAsia="zh-CN"/>
                            </w:rPr>
                            <w:t>setup</w:t>
                          </w:r>
                          <w:r>
                            <w:rPr>
                              <w:rFonts w:cs="Calibri" w:cstheme="minorHAnsi"/>
                              <w:sz w:val="18"/>
                              <w:szCs w:val="18"/>
                            </w:rPr>
                            <w:t xml:space="preserve"> | Secretary | Account /Reporting | Tax</w:t>
                          </w:r>
                          <w:r>
                            <w:rPr>
                              <w:rFonts w:eastAsia="宋体" w:cs="Calibri" w:cstheme="minorHAnsi" w:eastAsiaTheme="minorEastAsia"/>
                              <w:sz w:val="18"/>
                              <w:szCs w:val="18"/>
                              <w:lang w:eastAsia="zh-CN"/>
                            </w:rPr>
                            <w:t xml:space="preserve"> </w:t>
                          </w:r>
                          <w:r>
                            <w:rPr>
                              <w:rFonts w:cs="Calibri" w:cstheme="minorHAnsi"/>
                              <w:sz w:val="18"/>
                              <w:szCs w:val="18"/>
                            </w:rPr>
                            <w:t>| Audit | Advisory | Licensing</w:t>
                          </w:r>
                        </w:p>
                      </w:txbxContent>
                    </wps:txbx>
                    <wps:bodyPr lIns="0" rIns="0" tIns="0" bIns="0" anchor="t" upright="1">
                      <a:noAutofit/>
                    </wps:bodyPr>
                  </wps:wsp>
                </a:graphicData>
              </a:graphic>
            </wp:anchor>
          </w:drawing>
        </mc:Choice>
        <mc:Fallback>
          <w:pict>
            <v:rect id="shape_0" ID="Text Box 1" path="m0,0l-2147483645,0l-2147483645,-2147483646l0,-2147483646xe" stroked="f" o:allowincell="f" style="position:absolute;margin-left:221.25pt;margin-top:795pt;width:313.45pt;height:25.45pt;mso-wrap-style:square;v-text-anchor:top;mso-position-horizontal-relative:page;mso-position-vertical-relative:page" wp14:anchorId="35C11BF5">
              <v:fill o:detectmouseclick="t" on="false"/>
              <v:stroke color="#3465a4" joinstyle="round" endcap="flat"/>
              <v:textbox>
                <w:txbxContent>
                  <w:p>
                    <w:pPr>
                      <w:pStyle w:val="FrameContents"/>
                      <w:spacing w:lineRule="exact" w:line="223"/>
                      <w:ind w:start="20"/>
                      <w:rPr>
                        <w:rFonts w:ascii="Calibri" w:hAnsi="Calibri" w:eastAsia="宋体" w:cs="Calibri" w:asciiTheme="minorHAnsi" w:cstheme="minorHAnsi" w:eastAsiaTheme="minorEastAsia" w:hAnsiTheme="minorHAnsi"/>
                        <w:sz w:val="18"/>
                        <w:szCs w:val="18"/>
                        <w:lang w:eastAsia="zh-CN"/>
                      </w:rPr>
                    </w:pPr>
                    <w:r>
                      <w:rPr>
                        <w:rFonts w:cs="Calibri" w:cstheme="minorHAnsi"/>
                        <w:sz w:val="18"/>
                        <w:szCs w:val="18"/>
                      </w:rPr>
                      <w:t xml:space="preserve">Company </w:t>
                    </w:r>
                    <w:r>
                      <w:rPr>
                        <w:rFonts w:eastAsia="宋体" w:cs="Calibri" w:cstheme="minorHAnsi" w:eastAsiaTheme="minorEastAsia"/>
                        <w:sz w:val="18"/>
                        <w:szCs w:val="18"/>
                        <w:lang w:eastAsia="zh-CN"/>
                      </w:rPr>
                      <w:t>setup</w:t>
                    </w:r>
                    <w:r>
                      <w:rPr>
                        <w:rFonts w:cs="Calibri" w:cstheme="minorHAnsi"/>
                        <w:sz w:val="18"/>
                        <w:szCs w:val="18"/>
                      </w:rPr>
                      <w:t xml:space="preserve"> | Secretary | Account /Reporting | Tax</w:t>
                    </w:r>
                    <w:r>
                      <w:rPr>
                        <w:rFonts w:eastAsia="宋体" w:cs="Calibri" w:cstheme="minorHAnsi" w:eastAsiaTheme="minorEastAsia"/>
                        <w:sz w:val="18"/>
                        <w:szCs w:val="18"/>
                        <w:lang w:eastAsia="zh-CN"/>
                      </w:rPr>
                      <w:t xml:space="preserve"> </w:t>
                    </w:r>
                    <w:r>
                      <w:rPr>
                        <w:rFonts w:cs="Calibri" w:cstheme="minorHAnsi"/>
                        <w:sz w:val="18"/>
                        <w:szCs w:val="18"/>
                      </w:rPr>
                      <w:t>| Audit | Advisory | Licensing</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6350" distB="12700" distL="6350" distR="8255" simplePos="0" locked="0" layoutInCell="0" allowOverlap="1" relativeHeight="12" wp14:anchorId="4066C6CC">
              <wp:simplePos x="0" y="0"/>
              <wp:positionH relativeFrom="page">
                <wp:posOffset>882650</wp:posOffset>
              </wp:positionH>
              <wp:positionV relativeFrom="page">
                <wp:posOffset>10054590</wp:posOffset>
              </wp:positionV>
              <wp:extent cx="5795645" cy="635"/>
              <wp:effectExtent l="3810" t="3175" r="3175" b="3175"/>
              <wp:wrapNone/>
              <wp:docPr id="7" name="Line 3"/>
              <a:graphic xmlns:a="http://schemas.openxmlformats.org/drawingml/2006/main">
                <a:graphicData uri="http://schemas.microsoft.com/office/word/2010/wordprocessingShape">
                  <wps:wsp>
                    <wps:cNvSpPr/>
                    <wps:spPr>
                      <a:xfrm>
                        <a:off x="0" y="0"/>
                        <a:ext cx="5795640" cy="720"/>
                      </a:xfrm>
                      <a:prstGeom prst="line">
                        <a:avLst/>
                      </a:prstGeom>
                      <a:ln w="6480">
                        <a:solidFill>
                          <a:srgbClr val="dadada"/>
                        </a:solidFill>
                        <a:round/>
                      </a:ln>
                    </wps:spPr>
                    <wps:style>
                      <a:lnRef idx="0"/>
                      <a:fillRef idx="0"/>
                      <a:effectRef idx="0"/>
                      <a:fontRef idx="minor"/>
                    </wps:style>
                    <wps:bodyPr/>
                  </wps:wsp>
                </a:graphicData>
              </a:graphic>
            </wp:anchor>
          </w:drawing>
        </mc:Choice>
        <mc:Fallback>
          <w:pict>
            <v:line id="shape_0" from="69.5pt,791.7pt" to="525.8pt,791.7pt" ID="Line 3" stroked="t" o:allowincell="f" style="position:absolute;mso-position-horizontal-relative:page;mso-position-vertical-relative:page" wp14:anchorId="4066C6CC">
              <v:stroke color="#dadada" weight="6480" joinstyle="round" endcap="flat"/>
              <v:fill o:detectmouseclick="t" on="false"/>
              <w10:wrap type="none"/>
            </v:line>
          </w:pict>
        </mc:Fallback>
      </mc:AlternateContent>
      <mc:AlternateContent>
        <mc:Choice Requires="wps">
          <w:drawing>
            <wp:anchor behindDoc="1" distT="0" distB="0" distL="0" distR="3175" simplePos="0" locked="0" layoutInCell="0" allowOverlap="1" relativeHeight="31" wp14:anchorId="188A3C00">
              <wp:simplePos x="0" y="0"/>
              <wp:positionH relativeFrom="page">
                <wp:posOffset>904240</wp:posOffset>
              </wp:positionH>
              <wp:positionV relativeFrom="page">
                <wp:posOffset>10085070</wp:posOffset>
              </wp:positionV>
              <wp:extent cx="664210" cy="165735"/>
              <wp:effectExtent l="0" t="635" r="0" b="0"/>
              <wp:wrapNone/>
              <wp:docPr id="8" name="Text Box 2"/>
              <a:graphic xmlns:a="http://schemas.openxmlformats.org/drawingml/2006/main">
                <a:graphicData uri="http://schemas.microsoft.com/office/word/2010/wordprocessingShape">
                  <wps:wsp>
                    <wps:cNvSpPr/>
                    <wps:spPr>
                      <a:xfrm>
                        <a:off x="0" y="0"/>
                        <a:ext cx="664200" cy="165600"/>
                      </a:xfrm>
                      <a:prstGeom prst="rect">
                        <a:avLst/>
                      </a:prstGeom>
                      <a:noFill/>
                      <a:ln w="0">
                        <a:noFill/>
                      </a:ln>
                    </wps:spPr>
                    <wps:style>
                      <a:lnRef idx="0"/>
                      <a:fillRef idx="0"/>
                      <a:effectRef idx="0"/>
                      <a:fontRef idx="minor"/>
                    </wps:style>
                    <wps:txbx>
                      <w:txbxContent>
                        <w:p>
                          <w:pPr>
                            <w:pStyle w:val="BodyText"/>
                            <w:spacing w:lineRule="exact" w:line="245"/>
                            <w:ind w:start="40"/>
                            <w:rPr/>
                          </w:pPr>
                          <w:r>
                            <w:rPr/>
                            <w:fldChar w:fldCharType="begin"/>
                          </w:r>
                          <w:r>
                            <w:rPr/>
                            <w:instrText xml:space="preserve"> PAGE </w:instrText>
                          </w:r>
                          <w:r>
                            <w:rPr/>
                            <w:fldChar w:fldCharType="separate"/>
                          </w:r>
                          <w:r>
                            <w:rPr/>
                            <w:t>10</w:t>
                          </w:r>
                          <w:r>
                            <w:rPr/>
                            <w:fldChar w:fldCharType="end"/>
                          </w:r>
                          <w:r>
                            <w:rPr/>
                            <w:t xml:space="preserve"> </w:t>
                          </w:r>
                          <w:r>
                            <w:rPr/>
                            <w:t xml:space="preserve">| </w:t>
                          </w:r>
                          <w:r>
                            <w:rPr>
                              <w:color w:val="808080"/>
                            </w:rPr>
                            <w:t xml:space="preserve">P a g e </w:t>
                          </w:r>
                        </w:p>
                      </w:txbxContent>
                    </wps:txbx>
                    <wps:bodyPr lIns="0" rIns="0" tIns="0" bIns="0" anchor="t" upright="1">
                      <a:noAutofit/>
                    </wps:bodyPr>
                  </wps:wsp>
                </a:graphicData>
              </a:graphic>
            </wp:anchor>
          </w:drawing>
        </mc:Choice>
        <mc:Fallback>
          <w:pict>
            <v:rect id="shape_0" ID="Text Box 2" path="m0,0l-2147483645,0l-2147483645,-2147483646l0,-2147483646xe" stroked="f" o:allowincell="f" style="position:absolute;margin-left:71.2pt;margin-top:794.1pt;width:52.25pt;height:13pt;mso-wrap-style:square;v-text-anchor:top;mso-position-horizontal-relative:page;mso-position-vertical-relative:page" wp14:anchorId="188A3C00">
              <v:fill o:detectmouseclick="t" on="false"/>
              <v:stroke color="#3465a4" joinstyle="round" endcap="flat"/>
              <v:textbox>
                <w:txbxContent>
                  <w:p>
                    <w:pPr>
                      <w:pStyle w:val="BodyText"/>
                      <w:spacing w:lineRule="exact" w:line="245"/>
                      <w:ind w:start="40"/>
                      <w:rPr/>
                    </w:pPr>
                    <w:r>
                      <w:rPr/>
                      <w:fldChar w:fldCharType="begin"/>
                    </w:r>
                    <w:r>
                      <w:rPr/>
                      <w:instrText xml:space="preserve"> PAGE </w:instrText>
                    </w:r>
                    <w:r>
                      <w:rPr/>
                      <w:fldChar w:fldCharType="separate"/>
                    </w:r>
                    <w:r>
                      <w:rPr/>
                      <w:t>10</w:t>
                    </w:r>
                    <w:r>
                      <w:rPr/>
                      <w:fldChar w:fldCharType="end"/>
                    </w:r>
                    <w:r>
                      <w:rPr/>
                      <w:t xml:space="preserve"> </w:t>
                    </w:r>
                    <w:r>
                      <w:rPr/>
                      <w:t xml:space="preserve">| </w:t>
                    </w:r>
                    <w:r>
                      <w:rPr>
                        <w:color w:val="808080"/>
                      </w:rPr>
                      <w:t xml:space="preserve">P a g e </w:t>
                    </w:r>
                  </w:p>
                </w:txbxContent>
              </v:textbox>
              <w10:wrap type="none"/>
            </v:rect>
          </w:pict>
        </mc:Fallback>
      </mc:AlternateContent>
      <mc:AlternateContent>
        <mc:Choice Requires="wps">
          <w:drawing>
            <wp:anchor behindDoc="1" distT="0" distB="0" distL="0" distR="0" simplePos="0" locked="0" layoutInCell="0" allowOverlap="1" relativeHeight="51" wp14:anchorId="35C11BF5">
              <wp:simplePos x="0" y="0"/>
              <wp:positionH relativeFrom="page">
                <wp:posOffset>2809875</wp:posOffset>
              </wp:positionH>
              <wp:positionV relativeFrom="page">
                <wp:posOffset>10096500</wp:posOffset>
              </wp:positionV>
              <wp:extent cx="3981450" cy="323850"/>
              <wp:effectExtent l="0" t="0" r="0" b="0"/>
              <wp:wrapNone/>
              <wp:docPr id="9" name="Text Box 1"/>
              <a:graphic xmlns:a="http://schemas.openxmlformats.org/drawingml/2006/main">
                <a:graphicData uri="http://schemas.microsoft.com/office/word/2010/wordprocessingShape">
                  <wps:wsp>
                    <wps:cNvSpPr/>
                    <wps:spPr>
                      <a:xfrm>
                        <a:off x="0" y="0"/>
                        <a:ext cx="3981600" cy="324000"/>
                      </a:xfrm>
                      <a:prstGeom prst="rect">
                        <a:avLst/>
                      </a:prstGeom>
                      <a:noFill/>
                      <a:ln w="0">
                        <a:noFill/>
                      </a:ln>
                    </wps:spPr>
                    <wps:style>
                      <a:lnRef idx="0"/>
                      <a:fillRef idx="0"/>
                      <a:effectRef idx="0"/>
                      <a:fontRef idx="minor"/>
                    </wps:style>
                    <wps:txbx>
                      <w:txbxContent>
                        <w:p>
                          <w:pPr>
                            <w:pStyle w:val="FrameContents"/>
                            <w:spacing w:lineRule="exact" w:line="223"/>
                            <w:ind w:start="20"/>
                            <w:rPr>
                              <w:rFonts w:ascii="Calibri" w:hAnsi="Calibri" w:eastAsia="宋体" w:cs="Calibri" w:asciiTheme="minorHAnsi" w:cstheme="minorHAnsi" w:eastAsiaTheme="minorEastAsia" w:hAnsiTheme="minorHAnsi"/>
                              <w:sz w:val="18"/>
                              <w:szCs w:val="18"/>
                              <w:lang w:eastAsia="zh-CN"/>
                            </w:rPr>
                          </w:pPr>
                          <w:r>
                            <w:rPr>
                              <w:rFonts w:cs="Calibri" w:cstheme="minorHAnsi"/>
                              <w:sz w:val="18"/>
                              <w:szCs w:val="18"/>
                            </w:rPr>
                            <w:t xml:space="preserve">Company </w:t>
                          </w:r>
                          <w:r>
                            <w:rPr>
                              <w:rFonts w:eastAsia="宋体" w:cs="Calibri" w:cstheme="minorHAnsi" w:eastAsiaTheme="minorEastAsia"/>
                              <w:sz w:val="18"/>
                              <w:szCs w:val="18"/>
                              <w:lang w:eastAsia="zh-CN"/>
                            </w:rPr>
                            <w:t>setup</w:t>
                          </w:r>
                          <w:r>
                            <w:rPr>
                              <w:rFonts w:cs="Calibri" w:cstheme="minorHAnsi"/>
                              <w:sz w:val="18"/>
                              <w:szCs w:val="18"/>
                            </w:rPr>
                            <w:t xml:space="preserve"> | Secretary | Account /Reporting | Tax</w:t>
                          </w:r>
                          <w:r>
                            <w:rPr>
                              <w:rFonts w:eastAsia="宋体" w:cs="Calibri" w:cstheme="minorHAnsi" w:eastAsiaTheme="minorEastAsia"/>
                              <w:sz w:val="18"/>
                              <w:szCs w:val="18"/>
                              <w:lang w:eastAsia="zh-CN"/>
                            </w:rPr>
                            <w:t xml:space="preserve"> </w:t>
                          </w:r>
                          <w:r>
                            <w:rPr>
                              <w:rFonts w:cs="Calibri" w:cstheme="minorHAnsi"/>
                              <w:sz w:val="18"/>
                              <w:szCs w:val="18"/>
                            </w:rPr>
                            <w:t>| Audit | Advisory | Licensing</w:t>
                          </w:r>
                        </w:p>
                      </w:txbxContent>
                    </wps:txbx>
                    <wps:bodyPr lIns="0" rIns="0" tIns="0" bIns="0" anchor="t" upright="1">
                      <a:noAutofit/>
                    </wps:bodyPr>
                  </wps:wsp>
                </a:graphicData>
              </a:graphic>
            </wp:anchor>
          </w:drawing>
        </mc:Choice>
        <mc:Fallback>
          <w:pict>
            <v:rect id="shape_0" ID="Text Box 1" path="m0,0l-2147483645,0l-2147483645,-2147483646l0,-2147483646xe" stroked="f" o:allowincell="f" style="position:absolute;margin-left:221.25pt;margin-top:795pt;width:313.45pt;height:25.45pt;mso-wrap-style:square;v-text-anchor:top;mso-position-horizontal-relative:page;mso-position-vertical-relative:page" wp14:anchorId="35C11BF5">
              <v:fill o:detectmouseclick="t" on="false"/>
              <v:stroke color="#3465a4" joinstyle="round" endcap="flat"/>
              <v:textbox>
                <w:txbxContent>
                  <w:p>
                    <w:pPr>
                      <w:pStyle w:val="FrameContents"/>
                      <w:spacing w:lineRule="exact" w:line="223"/>
                      <w:ind w:start="20"/>
                      <w:rPr>
                        <w:rFonts w:ascii="Calibri" w:hAnsi="Calibri" w:eastAsia="宋体" w:cs="Calibri" w:asciiTheme="minorHAnsi" w:cstheme="minorHAnsi" w:eastAsiaTheme="minorEastAsia" w:hAnsiTheme="minorHAnsi"/>
                        <w:sz w:val="18"/>
                        <w:szCs w:val="18"/>
                        <w:lang w:eastAsia="zh-CN"/>
                      </w:rPr>
                    </w:pPr>
                    <w:r>
                      <w:rPr>
                        <w:rFonts w:cs="Calibri" w:cstheme="minorHAnsi"/>
                        <w:sz w:val="18"/>
                        <w:szCs w:val="18"/>
                      </w:rPr>
                      <w:t xml:space="preserve">Company </w:t>
                    </w:r>
                    <w:r>
                      <w:rPr>
                        <w:rFonts w:eastAsia="宋体" w:cs="Calibri" w:cstheme="minorHAnsi" w:eastAsiaTheme="minorEastAsia"/>
                        <w:sz w:val="18"/>
                        <w:szCs w:val="18"/>
                        <w:lang w:eastAsia="zh-CN"/>
                      </w:rPr>
                      <w:t>setup</w:t>
                    </w:r>
                    <w:r>
                      <w:rPr>
                        <w:rFonts w:cs="Calibri" w:cstheme="minorHAnsi"/>
                        <w:sz w:val="18"/>
                        <w:szCs w:val="18"/>
                      </w:rPr>
                      <w:t xml:space="preserve"> | Secretary | Account /Reporting | Tax</w:t>
                    </w:r>
                    <w:r>
                      <w:rPr>
                        <w:rFonts w:eastAsia="宋体" w:cs="Calibri" w:cstheme="minorHAnsi" w:eastAsiaTheme="minorEastAsia"/>
                        <w:sz w:val="18"/>
                        <w:szCs w:val="18"/>
                        <w:lang w:eastAsia="zh-CN"/>
                      </w:rPr>
                      <w:t xml:space="preserve"> </w:t>
                    </w:r>
                    <w:r>
                      <w:rPr>
                        <w:rFonts w:cs="Calibri" w:cstheme="minorHAnsi"/>
                        <w:sz w:val="18"/>
                        <w:szCs w:val="18"/>
                      </w:rPr>
                      <w:t>| Audit | Advisory | Licensing</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0" w:leader="none"/>
      </w:tabs>
      <w:spacing w:lineRule="auto" w:line="312"/>
      <w:jc w:val="end"/>
      <w:rPr>
        <w:rFonts w:ascii="Arial" w:hAnsi="Arial" w:cs="Arial"/>
        <w:b/>
        <w:bCs/>
        <w:color w:val="4E2678"/>
        <w:sz w:val="28"/>
        <w:szCs w:val="28"/>
      </w:rPr>
    </w:pPr>
    <w:r>
      <w:drawing>
        <wp:anchor behindDoc="1" distT="0" distB="0" distL="0" distR="0" simplePos="0" locked="0" layoutInCell="1" allowOverlap="1" relativeHeight="62">
          <wp:simplePos x="0" y="0"/>
          <wp:positionH relativeFrom="column">
            <wp:posOffset>6985</wp:posOffset>
          </wp:positionH>
          <wp:positionV relativeFrom="paragraph">
            <wp:posOffset>19050</wp:posOffset>
          </wp:positionV>
          <wp:extent cx="1475740" cy="494665"/>
          <wp:effectExtent l="0" t="0" r="0" b="0"/>
          <wp:wrapNone/>
          <wp:docPr id="2" name="图片 1" descr="图片包含 文本  描述已自动生成"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图片包含 文本  描述已自动生成" title=""/>
                  <pic:cNvPicPr>
                    <a:picLocks noChangeAspect="1" noChangeArrowheads="1"/>
                  </pic:cNvPicPr>
                </pic:nvPicPr>
                <pic:blipFill>
                  <a:blip r:embed="rId1"/>
                  <a:srcRect l="0" t="0" r="-49" b="0"/>
                  <a:stretch>
                    <a:fillRect/>
                  </a:stretch>
                </pic:blipFill>
                <pic:spPr bwMode="auto">
                  <a:xfrm>
                    <a:off x="0" y="0"/>
                    <a:ext cx="1475740" cy="494665"/>
                  </a:xfrm>
                  <a:prstGeom prst="rect">
                    <a:avLst/>
                  </a:prstGeom>
                  <a:noFill/>
                </pic:spPr>
              </pic:pic>
            </a:graphicData>
          </a:graphic>
        </wp:anchor>
      </w:drawing>
    </w:r>
    <w:r>
      <w:rPr>
        <w:rFonts w:cs="Arial" w:ascii="Arial" w:hAnsi="Arial"/>
        <w:b/>
        <w:bCs/>
        <w:color w:val="4E2678"/>
        <w:sz w:val="28"/>
        <w:szCs w:val="28"/>
      </w:rPr>
      <w:t xml:space="preserve">TASSURE </w:t>
    </w:r>
    <w:r>
      <w:rPr>
        <w:rFonts w:eastAsia="宋体" w:cs="Arial" w:ascii="Arial" w:hAnsi="Arial" w:eastAsiaTheme="minorEastAsia"/>
        <w:b/>
        <w:bCs/>
        <w:color w:val="4E2678"/>
        <w:sz w:val="28"/>
        <w:szCs w:val="28"/>
        <w:lang w:eastAsia="zh-CN"/>
      </w:rPr>
      <w:t>GROUP</w:t>
    </w:r>
  </w:p>
  <w:p>
    <w:pPr>
      <w:pStyle w:val="Normal"/>
      <w:spacing w:lineRule="auto" w:line="312"/>
      <w:jc w:val="end"/>
      <w:rPr>
        <w:rFonts w:ascii="Calibri" w:hAnsi="Calibri" w:eastAsia="宋体" w:cs="Calibri" w:asciiTheme="minorHAnsi" w:cstheme="minorHAnsi" w:eastAsiaTheme="minorEastAsia" w:hAnsiTheme="minorHAnsi"/>
        <w:color w:val="404040"/>
        <w:sz w:val="18"/>
        <w:szCs w:val="18"/>
        <w:lang w:eastAsia="zh-CN"/>
      </w:rPr>
    </w:pPr>
    <w:r>
      <w:rPr>
        <w:rFonts w:cs="Calibri" w:cstheme="minorHAnsi"/>
        <w:color w:val="404040"/>
        <w:sz w:val="18"/>
        <w:szCs w:val="18"/>
      </w:rPr>
      <w:t>10 Anson Road, #12-08,</w:t>
    </w:r>
    <w:r>
      <w:rPr>
        <w:rFonts w:eastAsia="宋体" w:cs="Calibri" w:cstheme="minorHAnsi" w:eastAsiaTheme="minorEastAsia"/>
        <w:color w:val="404040"/>
        <w:sz w:val="18"/>
        <w:szCs w:val="18"/>
        <w:lang w:eastAsia="zh-CN"/>
      </w:rPr>
      <w:t xml:space="preserve"> </w:t>
    </w:r>
  </w:p>
  <w:p>
    <w:pPr>
      <w:pStyle w:val="Normal"/>
      <w:spacing w:lineRule="auto" w:line="312"/>
      <w:jc w:val="end"/>
      <w:rPr>
        <w:rFonts w:ascii="Calibri" w:hAnsi="Calibri" w:eastAsia="宋体" w:cs="Calibri" w:asciiTheme="minorHAnsi" w:cstheme="minorHAnsi" w:eastAsiaTheme="minorEastAsia" w:hAnsiTheme="minorHAnsi"/>
        <w:color w:val="404040"/>
        <w:sz w:val="18"/>
        <w:szCs w:val="18"/>
        <w:lang w:eastAsia="zh-CN"/>
      </w:rPr>
    </w:pPr>
    <w:r>
      <w:rPr>
        <w:rFonts w:cs="Calibri" w:cstheme="minorHAnsi"/>
        <w:color w:val="404040"/>
        <w:sz w:val="18"/>
        <w:szCs w:val="18"/>
      </w:rPr>
      <w:t>International Plaza,</w:t>
    </w:r>
    <w:r>
      <w:rPr>
        <w:rFonts w:eastAsia="宋体" w:cs="Calibri" w:cstheme="minorHAnsi" w:eastAsiaTheme="minorEastAsia"/>
        <w:color w:val="404040"/>
        <w:sz w:val="18"/>
        <w:szCs w:val="18"/>
        <w:lang w:eastAsia="zh-CN"/>
      </w:rPr>
      <w:t xml:space="preserve"> </w:t>
    </w:r>
    <w:r>
      <w:rPr>
        <w:rFonts w:cs="Calibri" w:cstheme="minorHAnsi"/>
        <w:color w:val="404040"/>
        <w:sz w:val="18"/>
        <w:szCs w:val="18"/>
      </w:rPr>
      <w:t>S079903</w:t>
    </w:r>
  </w:p>
  <w:p>
    <w:pPr>
      <w:pStyle w:val="Normal"/>
      <w:spacing w:lineRule="auto" w:line="312"/>
      <w:jc w:val="end"/>
      <w:rPr>
        <w:rFonts w:ascii="Calibri" w:hAnsi="Calibri" w:cs="Calibri" w:asciiTheme="minorHAnsi" w:cstheme="minorHAnsi" w:hAnsiTheme="minorHAnsi"/>
        <w:color w:val="404040"/>
        <w:sz w:val="18"/>
        <w:szCs w:val="18"/>
      </w:rPr>
    </w:pPr>
    <w:r>
      <w:rPr>
        <w:rFonts w:cs="Calibri" w:cstheme="minorHAnsi"/>
        <w:color w:val="404040"/>
        <w:sz w:val="18"/>
        <w:szCs w:val="18"/>
      </w:rPr>
      <w:t>Email: contact@tassure.com</w:t>
    </w:r>
  </w:p>
  <w:p>
    <w:pPr>
      <w:pStyle w:val="Normal"/>
      <w:tabs>
        <w:tab w:val="clear" w:pos="720"/>
        <w:tab w:val="left" w:pos="0" w:leader="none"/>
      </w:tabs>
      <w:spacing w:lineRule="auto" w:line="312"/>
      <w:ind w:start="5760"/>
      <w:jc w:val="end"/>
      <w:rPr>
        <w:rFonts w:ascii="Calibri" w:hAnsi="Calibri" w:cs="Calibri" w:asciiTheme="minorHAnsi" w:cstheme="minorHAnsi" w:hAnsiTheme="minorHAnsi"/>
        <w:sz w:val="18"/>
        <w:szCs w:val="18"/>
      </w:rPr>
    </w:pPr>
    <w:r>
      <w:rPr>
        <w:rFonts w:cs="Calibri" w:cstheme="minorHAnsi"/>
        <w:color w:val="404040"/>
        <w:sz w:val="18"/>
        <w:szCs w:val="18"/>
      </w:rPr>
      <w:t>www.tassure.com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0" w:leader="none"/>
      </w:tabs>
      <w:spacing w:lineRule="auto" w:line="312"/>
      <w:jc w:val="end"/>
      <w:rPr>
        <w:rFonts w:ascii="Arial" w:hAnsi="Arial" w:cs="Arial"/>
        <w:b/>
        <w:bCs/>
        <w:color w:val="4E2678"/>
        <w:sz w:val="28"/>
        <w:szCs w:val="28"/>
      </w:rPr>
    </w:pPr>
    <w:r>
      <w:drawing>
        <wp:anchor behindDoc="1" distT="0" distB="0" distL="0" distR="0" simplePos="0" locked="0" layoutInCell="1" allowOverlap="1" relativeHeight="62">
          <wp:simplePos x="0" y="0"/>
          <wp:positionH relativeFrom="column">
            <wp:posOffset>6985</wp:posOffset>
          </wp:positionH>
          <wp:positionV relativeFrom="paragraph">
            <wp:posOffset>19050</wp:posOffset>
          </wp:positionV>
          <wp:extent cx="1475740" cy="494665"/>
          <wp:effectExtent l="0" t="0" r="0" b="0"/>
          <wp:wrapNone/>
          <wp:docPr id="3" name="图片 1" descr="图片包含 文本  描述已自动生成"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图片包含 文本  描述已自动生成" title=""/>
                  <pic:cNvPicPr>
                    <a:picLocks noChangeAspect="1" noChangeArrowheads="1"/>
                  </pic:cNvPicPr>
                </pic:nvPicPr>
                <pic:blipFill>
                  <a:blip r:embed="rId1"/>
                  <a:srcRect l="0" t="0" r="-49" b="0"/>
                  <a:stretch>
                    <a:fillRect/>
                  </a:stretch>
                </pic:blipFill>
                <pic:spPr bwMode="auto">
                  <a:xfrm>
                    <a:off x="0" y="0"/>
                    <a:ext cx="1475740" cy="494665"/>
                  </a:xfrm>
                  <a:prstGeom prst="rect">
                    <a:avLst/>
                  </a:prstGeom>
                  <a:noFill/>
                </pic:spPr>
              </pic:pic>
            </a:graphicData>
          </a:graphic>
        </wp:anchor>
      </w:drawing>
    </w:r>
    <w:r>
      <w:rPr>
        <w:rFonts w:cs="Arial" w:ascii="Arial" w:hAnsi="Arial"/>
        <w:b/>
        <w:bCs/>
        <w:color w:val="4E2678"/>
        <w:sz w:val="28"/>
        <w:szCs w:val="28"/>
      </w:rPr>
      <w:t xml:space="preserve">TASSURE </w:t>
    </w:r>
    <w:r>
      <w:rPr>
        <w:rFonts w:eastAsia="宋体" w:cs="Arial" w:ascii="Arial" w:hAnsi="Arial" w:eastAsiaTheme="minorEastAsia"/>
        <w:b/>
        <w:bCs/>
        <w:color w:val="4E2678"/>
        <w:sz w:val="28"/>
        <w:szCs w:val="28"/>
        <w:lang w:eastAsia="zh-CN"/>
      </w:rPr>
      <w:t>GROUP</w:t>
    </w:r>
  </w:p>
  <w:p>
    <w:pPr>
      <w:pStyle w:val="Normal"/>
      <w:spacing w:lineRule="auto" w:line="312"/>
      <w:jc w:val="end"/>
      <w:rPr>
        <w:rFonts w:ascii="Calibri" w:hAnsi="Calibri" w:eastAsia="宋体" w:cs="Calibri" w:asciiTheme="minorHAnsi" w:cstheme="minorHAnsi" w:eastAsiaTheme="minorEastAsia" w:hAnsiTheme="minorHAnsi"/>
        <w:color w:val="404040"/>
        <w:sz w:val="18"/>
        <w:szCs w:val="18"/>
        <w:lang w:eastAsia="zh-CN"/>
      </w:rPr>
    </w:pPr>
    <w:r>
      <w:rPr>
        <w:rFonts w:cs="Calibri" w:cstheme="minorHAnsi"/>
        <w:color w:val="404040"/>
        <w:sz w:val="18"/>
        <w:szCs w:val="18"/>
      </w:rPr>
      <w:t>10 Anson Road, #12-08,</w:t>
    </w:r>
    <w:r>
      <w:rPr>
        <w:rFonts w:eastAsia="宋体" w:cs="Calibri" w:cstheme="minorHAnsi" w:eastAsiaTheme="minorEastAsia"/>
        <w:color w:val="404040"/>
        <w:sz w:val="18"/>
        <w:szCs w:val="18"/>
        <w:lang w:eastAsia="zh-CN"/>
      </w:rPr>
      <w:t xml:space="preserve"> </w:t>
    </w:r>
  </w:p>
  <w:p>
    <w:pPr>
      <w:pStyle w:val="Normal"/>
      <w:spacing w:lineRule="auto" w:line="312"/>
      <w:jc w:val="end"/>
      <w:rPr>
        <w:rFonts w:ascii="Calibri" w:hAnsi="Calibri" w:eastAsia="宋体" w:cs="Calibri" w:asciiTheme="minorHAnsi" w:cstheme="minorHAnsi" w:eastAsiaTheme="minorEastAsia" w:hAnsiTheme="minorHAnsi"/>
        <w:color w:val="404040"/>
        <w:sz w:val="18"/>
        <w:szCs w:val="18"/>
        <w:lang w:eastAsia="zh-CN"/>
      </w:rPr>
    </w:pPr>
    <w:r>
      <w:rPr>
        <w:rFonts w:cs="Calibri" w:cstheme="minorHAnsi"/>
        <w:color w:val="404040"/>
        <w:sz w:val="18"/>
        <w:szCs w:val="18"/>
      </w:rPr>
      <w:t>International Plaza,</w:t>
    </w:r>
    <w:r>
      <w:rPr>
        <w:rFonts w:eastAsia="宋体" w:cs="Calibri" w:cstheme="minorHAnsi" w:eastAsiaTheme="minorEastAsia"/>
        <w:color w:val="404040"/>
        <w:sz w:val="18"/>
        <w:szCs w:val="18"/>
        <w:lang w:eastAsia="zh-CN"/>
      </w:rPr>
      <w:t xml:space="preserve"> </w:t>
    </w:r>
    <w:r>
      <w:rPr>
        <w:rFonts w:cs="Calibri" w:cstheme="minorHAnsi"/>
        <w:color w:val="404040"/>
        <w:sz w:val="18"/>
        <w:szCs w:val="18"/>
      </w:rPr>
      <w:t>S079903</w:t>
    </w:r>
  </w:p>
  <w:p>
    <w:pPr>
      <w:pStyle w:val="Normal"/>
      <w:spacing w:lineRule="auto" w:line="312"/>
      <w:jc w:val="end"/>
      <w:rPr>
        <w:rFonts w:ascii="Calibri" w:hAnsi="Calibri" w:cs="Calibri" w:asciiTheme="minorHAnsi" w:cstheme="minorHAnsi" w:hAnsiTheme="minorHAnsi"/>
        <w:color w:val="404040"/>
        <w:sz w:val="18"/>
        <w:szCs w:val="18"/>
      </w:rPr>
    </w:pPr>
    <w:r>
      <w:rPr>
        <w:rFonts w:cs="Calibri" w:cstheme="minorHAnsi"/>
        <w:color w:val="404040"/>
        <w:sz w:val="18"/>
        <w:szCs w:val="18"/>
      </w:rPr>
      <w:t>Email: contact@tassure.com</w:t>
    </w:r>
  </w:p>
  <w:p>
    <w:pPr>
      <w:pStyle w:val="Normal"/>
      <w:tabs>
        <w:tab w:val="clear" w:pos="720"/>
        <w:tab w:val="left" w:pos="0" w:leader="none"/>
      </w:tabs>
      <w:spacing w:lineRule="auto" w:line="312"/>
      <w:ind w:start="5760"/>
      <w:jc w:val="end"/>
      <w:rPr>
        <w:rFonts w:ascii="Calibri" w:hAnsi="Calibri" w:cs="Calibri" w:asciiTheme="minorHAnsi" w:cstheme="minorHAnsi" w:hAnsiTheme="minorHAnsi"/>
        <w:sz w:val="18"/>
        <w:szCs w:val="18"/>
      </w:rPr>
    </w:pPr>
    <w:r>
      <w:rPr>
        <w:rFonts w:cs="Calibri" w:cstheme="minorHAnsi"/>
        <w:color w:val="404040"/>
        <w:sz w:val="18"/>
        <w:szCs w:val="18"/>
      </w:rPr>
      <w:t>www.tassure.com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numPicBullet w:numPicBulletId="0">
    <w:pict>
      <v:shape style="width:11.25pt;height:11.25pt" o:bullet="t">
        <v:imagedata r:id="rId1" o:title=""/>
      </v:shape>
    </w:pict>
  </w:numPicBullet>
  <w:abstractNum w:abstractNumId="1">
    <w:lvl w:ilvl="0">
      <w:start w:val="1"/>
      <w:numFmt w:val="decimal"/>
      <w:lvlText w:val="%1."/>
      <w:lvlJc w:val="start"/>
      <w:pPr>
        <w:tabs>
          <w:tab w:val="num" w:pos="0"/>
        </w:tabs>
        <w:ind w:start="450" w:hanging="360"/>
      </w:pPr>
      <w:rPr>
        <w:b/>
        <w:bCs/>
        <w:rFonts w:ascii="Calibri" w:hAnsi="Calibri" w:eastAsia="宋体" w:cs="Calibri" w:asciiTheme="minorHAnsi" w:cstheme="minorHAnsi" w:eastAsiaTheme="minorEastAsia" w:hAnsiTheme="minorHAnsi"/>
      </w:rPr>
    </w:lvl>
    <w:lvl w:ilvl="1">
      <w:start w:val="1"/>
      <w:numFmt w:val="lowerLetter"/>
      <w:lvlText w:val="%2."/>
      <w:lvlJc w:val="start"/>
      <w:pPr>
        <w:tabs>
          <w:tab w:val="num" w:pos="0"/>
        </w:tabs>
        <w:ind w:start="1198" w:hanging="360"/>
      </w:pPr>
      <w:rPr/>
    </w:lvl>
    <w:lvl w:ilvl="2">
      <w:start w:val="1"/>
      <w:numFmt w:val="lowerRoman"/>
      <w:lvlText w:val="%3."/>
      <w:lvlJc w:val="end"/>
      <w:pPr>
        <w:tabs>
          <w:tab w:val="num" w:pos="0"/>
        </w:tabs>
        <w:ind w:start="1918" w:hanging="180"/>
      </w:pPr>
      <w:rPr/>
    </w:lvl>
    <w:lvl w:ilvl="3">
      <w:start w:val="1"/>
      <w:numFmt w:val="decimal"/>
      <w:lvlText w:val="%4."/>
      <w:lvlJc w:val="start"/>
      <w:pPr>
        <w:tabs>
          <w:tab w:val="num" w:pos="0"/>
        </w:tabs>
        <w:ind w:start="2638" w:hanging="360"/>
      </w:pPr>
      <w:rPr/>
    </w:lvl>
    <w:lvl w:ilvl="4">
      <w:start w:val="1"/>
      <w:numFmt w:val="lowerLetter"/>
      <w:lvlText w:val="%5."/>
      <w:lvlJc w:val="start"/>
      <w:pPr>
        <w:tabs>
          <w:tab w:val="num" w:pos="0"/>
        </w:tabs>
        <w:ind w:start="3358" w:hanging="360"/>
      </w:pPr>
      <w:rPr/>
    </w:lvl>
    <w:lvl w:ilvl="5">
      <w:start w:val="1"/>
      <w:numFmt w:val="lowerRoman"/>
      <w:lvlText w:val="%6."/>
      <w:lvlJc w:val="end"/>
      <w:pPr>
        <w:tabs>
          <w:tab w:val="num" w:pos="0"/>
        </w:tabs>
        <w:ind w:start="4078" w:hanging="180"/>
      </w:pPr>
      <w:rPr/>
    </w:lvl>
    <w:lvl w:ilvl="6">
      <w:start w:val="1"/>
      <w:numFmt w:val="decimal"/>
      <w:lvlText w:val="%7."/>
      <w:lvlJc w:val="start"/>
      <w:pPr>
        <w:tabs>
          <w:tab w:val="num" w:pos="0"/>
        </w:tabs>
        <w:ind w:start="4798" w:hanging="360"/>
      </w:pPr>
      <w:rPr/>
    </w:lvl>
    <w:lvl w:ilvl="7">
      <w:start w:val="1"/>
      <w:numFmt w:val="lowerLetter"/>
      <w:lvlText w:val="%8."/>
      <w:lvlJc w:val="start"/>
      <w:pPr>
        <w:tabs>
          <w:tab w:val="num" w:pos="0"/>
        </w:tabs>
        <w:ind w:start="5518" w:hanging="360"/>
      </w:pPr>
      <w:rPr/>
    </w:lvl>
    <w:lvl w:ilvl="8">
      <w:start w:val="1"/>
      <w:numFmt w:val="lowerRoman"/>
      <w:lvlText w:val="%9."/>
      <w:lvlJc w:val="end"/>
      <w:pPr>
        <w:tabs>
          <w:tab w:val="num" w:pos="0"/>
        </w:tabs>
        <w:ind w:start="6238" w:hanging="180"/>
      </w:pPr>
      <w:rPr/>
    </w:lvl>
  </w:abstractNum>
  <w:abstractNum w:abstractNumId="2">
    <w:lvl w:ilvl="0">
      <w:start w:val="1"/>
      <w:numFmt w:val="bullet"/>
      <w:lvlText w:val=""/>
      <w:lvlJc w:val="start"/>
      <w:pPr>
        <w:tabs>
          <w:tab w:val="num" w:pos="0"/>
        </w:tabs>
        <w:ind w:start="501" w:hanging="360"/>
      </w:pPr>
      <w:rPr>
        <w:rFonts w:ascii="Symbol" w:hAnsi="Symbol" w:cs="Symbol" w:hint="default"/>
      </w:rPr>
    </w:lvl>
    <w:lvl w:ilvl="1">
      <w:start w:val="1"/>
      <w:numFmt w:val="bullet"/>
      <w:lvlText w:val="o"/>
      <w:lvlJc w:val="start"/>
      <w:pPr>
        <w:tabs>
          <w:tab w:val="num" w:pos="0"/>
        </w:tabs>
        <w:ind w:start="1221" w:hanging="360"/>
      </w:pPr>
      <w:rPr>
        <w:rFonts w:ascii="Courier New" w:hAnsi="Courier New" w:cs="Courier New" w:hint="default"/>
      </w:rPr>
    </w:lvl>
    <w:lvl w:ilvl="2">
      <w:start w:val="1"/>
      <w:numFmt w:val="bullet"/>
      <w:lvlText w:val=""/>
      <w:lvlJc w:val="start"/>
      <w:pPr>
        <w:tabs>
          <w:tab w:val="num" w:pos="0"/>
        </w:tabs>
        <w:ind w:start="1941" w:hanging="360"/>
      </w:pPr>
      <w:rPr>
        <w:rFonts w:ascii="Wingdings" w:hAnsi="Wingdings" w:cs="Wingdings" w:hint="default"/>
      </w:rPr>
    </w:lvl>
    <w:lvl w:ilvl="3">
      <w:start w:val="1"/>
      <w:numFmt w:val="bullet"/>
      <w:lvlText w:val=""/>
      <w:lvlJc w:val="start"/>
      <w:pPr>
        <w:tabs>
          <w:tab w:val="num" w:pos="0"/>
        </w:tabs>
        <w:ind w:start="2661" w:hanging="360"/>
      </w:pPr>
      <w:rPr>
        <w:rFonts w:ascii="Symbol" w:hAnsi="Symbol" w:cs="Symbol" w:hint="default"/>
      </w:rPr>
    </w:lvl>
    <w:lvl w:ilvl="4">
      <w:start w:val="1"/>
      <w:numFmt w:val="bullet"/>
      <w:lvlText w:val="o"/>
      <w:lvlJc w:val="start"/>
      <w:pPr>
        <w:tabs>
          <w:tab w:val="num" w:pos="0"/>
        </w:tabs>
        <w:ind w:start="3381" w:hanging="360"/>
      </w:pPr>
      <w:rPr>
        <w:rFonts w:ascii="Courier New" w:hAnsi="Courier New" w:cs="Courier New" w:hint="default"/>
      </w:rPr>
    </w:lvl>
    <w:lvl w:ilvl="5">
      <w:start w:val="1"/>
      <w:numFmt w:val="bullet"/>
      <w:lvlText w:val=""/>
      <w:lvlJc w:val="start"/>
      <w:pPr>
        <w:tabs>
          <w:tab w:val="num" w:pos="0"/>
        </w:tabs>
        <w:ind w:start="4101" w:hanging="360"/>
      </w:pPr>
      <w:rPr>
        <w:rFonts w:ascii="Wingdings" w:hAnsi="Wingdings" w:cs="Wingdings" w:hint="default"/>
      </w:rPr>
    </w:lvl>
    <w:lvl w:ilvl="6">
      <w:start w:val="1"/>
      <w:numFmt w:val="bullet"/>
      <w:lvlText w:val=""/>
      <w:lvlJc w:val="start"/>
      <w:pPr>
        <w:tabs>
          <w:tab w:val="num" w:pos="0"/>
        </w:tabs>
        <w:ind w:start="4821" w:hanging="360"/>
      </w:pPr>
      <w:rPr>
        <w:rFonts w:ascii="Symbol" w:hAnsi="Symbol" w:cs="Symbol" w:hint="default"/>
      </w:rPr>
    </w:lvl>
    <w:lvl w:ilvl="7">
      <w:start w:val="1"/>
      <w:numFmt w:val="bullet"/>
      <w:lvlText w:val="o"/>
      <w:lvlJc w:val="start"/>
      <w:pPr>
        <w:tabs>
          <w:tab w:val="num" w:pos="0"/>
        </w:tabs>
        <w:ind w:start="5541" w:hanging="360"/>
      </w:pPr>
      <w:rPr>
        <w:rFonts w:ascii="Courier New" w:hAnsi="Courier New" w:cs="Courier New" w:hint="default"/>
      </w:rPr>
    </w:lvl>
    <w:lvl w:ilvl="8">
      <w:start w:val="1"/>
      <w:numFmt w:val="bullet"/>
      <w:lvlText w:val=""/>
      <w:lvlJc w:val="start"/>
      <w:pPr>
        <w:tabs>
          <w:tab w:val="num" w:pos="0"/>
        </w:tabs>
        <w:ind w:start="6261" w:hanging="360"/>
      </w:pPr>
      <w:rPr>
        <w:rFonts w:ascii="Wingdings" w:hAnsi="Wingdings" w:cs="Wingdings" w:hint="default"/>
      </w:rPr>
    </w:lvl>
  </w:abstractNum>
  <w:abstractNum w:abstractNumId="3">
    <w:lvl w:ilvl="0">
      <w:start w:val="1"/>
      <w:numFmt w:val="bullet"/>
      <w:lvlText w:val="o"/>
      <w:lvlJc w:val="start"/>
      <w:pPr>
        <w:tabs>
          <w:tab w:val="num" w:pos="0"/>
        </w:tabs>
        <w:ind w:start="927" w:hanging="360"/>
      </w:pPr>
      <w:rPr>
        <w:rFonts w:ascii="Courier New" w:hAnsi="Courier New" w:cs="Courier New" w:hint="default"/>
      </w:rPr>
    </w:lvl>
    <w:lvl w:ilvl="1">
      <w:start w:val="1"/>
      <w:numFmt w:val="bullet"/>
      <w:lvlText w:val="o"/>
      <w:lvlJc w:val="start"/>
      <w:pPr>
        <w:tabs>
          <w:tab w:val="num" w:pos="0"/>
        </w:tabs>
        <w:ind w:start="1647" w:hanging="360"/>
      </w:pPr>
      <w:rPr>
        <w:rFonts w:ascii="Courier New" w:hAnsi="Courier New" w:cs="Courier New" w:hint="default"/>
      </w:rPr>
    </w:lvl>
    <w:lvl w:ilvl="2">
      <w:start w:val="1"/>
      <w:numFmt w:val="bullet"/>
      <w:lvlText w:val=""/>
      <w:lvlJc w:val="start"/>
      <w:pPr>
        <w:tabs>
          <w:tab w:val="num" w:pos="0"/>
        </w:tabs>
        <w:ind w:start="2367" w:hanging="360"/>
      </w:pPr>
      <w:rPr>
        <w:rFonts w:ascii="Wingdings" w:hAnsi="Wingdings" w:cs="Wingdings" w:hint="default"/>
      </w:rPr>
    </w:lvl>
    <w:lvl w:ilvl="3">
      <w:start w:val="1"/>
      <w:numFmt w:val="bullet"/>
      <w:lvlText w:val=""/>
      <w:lvlJc w:val="start"/>
      <w:pPr>
        <w:tabs>
          <w:tab w:val="num" w:pos="0"/>
        </w:tabs>
        <w:ind w:start="3087" w:hanging="360"/>
      </w:pPr>
      <w:rPr>
        <w:rFonts w:ascii="Symbol" w:hAnsi="Symbol" w:cs="Symbol" w:hint="default"/>
      </w:rPr>
    </w:lvl>
    <w:lvl w:ilvl="4">
      <w:start w:val="1"/>
      <w:numFmt w:val="bullet"/>
      <w:lvlText w:val="o"/>
      <w:lvlJc w:val="start"/>
      <w:pPr>
        <w:tabs>
          <w:tab w:val="num" w:pos="0"/>
        </w:tabs>
        <w:ind w:start="3807" w:hanging="360"/>
      </w:pPr>
      <w:rPr>
        <w:rFonts w:ascii="Courier New" w:hAnsi="Courier New" w:cs="Courier New" w:hint="default"/>
      </w:rPr>
    </w:lvl>
    <w:lvl w:ilvl="5">
      <w:start w:val="1"/>
      <w:numFmt w:val="bullet"/>
      <w:lvlText w:val=""/>
      <w:lvlJc w:val="start"/>
      <w:pPr>
        <w:tabs>
          <w:tab w:val="num" w:pos="0"/>
        </w:tabs>
        <w:ind w:start="4527" w:hanging="360"/>
      </w:pPr>
      <w:rPr>
        <w:rFonts w:ascii="Wingdings" w:hAnsi="Wingdings" w:cs="Wingdings" w:hint="default"/>
      </w:rPr>
    </w:lvl>
    <w:lvl w:ilvl="6">
      <w:start w:val="1"/>
      <w:numFmt w:val="bullet"/>
      <w:lvlText w:val=""/>
      <w:lvlJc w:val="start"/>
      <w:pPr>
        <w:tabs>
          <w:tab w:val="num" w:pos="0"/>
        </w:tabs>
        <w:ind w:start="5247" w:hanging="360"/>
      </w:pPr>
      <w:rPr>
        <w:rFonts w:ascii="Symbol" w:hAnsi="Symbol" w:cs="Symbol" w:hint="default"/>
      </w:rPr>
    </w:lvl>
    <w:lvl w:ilvl="7">
      <w:start w:val="1"/>
      <w:numFmt w:val="bullet"/>
      <w:lvlText w:val="o"/>
      <w:lvlJc w:val="start"/>
      <w:pPr>
        <w:tabs>
          <w:tab w:val="num" w:pos="0"/>
        </w:tabs>
        <w:ind w:start="5967" w:hanging="360"/>
      </w:pPr>
      <w:rPr>
        <w:rFonts w:ascii="Courier New" w:hAnsi="Courier New" w:cs="Courier New" w:hint="default"/>
      </w:rPr>
    </w:lvl>
    <w:lvl w:ilvl="8">
      <w:start w:val="1"/>
      <w:numFmt w:val="bullet"/>
      <w:lvlText w:val=""/>
      <w:lvlJc w:val="start"/>
      <w:pPr>
        <w:tabs>
          <w:tab w:val="num" w:pos="0"/>
        </w:tabs>
        <w:ind w:start="6687" w:hanging="360"/>
      </w:pPr>
      <w:rPr>
        <w:rFonts w:ascii="Wingdings" w:hAnsi="Wingdings" w:cs="Wingdings" w:hint="default"/>
      </w:rPr>
    </w:lvl>
  </w:abstractNum>
  <w:abstractNum w:abstractNumId="4">
    <w:lvl w:ilvl="0">
      <w:start w:val="1"/>
      <w:numFmt w:val="bullet"/>
      <w:lvlText w:val="o"/>
      <w:lvlJc w:val="start"/>
      <w:pPr>
        <w:tabs>
          <w:tab w:val="num" w:pos="0"/>
        </w:tabs>
        <w:ind w:start="927" w:hanging="360"/>
      </w:pPr>
      <w:rPr>
        <w:rFonts w:ascii="Courier New" w:hAnsi="Courier New" w:cs="Courier New" w:hint="default"/>
      </w:rPr>
    </w:lvl>
    <w:lvl w:ilvl="1">
      <w:start w:val="1"/>
      <w:numFmt w:val="bullet"/>
      <w:lvlText w:val="o"/>
      <w:lvlJc w:val="start"/>
      <w:pPr>
        <w:tabs>
          <w:tab w:val="num" w:pos="0"/>
        </w:tabs>
        <w:ind w:start="1647" w:hanging="360"/>
      </w:pPr>
      <w:rPr>
        <w:rFonts w:ascii="Courier New" w:hAnsi="Courier New" w:cs="Courier New" w:hint="default"/>
      </w:rPr>
    </w:lvl>
    <w:lvl w:ilvl="2">
      <w:start w:val="1"/>
      <w:numFmt w:val="bullet"/>
      <w:lvlText w:val=""/>
      <w:lvlJc w:val="start"/>
      <w:pPr>
        <w:tabs>
          <w:tab w:val="num" w:pos="0"/>
        </w:tabs>
        <w:ind w:start="2367" w:hanging="360"/>
      </w:pPr>
      <w:rPr>
        <w:rFonts w:ascii="Wingdings" w:hAnsi="Wingdings" w:cs="Wingdings" w:hint="default"/>
      </w:rPr>
    </w:lvl>
    <w:lvl w:ilvl="3">
      <w:start w:val="1"/>
      <w:numFmt w:val="bullet"/>
      <w:lvlText w:val=""/>
      <w:lvlJc w:val="start"/>
      <w:pPr>
        <w:tabs>
          <w:tab w:val="num" w:pos="0"/>
        </w:tabs>
        <w:ind w:start="3087" w:hanging="360"/>
      </w:pPr>
      <w:rPr>
        <w:rFonts w:ascii="Symbol" w:hAnsi="Symbol" w:cs="Symbol" w:hint="default"/>
      </w:rPr>
    </w:lvl>
    <w:lvl w:ilvl="4">
      <w:start w:val="1"/>
      <w:numFmt w:val="bullet"/>
      <w:lvlText w:val="o"/>
      <w:lvlJc w:val="start"/>
      <w:pPr>
        <w:tabs>
          <w:tab w:val="num" w:pos="0"/>
        </w:tabs>
        <w:ind w:start="3807" w:hanging="360"/>
      </w:pPr>
      <w:rPr>
        <w:rFonts w:ascii="Courier New" w:hAnsi="Courier New" w:cs="Courier New" w:hint="default"/>
      </w:rPr>
    </w:lvl>
    <w:lvl w:ilvl="5">
      <w:start w:val="1"/>
      <w:numFmt w:val="bullet"/>
      <w:lvlText w:val=""/>
      <w:lvlJc w:val="start"/>
      <w:pPr>
        <w:tabs>
          <w:tab w:val="num" w:pos="0"/>
        </w:tabs>
        <w:ind w:start="4527" w:hanging="360"/>
      </w:pPr>
      <w:rPr>
        <w:rFonts w:ascii="Wingdings" w:hAnsi="Wingdings" w:cs="Wingdings" w:hint="default"/>
      </w:rPr>
    </w:lvl>
    <w:lvl w:ilvl="6">
      <w:start w:val="1"/>
      <w:numFmt w:val="bullet"/>
      <w:lvlText w:val=""/>
      <w:lvlJc w:val="start"/>
      <w:pPr>
        <w:tabs>
          <w:tab w:val="num" w:pos="0"/>
        </w:tabs>
        <w:ind w:start="5247" w:hanging="360"/>
      </w:pPr>
      <w:rPr>
        <w:rFonts w:ascii="Symbol" w:hAnsi="Symbol" w:cs="Symbol" w:hint="default"/>
      </w:rPr>
    </w:lvl>
    <w:lvl w:ilvl="7">
      <w:start w:val="1"/>
      <w:numFmt w:val="bullet"/>
      <w:lvlText w:val="o"/>
      <w:lvlJc w:val="start"/>
      <w:pPr>
        <w:tabs>
          <w:tab w:val="num" w:pos="0"/>
        </w:tabs>
        <w:ind w:start="5967" w:hanging="360"/>
      </w:pPr>
      <w:rPr>
        <w:rFonts w:ascii="Courier New" w:hAnsi="Courier New" w:cs="Courier New" w:hint="default"/>
      </w:rPr>
    </w:lvl>
    <w:lvl w:ilvl="8">
      <w:start w:val="1"/>
      <w:numFmt w:val="bullet"/>
      <w:lvlText w:val=""/>
      <w:lvlJc w:val="start"/>
      <w:pPr>
        <w:tabs>
          <w:tab w:val="num" w:pos="0"/>
        </w:tabs>
        <w:ind w:start="6687"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SG"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rsid w:val="00b52a72"/>
    <w:pPr>
      <w:widowControl w:val="false"/>
      <w:bidi w:val="0"/>
      <w:spacing w:before="0" w:after="0"/>
      <w:jc w:val="start"/>
    </w:pPr>
    <w:rPr>
      <w:rFonts w:ascii="Calibri" w:hAnsi="Calibri" w:eastAsia="Calibri" w:cs="Calibri" w:asciiTheme="minorHAnsi" w:hAnsiTheme="minorHAnsi"/>
      <w:color w:val="auto"/>
      <w:kern w:val="0"/>
      <w:sz w:val="22"/>
      <w:szCs w:val="22"/>
      <w:lang w:val="en-US" w:eastAsia="en-US" w:bidi="ar-SA"/>
    </w:rPr>
  </w:style>
  <w:style w:type="paragraph" w:styleId="Heading1">
    <w:name w:val="heading 1"/>
    <w:basedOn w:val="Normal"/>
    <w:link w:val="Heading1Char"/>
    <w:uiPriority w:val="1"/>
    <w:qFormat/>
    <w:pPr>
      <w:spacing w:before="1" w:after="0"/>
      <w:ind w:start="118"/>
      <w:outlineLvl w:val="0"/>
    </w:pPr>
    <w:rPr>
      <w:b/>
      <w:bCs/>
    </w:rPr>
  </w:style>
  <w:style w:type="paragraph" w:styleId="Heading2">
    <w:name w:val="heading 2"/>
    <w:basedOn w:val="Normal"/>
    <w:next w:val="Normal"/>
    <w:link w:val="Heading2Char"/>
    <w:uiPriority w:val="9"/>
    <w:unhideWhenUsed/>
    <w:qFormat/>
    <w:rsid w:val="00d13885"/>
    <w:pPr>
      <w:keepNext w:val="true"/>
      <w:widowControl/>
      <w:spacing w:lineRule="auto" w:line="259" w:before="240" w:after="60"/>
      <w:outlineLvl w:val="1"/>
    </w:pPr>
    <w:rPr>
      <w:rFonts w:ascii="Cambria" w:hAnsi="Cambria" w:eastAsia="宋体" w:cs="" w:asciiTheme="majorHAnsi" w:cstheme="majorBidi" w:eastAsiaTheme="majorEastAsia" w:hAnsiTheme="majorHAnsi"/>
      <w:b/>
      <w:bCs/>
      <w:i/>
      <w:iCs/>
      <w:sz w:val="28"/>
      <w:szCs w:val="28"/>
      <w:lang w:val="en-SG" w:eastAsia="zh-CN"/>
    </w:rPr>
  </w:style>
  <w:style w:type="paragraph" w:styleId="Heading3">
    <w:name w:val="heading 3"/>
    <w:basedOn w:val="Normal"/>
    <w:next w:val="Normal"/>
    <w:link w:val="Heading3Char"/>
    <w:uiPriority w:val="9"/>
    <w:semiHidden/>
    <w:unhideWhenUsed/>
    <w:qFormat/>
    <w:rsid w:val="000e669b"/>
    <w:pPr>
      <w:keepNext w:val="true"/>
      <w:keepLines/>
      <w:spacing w:before="40" w:after="0"/>
      <w:outlineLvl w:val="2"/>
    </w:pPr>
    <w:rPr>
      <w:rFonts w:ascii="Cambria" w:hAnsi="Cambria" w:eastAsia="宋体" w:cs="" w:asciiTheme="majorHAnsi" w:cstheme="majorBidi" w:eastAsiaTheme="majorEastAsia" w:hAnsiTheme="majorHAnsi"/>
      <w:color w:themeColor="accent1" w:themeShade="7f" w:val="243F60"/>
      <w:sz w:val="24"/>
      <w:szCs w:val="24"/>
    </w:rPr>
  </w:style>
  <w:style w:type="character" w:styleId="DefaultParagraphFont" w:default="1">
    <w:name w:val="Default Paragraph Font"/>
    <w:uiPriority w:val="1"/>
    <w:semiHidden/>
    <w:unhideWhenUsed/>
    <w:qFormat/>
    <w:rPr/>
  </w:style>
  <w:style w:type="character" w:styleId="Heading2Char" w:customStyle="1">
    <w:name w:val="Heading 2 Char"/>
    <w:basedOn w:val="DefaultParagraphFont"/>
    <w:link w:val="Heading2"/>
    <w:uiPriority w:val="9"/>
    <w:qFormat/>
    <w:rsid w:val="00d13885"/>
    <w:rPr>
      <w:rFonts w:ascii="Cambria" w:hAnsi="Cambria" w:eastAsia="宋体" w:cs="" w:asciiTheme="majorHAnsi" w:cstheme="majorBidi" w:eastAsiaTheme="majorEastAsia" w:hAnsiTheme="majorHAnsi"/>
      <w:b/>
      <w:bCs/>
      <w:i/>
      <w:iCs/>
      <w:sz w:val="28"/>
      <w:szCs w:val="28"/>
      <w:lang w:val="en-SG" w:eastAsia="zh-CN"/>
    </w:rPr>
  </w:style>
  <w:style w:type="character" w:styleId="HeaderChar" w:customStyle="1">
    <w:name w:val="Header Char"/>
    <w:basedOn w:val="DefaultParagraphFont"/>
    <w:link w:val="Header"/>
    <w:qFormat/>
    <w:rsid w:val="00d13885"/>
    <w:rPr/>
  </w:style>
  <w:style w:type="character" w:styleId="HeaderChar1" w:customStyle="1">
    <w:name w:val="Header Char1"/>
    <w:basedOn w:val="DefaultParagraphFont"/>
    <w:uiPriority w:val="99"/>
    <w:semiHidden/>
    <w:qFormat/>
    <w:rsid w:val="00d13885"/>
    <w:rPr>
      <w:rFonts w:ascii="Calibri" w:hAnsi="Calibri" w:eastAsia="Calibri" w:cs="Calibri"/>
    </w:rPr>
  </w:style>
  <w:style w:type="character" w:styleId="Hyperlink">
    <w:name w:val="Hyperlink"/>
    <w:basedOn w:val="DefaultParagraphFont"/>
    <w:uiPriority w:val="99"/>
    <w:unhideWhenUsed/>
    <w:rsid w:val="00257885"/>
    <w:rPr>
      <w:color w:themeColor="hyperlink" w:val="0000FF"/>
      <w:u w:val="single"/>
    </w:rPr>
  </w:style>
  <w:style w:type="character" w:styleId="UnresolvedMention">
    <w:name w:val="Unresolved Mention"/>
    <w:basedOn w:val="DefaultParagraphFont"/>
    <w:uiPriority w:val="99"/>
    <w:semiHidden/>
    <w:unhideWhenUsed/>
    <w:qFormat/>
    <w:rsid w:val="00257885"/>
    <w:rPr>
      <w:color w:val="605E5C"/>
      <w:shd w:fill="E1DFDD" w:val="clear"/>
    </w:rPr>
  </w:style>
  <w:style w:type="character" w:styleId="FooterChar" w:customStyle="1">
    <w:name w:val="Footer Char"/>
    <w:basedOn w:val="DefaultParagraphFont"/>
    <w:link w:val="Footer"/>
    <w:uiPriority w:val="99"/>
    <w:qFormat/>
    <w:rsid w:val="00ae4ce8"/>
    <w:rPr>
      <w:rFonts w:ascii="Calibri" w:hAnsi="Calibri" w:eastAsia="Calibri" w:cs="Calibri"/>
    </w:rPr>
  </w:style>
  <w:style w:type="character" w:styleId="HTMLPreformattedChar" w:customStyle="1">
    <w:name w:val="HTML Preformatted Char"/>
    <w:basedOn w:val="DefaultParagraphFont"/>
    <w:link w:val="HTMLPreformatted"/>
    <w:uiPriority w:val="99"/>
    <w:semiHidden/>
    <w:qFormat/>
    <w:rsid w:val="000e2b1d"/>
    <w:rPr>
      <w:rFonts w:ascii="Courier New" w:hAnsi="Courier New" w:eastAsia="Times New Roman" w:cs="Courier New"/>
      <w:sz w:val="20"/>
      <w:szCs w:val="20"/>
      <w:lang w:val="en-SG" w:eastAsia="zh-CN"/>
    </w:rPr>
  </w:style>
  <w:style w:type="character" w:styleId="Heading1Char" w:customStyle="1">
    <w:name w:val="Heading 1 Char"/>
    <w:basedOn w:val="DefaultParagraphFont"/>
    <w:link w:val="Heading1"/>
    <w:uiPriority w:val="1"/>
    <w:qFormat/>
    <w:rsid w:val="00e3241d"/>
    <w:rPr>
      <w:rFonts w:ascii="Calibri" w:hAnsi="Calibri" w:eastAsia="Calibri" w:cs="Calibri"/>
      <w:b/>
      <w:bCs/>
    </w:rPr>
  </w:style>
  <w:style w:type="character" w:styleId="BodyTextChar" w:customStyle="1">
    <w:name w:val="Body Text Char"/>
    <w:basedOn w:val="DefaultParagraphFont"/>
    <w:uiPriority w:val="1"/>
    <w:qFormat/>
    <w:rsid w:val="00e3241d"/>
    <w:rPr>
      <w:rFonts w:ascii="Calibri" w:hAnsi="Calibri" w:eastAsia="Calibri" w:cs="Calibri"/>
    </w:rPr>
  </w:style>
  <w:style w:type="character" w:styleId="Strong">
    <w:name w:val="Strong"/>
    <w:basedOn w:val="DefaultParagraphFont"/>
    <w:uiPriority w:val="22"/>
    <w:qFormat/>
    <w:rsid w:val="00117539"/>
    <w:rPr>
      <w:b/>
      <w:bCs/>
    </w:rPr>
  </w:style>
  <w:style w:type="character" w:styleId="Heading3Char" w:customStyle="1">
    <w:name w:val="Heading 3 Char"/>
    <w:basedOn w:val="DefaultParagraphFont"/>
    <w:link w:val="Heading3"/>
    <w:uiPriority w:val="9"/>
    <w:semiHidden/>
    <w:qFormat/>
    <w:rsid w:val="000e669b"/>
    <w:rPr>
      <w:rFonts w:ascii="Cambria" w:hAnsi="Cambria" w:eastAsia="宋体" w:cs="" w:asciiTheme="majorHAnsi" w:cstheme="majorBidi" w:eastAsiaTheme="majorEastAsia" w:hAnsiTheme="majorHAnsi"/>
      <w:color w:themeColor="accent1" w:themeShade="7f" w:val="243F60"/>
      <w:sz w:val="24"/>
      <w:szCs w:val="24"/>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1"/>
    <w:qFormat/>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1"/>
    <w:qFormat/>
    <w:pPr>
      <w:ind w:hanging="360" w:start="838"/>
    </w:pPr>
    <w:rPr/>
  </w:style>
  <w:style w:type="paragraph" w:styleId="TableParagraph" w:customStyle="1">
    <w:name w:val="Table Paragraph"/>
    <w:basedOn w:val="Normal"/>
    <w:uiPriority w:val="1"/>
    <w:qFormat/>
    <w:pPr>
      <w:spacing w:before="30" w:after="0"/>
    </w:pPr>
    <w:rPr/>
  </w:style>
  <w:style w:type="paragraph" w:styleId="HeaderandFooter">
    <w:name w:val="Header and Footer"/>
    <w:basedOn w:val="Normal"/>
    <w:qFormat/>
    <w:pPr/>
    <w:rPr/>
  </w:style>
  <w:style w:type="paragraph" w:styleId="Header">
    <w:name w:val="header"/>
    <w:basedOn w:val="Normal"/>
    <w:link w:val="HeaderChar"/>
    <w:rsid w:val="00d13885"/>
    <w:pPr>
      <w:widowControl/>
      <w:tabs>
        <w:tab w:val="clear" w:pos="720"/>
        <w:tab w:val="center" w:pos="4513" w:leader="none"/>
        <w:tab w:val="right" w:pos="9026" w:leader="none"/>
      </w:tabs>
    </w:pPr>
    <w:rPr>
      <w:rFonts w:ascii="Calibri" w:hAnsi="Calibri" w:eastAsia="Calibri" w:cs="" w:asciiTheme="minorHAnsi" w:cstheme="minorBidi" w:eastAsiaTheme="minorHAnsi" w:hAnsiTheme="minorHAnsi"/>
    </w:rPr>
  </w:style>
  <w:style w:type="paragraph" w:styleId="Default" w:customStyle="1">
    <w:name w:val="Default"/>
    <w:qFormat/>
    <w:rsid w:val="003e3665"/>
    <w:pPr>
      <w:widowControl/>
      <w:bidi w:val="0"/>
      <w:spacing w:before="0" w:after="0"/>
      <w:jc w:val="start"/>
    </w:pPr>
    <w:rPr>
      <w:rFonts w:ascii="......." w:hAnsi="......." w:eastAsia="......." w:cs="......."/>
      <w:color w:val="000000"/>
      <w:kern w:val="0"/>
      <w:sz w:val="24"/>
      <w:szCs w:val="24"/>
      <w:lang w:val="en-SG" w:eastAsia="en-US" w:bidi="ar-SA"/>
    </w:rPr>
  </w:style>
  <w:style w:type="paragraph" w:styleId="Footer">
    <w:name w:val="footer"/>
    <w:basedOn w:val="Normal"/>
    <w:link w:val="FooterChar"/>
    <w:uiPriority w:val="99"/>
    <w:unhideWhenUsed/>
    <w:rsid w:val="00ae4ce8"/>
    <w:pPr>
      <w:tabs>
        <w:tab w:val="clear" w:pos="720"/>
        <w:tab w:val="center" w:pos="4153" w:leader="none"/>
        <w:tab w:val="right" w:pos="8306" w:leader="none"/>
      </w:tabs>
    </w:pPr>
    <w:rPr/>
  </w:style>
  <w:style w:type="paragraph" w:styleId="HTMLPreformatted">
    <w:name w:val="HTML Preformatted"/>
    <w:basedOn w:val="Normal"/>
    <w:link w:val="HTMLPreformattedChar"/>
    <w:uiPriority w:val="99"/>
    <w:semiHidden/>
    <w:unhideWhenUsed/>
    <w:qFormat/>
    <w:rsid w:val="000e2b1d"/>
    <w:pPr>
      <w:widowContro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sz w:val="20"/>
      <w:szCs w:val="20"/>
      <w:lang w:val="en-SG" w:eastAsia="zh-CN"/>
    </w:rPr>
  </w:style>
  <w:style w:type="paragraph" w:styleId="NormalWeb">
    <w:name w:val="Normal (Web)"/>
    <w:basedOn w:val="Normal"/>
    <w:uiPriority w:val="99"/>
    <w:unhideWhenUsed/>
    <w:qFormat/>
    <w:rsid w:val="009404a7"/>
    <w:pPr>
      <w:widowControl/>
      <w:spacing w:beforeAutospacing="1" w:afterAutospacing="1"/>
    </w:pPr>
    <w:rPr>
      <w:rFonts w:ascii="Times New Roman" w:hAnsi="Times New Roman" w:eastAsia="Times New Roman" w:cs="Times New Roman"/>
      <w:sz w:val="24"/>
      <w:szCs w:val="24"/>
      <w:lang w:val="en-SG" w:eastAsia="zh-CN"/>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_rels/numbering.xml.rels><?xml version="1.0" encoding="UTF-8"?>
<Relationships xmlns="http://schemas.openxmlformats.org/package/2006/relationships"><Relationship Id="rId1" Type="http://schemas.openxmlformats.org/officeDocument/2006/relationships/image" Target="media/image3.gi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9C798-B204-43F7-AC13-A2377B3F4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Application>LibreOffice/25.2.3.2$Linux_X86_64 LibreOffice_project/520$Build-2</Application>
  <AppVersion>15.0000</AppVersion>
  <Pages>10</Pages>
  <Words>2689</Words>
  <Characters>15331</Characters>
  <CharactersWithSpaces>17985</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2026-08-17T08:28:00Z</dcterms:created>
  <dc:creator>Coeasy</dc:creator>
  <dc:description/>
  <dc:language>en-US</dc:language>
  <cp:lastModifiedBy>Jin Sheng Seow</cp:lastModifiedBy>
  <cp:lastPrinted>2024-09-17T01:17:00Z</cp:lastPrinted>
  <dcterms:modified xsi:type="dcterms:W3CDTF">2026-08-18T02:59:00Z</dcterms:modified>
  <cp:revision>3</cp:revision>
  <dc:subject/>
  <dc:title>Our reference : CB2015-I-001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2017-08-18T00:00:00Z</vt:filetime>
  </property>
  <property fmtid="{D5CDD505-2E9C-101B-9397-08002B2CF9AE}" pid="3" name="Creator">
    <vt:lpwstr>Acrobat PDFMaker 11 for Word</vt:lpwstr>
  </property>
  <property fmtid="{D5CDD505-2E9C-101B-9397-08002B2CF9AE}" pid="4" name="LastSaved">
    <vt:filetime>2017-11-06T00:00:00Z</vt:filetime>
  </property>
</Properties>
</file>