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gramma-svolto-obiettivi-minimi"/>
    <w:p>
      <w:pPr>
        <w:pStyle w:val="Heading2"/>
      </w:pPr>
      <w:r>
        <w:t xml:space="preserve">PROGRAMMA SVOLTO (OBIETTIVI MINIMI)</w:t>
      </w:r>
    </w:p>
    <w:p>
      <w:pPr>
        <w:pStyle w:val="FirstParagraph"/>
      </w:pPr>
      <w:r>
        <w:rPr>
          <w:b/>
          <w:bCs/>
        </w:rPr>
        <w:t xml:space="preserve">Disciplina:</w:t>
      </w:r>
      <w:r>
        <w:t xml:space="preserve"> </w:t>
      </w:r>
      <w:r>
        <w:t xml:space="preserve">Sistemi e Reti</w:t>
      </w:r>
      <w:r>
        <w:br/>
      </w:r>
      <w:r>
        <w:rPr>
          <w:b/>
          <w:bCs/>
        </w:rPr>
        <w:t xml:space="preserve">Classe:</w:t>
      </w:r>
      <w:r>
        <w:t xml:space="preserve"> </w:t>
      </w:r>
      <w:r>
        <w:t xml:space="preserve">Quinta</w:t>
      </w:r>
      <w:r>
        <w:t xml:space="preserve"> </w:t>
      </w:r>
      <w:r>
        <w:rPr>
          <w:b/>
          <w:bCs/>
        </w:rPr>
        <w:t xml:space="preserve">Testo:</w:t>
      </w:r>
      <w:r>
        <w:t xml:space="preserve"> </w:t>
      </w:r>
      <w:r>
        <w:t xml:space="preserve">- INTERNETWORKING – Sistemi e Reti, Vol. 3, 3a ed. </w:t>
      </w:r>
      <w:r>
        <w:t xml:space="preserve"> </w:t>
      </w:r>
      <w:r>
        <w:t xml:space="preserve">- E. Baldino, R. Rondano, A. Spano, C. Iacobelli</w:t>
      </w:r>
      <w:r>
        <w:t xml:space="preserve"> </w:t>
      </w:r>
      <w:r>
        <w:t xml:space="preserve">- ISBN 8874857489</w:t>
      </w:r>
    </w:p>
    <w:p>
      <w:r>
        <w:pict>
          <v:rect style="width:0;height:1.5pt" o:hralign="center" o:hrstd="t" o:hr="t"/>
        </w:pict>
      </w:r>
    </w:p>
    <w:bookmarkEnd w:id="9"/>
    <w:bookmarkStart w:id="12" w:name="obiettivi-generali"/>
    <w:p>
      <w:pPr>
        <w:pStyle w:val="Heading2"/>
      </w:pPr>
      <w:r>
        <w:t xml:space="preserve">OBIETTIVI GENERALI</w:t>
      </w:r>
    </w:p>
    <w:bookmarkStart w:id="10" w:name="variante-1"/>
    <w:p>
      <w:pPr>
        <w:pStyle w:val="Heading3"/>
      </w:pPr>
      <w:r>
        <w:t xml:space="preserve">Variante 1</w:t>
      </w:r>
    </w:p>
    <w:p>
      <w:pPr>
        <w:pStyle w:val="FirstParagraph"/>
      </w:pPr>
      <w:r>
        <w:t xml:space="preserve">Comprendere i concetti fondamentali relativi ai sistemi informatici,</w:t>
      </w:r>
      <w:r>
        <w:br/>
      </w:r>
      <w:r>
        <w:t xml:space="preserve">alle principali tecnologie di comunicazione e ai servizi di rete,</w:t>
      </w:r>
      <w:r>
        <w:t xml:space="preserve"> </w:t>
      </w:r>
      <w:r>
        <w:t xml:space="preserve">focalizzandosi sugli aspetti concettuali e funzionali.</w:t>
      </w:r>
    </w:p>
    <w:bookmarkEnd w:id="10"/>
    <w:bookmarkStart w:id="11" w:name="variante-2"/>
    <w:p>
      <w:pPr>
        <w:pStyle w:val="Heading3"/>
      </w:pPr>
      <w:r>
        <w:t xml:space="preserve">Variante 2</w:t>
      </w:r>
    </w:p>
    <w:p>
      <w:pPr>
        <w:pStyle w:val="FirstParagraph"/>
      </w:pPr>
      <w:r>
        <w:t xml:space="preserve">Comprendere i concetti fondamentali relativi a sistemi informaticid</w:t>
      </w:r>
      <w:r>
        <w:br/>
      </w:r>
      <w:r>
        <w:t xml:space="preserve">alle principali tecnologie di comunicazione e ai servizi di rete.</w:t>
      </w:r>
    </w:p>
    <w:p>
      <w:pPr>
        <w:pStyle w:val="BodyText"/>
      </w:pPr>
      <w:r>
        <w:t xml:space="preserve">Grazie alla disponibilità e impegno dello studente gli obiettivi sono</w:t>
      </w:r>
      <w:r>
        <w:t xml:space="preserve"> </w:t>
      </w:r>
      <w:r>
        <w:t xml:space="preserve">stati perseguiti relativamente a tutti gli aspetti.</w:t>
      </w:r>
    </w:p>
    <w:p>
      <w:pPr>
        <w:pStyle w:val="BodyText"/>
      </w:pPr>
      <w:r>
        <w:t xml:space="preserve">Nelle fasi di verifica e interrogazioni la focalizzazione, come</w:t>
      </w:r>
      <w:r>
        <w:t xml:space="preserve"> </w:t>
      </w:r>
      <w:r>
        <w:t xml:space="preserve">prescritto dal piano educativo, la focalizzaione è stata sugli aspetti</w:t>
      </w:r>
      <w:r>
        <w:t xml:space="preserve"> </w:t>
      </w:r>
      <w:r>
        <w:t xml:space="preserve">concettuali e funzionali e non su dettagli tecnici.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2" w:name="Xb21ed023de43f6759f82b981e1032392f6de0f7"/>
    <w:p>
      <w:pPr>
        <w:pStyle w:val="Heading2"/>
      </w:pPr>
      <w:r>
        <w:t xml:space="preserve">CONTENUTI SVOLTI (Livello concettuale, senza dettagli di calcolo)</w:t>
      </w:r>
    </w:p>
    <w:bookmarkStart w:id="13" w:name="Xad2aa7339cde4073330ae811392e536ef44aa4c"/>
    <w:p>
      <w:pPr>
        <w:pStyle w:val="Heading3"/>
      </w:pPr>
      <w:r>
        <w:t xml:space="preserve">Unità 1 – Tecniche di crittografia per l’Internet Security</w:t>
      </w:r>
    </w:p>
    <w:p>
      <w:pPr>
        <w:pStyle w:val="Compact"/>
        <w:numPr>
          <w:ilvl w:val="0"/>
          <w:numId w:val="1001"/>
        </w:numPr>
      </w:pPr>
      <w:r>
        <w:t xml:space="preserve">Concett di sicurezza informatica</w:t>
      </w:r>
    </w:p>
    <w:p>
      <w:pPr>
        <w:pStyle w:val="Compact"/>
        <w:numPr>
          <w:ilvl w:val="0"/>
          <w:numId w:val="1001"/>
        </w:numPr>
      </w:pPr>
      <w:r>
        <w:t xml:space="preserve">Crittografia simmetrica e asimmetrica</w:t>
      </w:r>
    </w:p>
    <w:p>
      <w:pPr>
        <w:pStyle w:val="Compact"/>
        <w:numPr>
          <w:ilvl w:val="0"/>
          <w:numId w:val="1001"/>
        </w:numPr>
      </w:pPr>
      <w:r>
        <w:t xml:space="preserve">Concetto di chiave crittografica</w:t>
      </w:r>
    </w:p>
    <w:p>
      <w:pPr>
        <w:pStyle w:val="Compact"/>
        <w:numPr>
          <w:ilvl w:val="0"/>
          <w:numId w:val="1001"/>
        </w:numPr>
      </w:pPr>
      <w:r>
        <w:t xml:space="preserve">Firma digitale (principio generale)</w:t>
      </w:r>
    </w:p>
    <w:p>
      <w:r>
        <w:pict>
          <v:rect style="width:0;height:1.5pt" o:hralign="center" o:hrstd="t" o:hr="t"/>
        </w:pict>
      </w:r>
    </w:p>
    <w:bookmarkEnd w:id="13"/>
    <w:bookmarkStart w:id="14" w:name="X21eb241d8bf6d2bd16b52a22a0d8d17c4f7aaf5"/>
    <w:p>
      <w:pPr>
        <w:pStyle w:val="Heading3"/>
      </w:pPr>
      <w:r>
        <w:t xml:space="preserve">Unità 2 – Efficienza e sicurezza nelle reti locali</w:t>
      </w:r>
    </w:p>
    <w:p>
      <w:pPr>
        <w:pStyle w:val="Compact"/>
        <w:numPr>
          <w:ilvl w:val="0"/>
          <w:numId w:val="1002"/>
        </w:numPr>
      </w:pPr>
      <w:r>
        <w:t xml:space="preserve">VLAN (funzione e utilizzo di base)</w:t>
      </w:r>
    </w:p>
    <w:p>
      <w:pPr>
        <w:pStyle w:val="Compact"/>
        <w:numPr>
          <w:ilvl w:val="0"/>
          <w:numId w:val="1002"/>
        </w:numPr>
      </w:pPr>
      <w:r>
        <w:t xml:space="preserve">Firewall (ruolo e funzione)</w:t>
      </w:r>
    </w:p>
    <w:p>
      <w:pPr>
        <w:pStyle w:val="Compact"/>
        <w:numPr>
          <w:ilvl w:val="0"/>
          <w:numId w:val="1002"/>
        </w:numPr>
      </w:pPr>
      <w:r>
        <w:t xml:space="preserve">NAT (concetto generale)</w:t>
      </w:r>
    </w:p>
    <w:p>
      <w:r>
        <w:pict>
          <v:rect style="width:0;height:1.5pt" o:hralign="center" o:hrstd="t" o:hr="t"/>
        </w:pict>
      </w:r>
    </w:p>
    <w:bookmarkEnd w:id="14"/>
    <w:bookmarkStart w:id="15" w:name="unità-3-reti-private-virtuali-vpn"/>
    <w:p>
      <w:pPr>
        <w:pStyle w:val="Heading3"/>
      </w:pPr>
      <w:r>
        <w:t xml:space="preserve">Unità 3 – Reti private virtuali (VPN)</w:t>
      </w:r>
    </w:p>
    <w:p>
      <w:pPr>
        <w:pStyle w:val="Compact"/>
        <w:numPr>
          <w:ilvl w:val="0"/>
          <w:numId w:val="1003"/>
        </w:numPr>
      </w:pPr>
      <w:r>
        <w:t xml:space="preserve">Definizione di VPN</w:t>
      </w:r>
    </w:p>
    <w:p>
      <w:pPr>
        <w:pStyle w:val="Compact"/>
        <w:numPr>
          <w:ilvl w:val="0"/>
          <w:numId w:val="1003"/>
        </w:numPr>
      </w:pPr>
      <w:r>
        <w:t xml:space="preserve">Utilizzo delle VPN per la sicurezza e l’accesso remoto</w:t>
      </w:r>
    </w:p>
    <w:p>
      <w:r>
        <w:pict>
          <v:rect style="width:0;height:1.5pt" o:hralign="center" o:hrstd="t" o:hr="t"/>
        </w:pict>
      </w:r>
    </w:p>
    <w:bookmarkEnd w:id="15"/>
    <w:bookmarkStart w:id="16" w:name="unità-4-reti-wireless"/>
    <w:p>
      <w:pPr>
        <w:pStyle w:val="Heading3"/>
      </w:pPr>
      <w:r>
        <w:t xml:space="preserve">Unità 4 – Reti wireless</w:t>
      </w:r>
    </w:p>
    <w:p>
      <w:pPr>
        <w:pStyle w:val="Compact"/>
        <w:numPr>
          <w:ilvl w:val="0"/>
          <w:numId w:val="1004"/>
        </w:numPr>
      </w:pPr>
      <w:r>
        <w:t xml:space="preserve">Caratteristiche delle reti senza fili</w:t>
      </w:r>
    </w:p>
    <w:p>
      <w:pPr>
        <w:pStyle w:val="Compact"/>
        <w:numPr>
          <w:ilvl w:val="0"/>
          <w:numId w:val="1004"/>
        </w:numPr>
      </w:pPr>
      <w:r>
        <w:t xml:space="preserve">Principali problematiche di sicurezza</w:t>
      </w:r>
    </w:p>
    <w:p>
      <w:r>
        <w:pict>
          <v:rect style="width:0;height:1.5pt" o:hralign="center" o:hrstd="t" o:hr="t"/>
        </w:pict>
      </w:r>
    </w:p>
    <w:bookmarkEnd w:id="16"/>
    <w:bookmarkStart w:id="17" w:name="unità-5-reti-ip-e-reti-cellulari"/>
    <w:p>
      <w:pPr>
        <w:pStyle w:val="Heading3"/>
      </w:pPr>
      <w:r>
        <w:t xml:space="preserve">Unità 5 – Reti IP e reti cellulari</w:t>
      </w:r>
    </w:p>
    <w:p>
      <w:pPr>
        <w:pStyle w:val="Compact"/>
        <w:numPr>
          <w:ilvl w:val="0"/>
          <w:numId w:val="1005"/>
        </w:numPr>
      </w:pPr>
      <w:r>
        <w:t xml:space="preserve">Mobilità nelle reti IP (concetto generale)</w:t>
      </w:r>
    </w:p>
    <w:p>
      <w:pPr>
        <w:pStyle w:val="Compact"/>
        <w:numPr>
          <w:ilvl w:val="0"/>
          <w:numId w:val="1005"/>
        </w:numPr>
      </w:pPr>
      <w:r>
        <w:t xml:space="preserve">Reti cellulari e accesso a Internet</w:t>
      </w:r>
    </w:p>
    <w:p>
      <w:pPr>
        <w:pStyle w:val="Compact"/>
        <w:numPr>
          <w:ilvl w:val="0"/>
          <w:numId w:val="1005"/>
        </w:numPr>
      </w:pPr>
      <w:r>
        <w:t xml:space="preserve">Cenni alle tecnologie 4G e 5G</w:t>
      </w:r>
    </w:p>
    <w:p>
      <w:r>
        <w:pict>
          <v:rect style="width:0;height:1.5pt" o:hralign="center" o:hrstd="t" o:hr="t"/>
        </w:pict>
      </w:r>
    </w:p>
    <w:bookmarkEnd w:id="17"/>
    <w:bookmarkStart w:id="18" w:name="unità-6-strutture-di-rete-e-cloud"/>
    <w:p>
      <w:pPr>
        <w:pStyle w:val="Heading3"/>
      </w:pPr>
      <w:r>
        <w:t xml:space="preserve">Unità 6 – Strutture di rete e cloud</w:t>
      </w:r>
    </w:p>
    <w:p>
      <w:pPr>
        <w:pStyle w:val="Compact"/>
        <w:numPr>
          <w:ilvl w:val="0"/>
          <w:numId w:val="1006"/>
        </w:numPr>
      </w:pPr>
      <w:r>
        <w:t xml:space="preserve">Concetto di server</w:t>
      </w:r>
    </w:p>
    <w:p>
      <w:pPr>
        <w:pStyle w:val="Compact"/>
        <w:numPr>
          <w:ilvl w:val="0"/>
          <w:numId w:val="1006"/>
        </w:numPr>
      </w:pPr>
      <w:r>
        <w:t xml:space="preserve">Virtualizzazione (introduzione)</w:t>
      </w:r>
    </w:p>
    <w:p>
      <w:pPr>
        <w:pStyle w:val="Compact"/>
        <w:numPr>
          <w:ilvl w:val="0"/>
          <w:numId w:val="1006"/>
        </w:numPr>
      </w:pPr>
      <w:r>
        <w:t xml:space="preserve">Cloud computing (definizione e utilizzo)</w:t>
      </w:r>
    </w:p>
    <w:p>
      <w:r>
        <w:pict>
          <v:rect style="width:0;height:1.5pt" o:hralign="center" o:hrstd="t" o:hr="t"/>
        </w:pict>
      </w:r>
    </w:p>
    <w:bookmarkEnd w:id="18"/>
    <w:bookmarkStart w:id="19" w:name="unità-7-architetture-web"/>
    <w:p>
      <w:pPr>
        <w:pStyle w:val="Heading3"/>
      </w:pPr>
      <w:r>
        <w:t xml:space="preserve">Unità 7 – Architetture web</w:t>
      </w:r>
    </w:p>
    <w:p>
      <w:pPr>
        <w:pStyle w:val="Compact"/>
        <w:numPr>
          <w:ilvl w:val="0"/>
          <w:numId w:val="1007"/>
        </w:numPr>
      </w:pPr>
      <w:r>
        <w:t xml:space="preserve">Modello client-server</w:t>
      </w:r>
    </w:p>
    <w:p>
      <w:pPr>
        <w:pStyle w:val="Compact"/>
        <w:numPr>
          <w:ilvl w:val="0"/>
          <w:numId w:val="1007"/>
        </w:numPr>
      </w:pPr>
      <w:r>
        <w:t xml:space="preserve">Servizi di rete: DHCP e DNS (funzione generale)</w:t>
      </w:r>
    </w:p>
    <w:p>
      <w:r>
        <w:pict>
          <v:rect style="width:0;height:1.5pt" o:hralign="center" o:hrstd="t" o:hr="t"/>
        </w:pict>
      </w:r>
    </w:p>
    <w:bookmarkEnd w:id="19"/>
    <w:bookmarkStart w:id="20" w:name="unità-8-gestione-della-rete"/>
    <w:p>
      <w:pPr>
        <w:pStyle w:val="Heading3"/>
      </w:pPr>
      <w:r>
        <w:t xml:space="preserve">Unità 8 – Gestione della rete</w:t>
      </w:r>
    </w:p>
    <w:p>
      <w:pPr>
        <w:pStyle w:val="Compact"/>
        <w:numPr>
          <w:ilvl w:val="0"/>
          <w:numId w:val="1008"/>
        </w:numPr>
      </w:pPr>
      <w:r>
        <w:t xml:space="preserve">Gestione e monitoraggio della rete (concetti base)</w:t>
      </w:r>
    </w:p>
    <w:p>
      <w:pPr>
        <w:pStyle w:val="Compact"/>
        <w:numPr>
          <w:ilvl w:val="0"/>
          <w:numId w:val="1008"/>
        </w:numPr>
      </w:pPr>
      <w:r>
        <w:t xml:space="preserve">Introduzione al troubleshooting</w:t>
      </w:r>
    </w:p>
    <w:p>
      <w:r>
        <w:pict>
          <v:rect style="width:0;height:1.5pt" o:hralign="center" o:hrstd="t" o:hr="t"/>
        </w:pict>
      </w:r>
    </w:p>
    <w:bookmarkEnd w:id="20"/>
    <w:bookmarkStart w:id="21" w:name="unità-9-iot"/>
    <w:p>
      <w:pPr>
        <w:pStyle w:val="Heading3"/>
      </w:pPr>
      <w:r>
        <w:t xml:space="preserve">Unità 9 – IoT</w:t>
      </w:r>
    </w:p>
    <w:p>
      <w:pPr>
        <w:pStyle w:val="Compact"/>
        <w:numPr>
          <w:ilvl w:val="0"/>
          <w:numId w:val="1009"/>
        </w:numPr>
      </w:pPr>
      <w:r>
        <w:t xml:space="preserve">Concetto di Internet of Things</w:t>
      </w:r>
    </w:p>
    <w:p>
      <w:pPr>
        <w:pStyle w:val="Compact"/>
        <w:numPr>
          <w:ilvl w:val="0"/>
          <w:numId w:val="1009"/>
        </w:numPr>
      </w:pPr>
      <w:r>
        <w:t xml:space="preserve">Differenze di base tra Arduino e Raspberry Pi</w:t>
      </w:r>
    </w:p>
    <w:p>
      <w:pPr>
        <w:pStyle w:val="Compact"/>
        <w:numPr>
          <w:ilvl w:val="0"/>
          <w:numId w:val="1009"/>
        </w:numPr>
      </w:pPr>
      <w:r>
        <w:t xml:space="preserve">Esempi di applicazioni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etodologie-didattiche"/>
    <w:p>
      <w:pPr>
        <w:pStyle w:val="Heading2"/>
      </w:pPr>
      <w:r>
        <w:t xml:space="preserve">METODOLOGIE DIDATTICHE</w:t>
      </w:r>
    </w:p>
    <w:p>
      <w:pPr>
        <w:pStyle w:val="FirstParagraph"/>
      </w:pPr>
      <w:r>
        <w:t xml:space="preserve">Lezioni guidate, utilizzo di schemi e mappe concettuali, semplificazione dei contenuti, attività di ripasso strutturato.</w:t>
      </w:r>
    </w:p>
    <w:p>
      <w:r>
        <w:pict>
          <v:rect style="width:0;height:1.5pt" o:hralign="center" o:hrstd="t" o:hr="t"/>
        </w:pict>
      </w:r>
    </w:p>
    <w:bookmarkEnd w:id="23"/>
    <w:bookmarkStart w:id="24" w:name="strumenti-e-misure-pdp"/>
    <w:p>
      <w:pPr>
        <w:pStyle w:val="Heading2"/>
      </w:pPr>
      <w:r>
        <w:t xml:space="preserve">STRUMENTI E MISURE (PDP)</w:t>
      </w:r>
    </w:p>
    <w:p>
      <w:pPr>
        <w:pStyle w:val="FirstParagraph"/>
      </w:pPr>
      <w:r>
        <w:t xml:space="preserve">Utilizzo di mappe concettuali e schemi, supporti digitali, riduzione del carico cognitivo, tempi aggiuntivi nelle verifiche, valutazione centrata sui contenuti essenziali.</w:t>
      </w:r>
    </w:p>
    <w:p>
      <w:r>
        <w:pict>
          <v:rect style="width:0;height:1.5pt" o:hralign="center" o:hrstd="t" o:hr="t"/>
        </w:pict>
      </w:r>
    </w:p>
    <w:bookmarkEnd w:id="24"/>
    <w:bookmarkStart w:id="25" w:name="criteri-di-valutazione"/>
    <w:p>
      <w:pPr>
        <w:pStyle w:val="Heading2"/>
      </w:pPr>
      <w:r>
        <w:t xml:space="preserve">CRITERI DI VALUTAZIONE</w:t>
      </w:r>
    </w:p>
    <w:p>
      <w:pPr>
        <w:pStyle w:val="FirstParagraph"/>
      </w:pPr>
      <w:r>
        <w:t xml:space="preserve">Valutazione basata sulla comprensione dei concetti fondamentali, sulla capacità di esposizione semplice e sull’uso essenziale del linguaggio tecnico.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2026-04-21T09:47:13Z</dcterms:created>
  <dcterms:modified xsi:type="dcterms:W3CDTF">2026-04-21T09:47:13Z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