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DFD8B" w14:textId="77777777" w:rsidR="008739B9" w:rsidRPr="00EA742D" w:rsidRDefault="001B55D3" w:rsidP="003F7615">
      <w:pPr>
        <w:pStyle w:val="Heading1"/>
        <w:jc w:val="center"/>
        <w:rPr>
          <w:rFonts w:asciiTheme="minorBidi" w:hAnsiTheme="minorBidi" w:cstheme="minorBidi"/>
          <w:color w:val="3C3C3C"/>
        </w:rPr>
      </w:pPr>
      <w:r w:rsidRPr="00EA742D">
        <w:rPr>
          <w:rFonts w:asciiTheme="minorBidi" w:hAnsiTheme="minorBidi" w:cstheme="minorBidi"/>
          <w:color w:val="3C3C3C"/>
        </w:rPr>
        <w:t>Case Study: DORA Compliance Review</w:t>
      </w:r>
    </w:p>
    <w:p w14:paraId="17E4BB87" w14:textId="77777777" w:rsidR="008739B9" w:rsidRPr="003F7615" w:rsidRDefault="001B55D3">
      <w:pPr>
        <w:pStyle w:val="Heading2"/>
        <w:rPr>
          <w:rFonts w:asciiTheme="minorBidi" w:hAnsiTheme="minorBidi" w:cstheme="minorBidi"/>
          <w:color w:val="0697B7"/>
        </w:rPr>
      </w:pPr>
      <w:r w:rsidRPr="003F7615">
        <w:rPr>
          <w:rFonts w:asciiTheme="minorBidi" w:hAnsiTheme="minorBidi" w:cstheme="minorBidi"/>
          <w:color w:val="0697B7"/>
        </w:rPr>
        <w:t>Scenario</w:t>
      </w:r>
    </w:p>
    <w:p w14:paraId="5AE3D5D5" w14:textId="77777777" w:rsidR="003F7615" w:rsidRPr="003F7615" w:rsidRDefault="003F7615" w:rsidP="003F7615">
      <w:pPr>
        <w:pStyle w:val="Heading2"/>
        <w:jc w:val="both"/>
        <w:rPr>
          <w:rFonts w:asciiTheme="minorBidi" w:eastAsiaTheme="minorEastAsia" w:hAnsiTheme="minorBidi" w:cstheme="minorBidi"/>
          <w:b w:val="0"/>
          <w:bCs w:val="0"/>
          <w:color w:val="3C3C3C"/>
          <w:sz w:val="22"/>
          <w:szCs w:val="22"/>
        </w:rPr>
      </w:pPr>
      <w:r w:rsidRPr="003F7615">
        <w:rPr>
          <w:rFonts w:asciiTheme="minorBidi" w:eastAsiaTheme="minorEastAsia" w:hAnsiTheme="minorBidi" w:cstheme="minorBidi"/>
          <w:b w:val="0"/>
          <w:bCs w:val="0"/>
          <w:color w:val="3C3C3C"/>
          <w:sz w:val="22"/>
          <w:szCs w:val="22"/>
        </w:rPr>
        <w:t>You have been assigned to review client policies to ensure their adherence to the Digital Operational Resilience Act (DORA). The client, a financial institution, must update its policies to comply with DORA requirements. Your objective is to identify any deficiencies within the current policies and provide recommendations on how to amend them for full compliance with DORA.</w:t>
      </w:r>
    </w:p>
    <w:p w14:paraId="02136655" w14:textId="6EEB7B3D" w:rsidR="008739B9" w:rsidRPr="003F7615" w:rsidRDefault="001B55D3">
      <w:pPr>
        <w:pStyle w:val="Heading2"/>
        <w:rPr>
          <w:rFonts w:asciiTheme="minorBidi" w:hAnsiTheme="minorBidi" w:cstheme="minorBidi"/>
          <w:color w:val="0697B7"/>
        </w:rPr>
      </w:pPr>
      <w:r w:rsidRPr="003F7615">
        <w:rPr>
          <w:rFonts w:asciiTheme="minorBidi" w:hAnsiTheme="minorBidi" w:cstheme="minorBidi"/>
          <w:color w:val="0697B7"/>
        </w:rPr>
        <w:t>Objectives</w:t>
      </w:r>
    </w:p>
    <w:p w14:paraId="3663F775" w14:textId="77777777" w:rsidR="003F7615" w:rsidRPr="003F7615" w:rsidRDefault="001B55D3" w:rsidP="003F7615">
      <w:pPr>
        <w:pStyle w:val="ListParagraph"/>
        <w:numPr>
          <w:ilvl w:val="0"/>
          <w:numId w:val="13"/>
        </w:numPr>
        <w:spacing w:after="160" w:line="259" w:lineRule="auto"/>
        <w:jc w:val="both"/>
        <w:rPr>
          <w:rFonts w:asciiTheme="minorBidi" w:eastAsiaTheme="minorHAnsi" w:hAnsiTheme="minorBidi"/>
          <w:color w:val="262626" w:themeColor="text1" w:themeTint="D9"/>
          <w:kern w:val="2"/>
          <w:lang/>
          <w14:ligatures w14:val="standardContextual"/>
        </w:rPr>
      </w:pPr>
      <w:r w:rsidRPr="003F7615">
        <w:rPr>
          <w:rFonts w:asciiTheme="minorBidi" w:eastAsiaTheme="minorHAnsi" w:hAnsiTheme="minorBidi"/>
          <w:color w:val="262626" w:themeColor="text1" w:themeTint="D9"/>
          <w:kern w:val="2"/>
          <w:lang/>
          <w14:ligatures w14:val="standardContextual"/>
        </w:rPr>
        <w:t>Identify missing elements in client policies based on DORA requirements.</w:t>
      </w:r>
    </w:p>
    <w:p w14:paraId="3D4985FF" w14:textId="4F457345" w:rsidR="008739B9" w:rsidRPr="003F7615" w:rsidRDefault="001B55D3" w:rsidP="003F7615">
      <w:pPr>
        <w:pStyle w:val="ListParagraph"/>
        <w:numPr>
          <w:ilvl w:val="0"/>
          <w:numId w:val="13"/>
        </w:numPr>
        <w:spacing w:after="160" w:line="259" w:lineRule="auto"/>
        <w:jc w:val="both"/>
        <w:rPr>
          <w:rFonts w:asciiTheme="minorBidi" w:eastAsiaTheme="minorHAnsi" w:hAnsiTheme="minorBidi"/>
          <w:color w:val="262626" w:themeColor="text1" w:themeTint="D9"/>
          <w:kern w:val="2"/>
          <w:lang/>
          <w14:ligatures w14:val="standardContextual"/>
        </w:rPr>
      </w:pPr>
      <w:r w:rsidRPr="003F7615">
        <w:rPr>
          <w:rFonts w:asciiTheme="minorBidi" w:eastAsiaTheme="minorHAnsi" w:hAnsiTheme="minorBidi"/>
          <w:color w:val="262626" w:themeColor="text1" w:themeTint="D9"/>
          <w:kern w:val="2"/>
          <w:lang/>
          <w14:ligatures w14:val="standardContextual"/>
        </w:rPr>
        <w:t>Recommend amendments to ensure compliance with DORA.</w:t>
      </w:r>
    </w:p>
    <w:p w14:paraId="48A66D8B" w14:textId="77777777" w:rsidR="008739B9" w:rsidRPr="003F7615" w:rsidRDefault="001B55D3">
      <w:pPr>
        <w:pStyle w:val="Heading2"/>
        <w:rPr>
          <w:rFonts w:asciiTheme="minorBidi" w:hAnsiTheme="minorBidi" w:cstheme="minorBidi"/>
          <w:color w:val="0697B7"/>
        </w:rPr>
      </w:pPr>
      <w:r w:rsidRPr="003F7615">
        <w:rPr>
          <w:rFonts w:asciiTheme="minorBidi" w:hAnsiTheme="minorBidi" w:cstheme="minorBidi"/>
          <w:color w:val="0697B7"/>
        </w:rPr>
        <w:t>Specific Tasks</w:t>
      </w:r>
    </w:p>
    <w:p w14:paraId="217F2290" w14:textId="77777777" w:rsidR="003F7615" w:rsidRPr="003F7615" w:rsidRDefault="001B55D3" w:rsidP="003F7615">
      <w:pPr>
        <w:pStyle w:val="ListParagraph"/>
        <w:numPr>
          <w:ilvl w:val="0"/>
          <w:numId w:val="14"/>
        </w:numPr>
        <w:rPr>
          <w:rFonts w:asciiTheme="minorBidi" w:hAnsiTheme="minorBidi"/>
          <w:color w:val="262626" w:themeColor="text1" w:themeTint="D9"/>
        </w:rPr>
      </w:pPr>
      <w:r w:rsidRPr="003F7615">
        <w:rPr>
          <w:rFonts w:asciiTheme="minorBidi" w:hAnsiTheme="minorBidi"/>
          <w:color w:val="262626" w:themeColor="text1" w:themeTint="D9"/>
        </w:rPr>
        <w:t>Review the client's existing policies and compare them against DORA requirements.</w:t>
      </w:r>
    </w:p>
    <w:p w14:paraId="09AABD65" w14:textId="77777777" w:rsidR="003F7615" w:rsidRPr="003F7615" w:rsidRDefault="001B55D3" w:rsidP="003F7615">
      <w:pPr>
        <w:pStyle w:val="ListParagraph"/>
        <w:numPr>
          <w:ilvl w:val="0"/>
          <w:numId w:val="14"/>
        </w:numPr>
        <w:rPr>
          <w:rFonts w:asciiTheme="minorBidi" w:hAnsiTheme="minorBidi"/>
          <w:color w:val="262626" w:themeColor="text1" w:themeTint="D9"/>
        </w:rPr>
      </w:pPr>
      <w:r w:rsidRPr="003F7615">
        <w:rPr>
          <w:rFonts w:asciiTheme="minorBidi" w:hAnsiTheme="minorBidi"/>
          <w:color w:val="262626" w:themeColor="text1" w:themeTint="D9"/>
        </w:rPr>
        <w:t>Identify any gaps or missing elements in the policies that need to be addressed.</w:t>
      </w:r>
    </w:p>
    <w:p w14:paraId="33689A34" w14:textId="77777777" w:rsidR="003F7615" w:rsidRPr="003F7615" w:rsidRDefault="001B55D3" w:rsidP="003F7615">
      <w:pPr>
        <w:pStyle w:val="ListParagraph"/>
        <w:numPr>
          <w:ilvl w:val="0"/>
          <w:numId w:val="14"/>
        </w:numPr>
        <w:rPr>
          <w:rFonts w:asciiTheme="minorBidi" w:hAnsiTheme="minorBidi"/>
          <w:color w:val="262626" w:themeColor="text1" w:themeTint="D9"/>
        </w:rPr>
      </w:pPr>
      <w:r w:rsidRPr="003F7615">
        <w:rPr>
          <w:rFonts w:asciiTheme="minorBidi" w:hAnsiTheme="minorBidi"/>
          <w:color w:val="262626" w:themeColor="text1" w:themeTint="D9"/>
        </w:rPr>
        <w:t>Provide detailed recommendations on how to amend the policies to ensure they are fully compliant with DORA.</w:t>
      </w:r>
    </w:p>
    <w:p w14:paraId="33C5392D" w14:textId="3F3D72C4" w:rsidR="008739B9" w:rsidRDefault="001B55D3" w:rsidP="003F7615">
      <w:pPr>
        <w:pStyle w:val="ListParagraph"/>
        <w:numPr>
          <w:ilvl w:val="0"/>
          <w:numId w:val="14"/>
        </w:numPr>
        <w:rPr>
          <w:rFonts w:asciiTheme="minorBidi" w:hAnsiTheme="minorBidi"/>
          <w:color w:val="262626" w:themeColor="text1" w:themeTint="D9"/>
        </w:rPr>
      </w:pPr>
      <w:r w:rsidRPr="003F7615">
        <w:rPr>
          <w:rFonts w:asciiTheme="minorBidi" w:hAnsiTheme="minorBidi"/>
          <w:color w:val="262626" w:themeColor="text1" w:themeTint="D9"/>
        </w:rPr>
        <w:t>Outline a plan for implementing the recommended changes, including any necessary steps or resources.</w:t>
      </w:r>
    </w:p>
    <w:p w14:paraId="0AB61583" w14:textId="1CAAF1AE" w:rsidR="00E031F3" w:rsidRPr="003F7615" w:rsidRDefault="00DC24C0" w:rsidP="003F7615">
      <w:pPr>
        <w:pStyle w:val="ListParagraph"/>
        <w:numPr>
          <w:ilvl w:val="0"/>
          <w:numId w:val="14"/>
        </w:numPr>
        <w:rPr>
          <w:rFonts w:asciiTheme="minorBidi" w:hAnsiTheme="minorBidi"/>
          <w:color w:val="262626" w:themeColor="text1" w:themeTint="D9"/>
        </w:rPr>
      </w:pPr>
      <w:r>
        <w:rPr>
          <w:rFonts w:asciiTheme="minorBidi" w:hAnsiTheme="minorBidi"/>
          <w:color w:val="262626" w:themeColor="text1" w:themeTint="D9"/>
        </w:rPr>
        <w:t>The out</w:t>
      </w:r>
      <w:r w:rsidR="007E2ADF">
        <w:rPr>
          <w:rFonts w:asciiTheme="minorBidi" w:hAnsiTheme="minorBidi"/>
          <w:color w:val="262626" w:themeColor="text1" w:themeTint="D9"/>
        </w:rPr>
        <w:t>put</w:t>
      </w:r>
      <w:r>
        <w:rPr>
          <w:rFonts w:asciiTheme="minorBidi" w:hAnsiTheme="minorBidi"/>
          <w:color w:val="262626" w:themeColor="text1" w:themeTint="D9"/>
        </w:rPr>
        <w:t xml:space="preserve"> should be</w:t>
      </w:r>
      <w:r w:rsidR="00530B4F">
        <w:rPr>
          <w:rFonts w:asciiTheme="minorBidi" w:hAnsiTheme="minorBidi"/>
          <w:color w:val="262626" w:themeColor="text1" w:themeTint="D9"/>
        </w:rPr>
        <w:t xml:space="preserve"> provided</w:t>
      </w:r>
      <w:r>
        <w:rPr>
          <w:rFonts w:asciiTheme="minorBidi" w:hAnsiTheme="minorBidi"/>
          <w:color w:val="262626" w:themeColor="text1" w:themeTint="D9"/>
        </w:rPr>
        <w:t xml:space="preserve"> in word format.</w:t>
      </w:r>
    </w:p>
    <w:p w14:paraId="302F385C" w14:textId="77777777" w:rsidR="008739B9" w:rsidRPr="003F7615" w:rsidRDefault="001B55D3">
      <w:pPr>
        <w:pStyle w:val="Heading2"/>
        <w:rPr>
          <w:rFonts w:asciiTheme="minorBidi" w:hAnsiTheme="minorBidi" w:cstheme="minorBidi"/>
          <w:color w:val="0697B7"/>
        </w:rPr>
      </w:pPr>
      <w:r w:rsidRPr="003F7615">
        <w:rPr>
          <w:rFonts w:asciiTheme="minorBidi" w:hAnsiTheme="minorBidi" w:cstheme="minorBidi"/>
          <w:color w:val="0697B7"/>
        </w:rPr>
        <w:t>Baseline Preapproved Policy Templates</w:t>
      </w:r>
    </w:p>
    <w:p w14:paraId="1E91E010" w14:textId="77777777" w:rsidR="008739B9" w:rsidRPr="003F7615" w:rsidRDefault="001B55D3">
      <w:pPr>
        <w:rPr>
          <w:rFonts w:asciiTheme="minorBidi" w:hAnsiTheme="minorBidi"/>
          <w:color w:val="262626" w:themeColor="text1" w:themeTint="D9"/>
        </w:rPr>
      </w:pPr>
      <w:r w:rsidRPr="003F7615">
        <w:rPr>
          <w:rFonts w:asciiTheme="minorBidi" w:hAnsiTheme="minorBidi"/>
          <w:color w:val="262626" w:themeColor="text1" w:themeTint="D9"/>
        </w:rPr>
        <w:t>To ensure consistency and alignment in all recommendations, please refer to the following baseline preapproved policy templates. These templates serve as a reference for what a compliant policy section might look like under DORA.</w:t>
      </w:r>
    </w:p>
    <w:p w14:paraId="5D4D99F5" w14:textId="77777777" w:rsidR="008739B9" w:rsidRPr="003F7615" w:rsidRDefault="001B55D3" w:rsidP="003F7615">
      <w:pPr>
        <w:pStyle w:val="Heading3"/>
        <w:spacing w:before="0" w:line="240" w:lineRule="auto"/>
        <w:rPr>
          <w:rFonts w:asciiTheme="minorBidi" w:hAnsiTheme="minorBidi" w:cstheme="minorBidi"/>
          <w:color w:val="0697B7"/>
        </w:rPr>
      </w:pPr>
      <w:r w:rsidRPr="003F7615">
        <w:rPr>
          <w:rFonts w:asciiTheme="minorBidi" w:hAnsiTheme="minorBidi" w:cstheme="minorBidi"/>
          <w:color w:val="0697B7"/>
        </w:rPr>
        <w:t>Example Template: Incident Response Policy</w:t>
      </w:r>
    </w:p>
    <w:p w14:paraId="4B113456" w14:textId="77777777" w:rsidR="003F7615" w:rsidRPr="003F7615" w:rsidRDefault="003F7615" w:rsidP="003F7615">
      <w:pPr>
        <w:spacing w:after="0" w:line="240" w:lineRule="auto"/>
        <w:rPr>
          <w:rFonts w:asciiTheme="minorBidi" w:hAnsiTheme="minorBidi"/>
          <w:b/>
          <w:bCs/>
          <w:color w:val="262626" w:themeColor="text1" w:themeTint="D9"/>
        </w:rPr>
      </w:pPr>
    </w:p>
    <w:p w14:paraId="266DD6C8" w14:textId="5FE40E9B" w:rsidR="003F7615" w:rsidRPr="003F7615" w:rsidRDefault="001B55D3" w:rsidP="003F7615">
      <w:pPr>
        <w:spacing w:after="0" w:line="240" w:lineRule="auto"/>
        <w:rPr>
          <w:rFonts w:asciiTheme="minorBidi" w:hAnsiTheme="minorBidi"/>
          <w:b/>
          <w:bCs/>
        </w:rPr>
      </w:pPr>
      <w:r w:rsidRPr="003F7615">
        <w:rPr>
          <w:rFonts w:asciiTheme="minorBidi" w:hAnsiTheme="minorBidi"/>
          <w:b/>
          <w:bCs/>
          <w:color w:val="262626" w:themeColor="text1" w:themeTint="D9"/>
        </w:rPr>
        <w:t>Policy Title</w:t>
      </w:r>
      <w:r w:rsidRPr="003F7615">
        <w:rPr>
          <w:rFonts w:asciiTheme="minorBidi" w:hAnsiTheme="minorBidi"/>
          <w:color w:val="262626" w:themeColor="text1" w:themeTint="D9"/>
        </w:rPr>
        <w:t>: Incident Response Policy</w:t>
      </w:r>
      <w:r w:rsidRPr="003F7615">
        <w:rPr>
          <w:rFonts w:asciiTheme="minorBidi" w:hAnsiTheme="minorBidi"/>
        </w:rPr>
        <w:br/>
      </w:r>
    </w:p>
    <w:p w14:paraId="2B3FCB8B" w14:textId="1DECF488" w:rsidR="003F7615" w:rsidRPr="003F7615" w:rsidRDefault="001B55D3" w:rsidP="003F7615">
      <w:pPr>
        <w:spacing w:after="0" w:line="240" w:lineRule="auto"/>
        <w:rPr>
          <w:rFonts w:asciiTheme="minorBidi" w:hAnsiTheme="minorBidi"/>
          <w:color w:val="262626" w:themeColor="text1" w:themeTint="D9"/>
        </w:rPr>
      </w:pPr>
      <w:r w:rsidRPr="003F7615">
        <w:rPr>
          <w:rFonts w:asciiTheme="minorBidi" w:hAnsiTheme="minorBidi"/>
          <w:b/>
          <w:bCs/>
          <w:color w:val="262626" w:themeColor="text1" w:themeTint="D9"/>
        </w:rPr>
        <w:t>Policy Objective</w:t>
      </w:r>
      <w:r w:rsidRPr="003F7615">
        <w:rPr>
          <w:rFonts w:asciiTheme="minorBidi" w:hAnsiTheme="minorBidi"/>
          <w:color w:val="262626" w:themeColor="text1" w:themeTint="D9"/>
        </w:rPr>
        <w:t>: To establish a framework for responding to cybersecurity incidents in compliance with DORA.</w:t>
      </w:r>
      <w:r w:rsidRPr="003F7615">
        <w:rPr>
          <w:rFonts w:asciiTheme="minorBidi" w:hAnsiTheme="minorBidi"/>
          <w:color w:val="262626" w:themeColor="text1" w:themeTint="D9"/>
        </w:rPr>
        <w:br/>
      </w:r>
    </w:p>
    <w:p w14:paraId="7764A1D4" w14:textId="77777777" w:rsidR="003F7615" w:rsidRPr="003F7615" w:rsidRDefault="001B55D3" w:rsidP="003F7615">
      <w:pPr>
        <w:spacing w:after="0" w:line="240" w:lineRule="auto"/>
        <w:rPr>
          <w:rFonts w:asciiTheme="minorBidi" w:hAnsiTheme="minorBidi"/>
          <w:color w:val="262626" w:themeColor="text1" w:themeTint="D9"/>
        </w:rPr>
      </w:pPr>
      <w:r w:rsidRPr="003F7615">
        <w:rPr>
          <w:rFonts w:asciiTheme="minorBidi" w:hAnsiTheme="minorBidi"/>
          <w:b/>
          <w:bCs/>
          <w:color w:val="262626" w:themeColor="text1" w:themeTint="D9"/>
        </w:rPr>
        <w:t>Scope</w:t>
      </w:r>
      <w:r w:rsidRPr="003F7615">
        <w:rPr>
          <w:rFonts w:asciiTheme="minorBidi" w:hAnsiTheme="minorBidi"/>
          <w:color w:val="262626" w:themeColor="text1" w:themeTint="D9"/>
        </w:rPr>
        <w:t>: This policy applies to all employees, contractors, and third-party service providers.</w:t>
      </w:r>
      <w:r w:rsidRPr="003F7615">
        <w:rPr>
          <w:rFonts w:asciiTheme="minorBidi" w:hAnsiTheme="minorBidi"/>
          <w:color w:val="262626" w:themeColor="text1" w:themeTint="D9"/>
        </w:rPr>
        <w:br/>
      </w:r>
    </w:p>
    <w:p w14:paraId="6DD22C3F" w14:textId="115FE598" w:rsidR="003F7615" w:rsidRDefault="001B55D3" w:rsidP="003F7615">
      <w:pPr>
        <w:spacing w:after="0" w:line="240" w:lineRule="auto"/>
        <w:rPr>
          <w:rFonts w:asciiTheme="minorBidi" w:hAnsiTheme="minorBidi"/>
          <w:color w:val="262626" w:themeColor="text1" w:themeTint="D9"/>
        </w:rPr>
      </w:pPr>
      <w:r w:rsidRPr="003F7615">
        <w:rPr>
          <w:rFonts w:asciiTheme="minorBidi" w:hAnsiTheme="minorBidi"/>
          <w:b/>
          <w:bCs/>
          <w:color w:val="262626" w:themeColor="text1" w:themeTint="D9"/>
        </w:rPr>
        <w:t>Policy Statement</w:t>
      </w:r>
      <w:r w:rsidRPr="003F7615">
        <w:rPr>
          <w:rFonts w:asciiTheme="minorBidi" w:hAnsiTheme="minorBidi"/>
          <w:color w:val="262626" w:themeColor="text1" w:themeTint="D9"/>
        </w:rPr>
        <w:t>: The organi</w:t>
      </w:r>
      <w:r w:rsidR="003F7615" w:rsidRPr="003F7615">
        <w:rPr>
          <w:rFonts w:asciiTheme="minorBidi" w:hAnsiTheme="minorBidi"/>
          <w:color w:val="262626" w:themeColor="text1" w:themeTint="D9"/>
        </w:rPr>
        <w:t>s</w:t>
      </w:r>
      <w:r w:rsidRPr="003F7615">
        <w:rPr>
          <w:rFonts w:asciiTheme="minorBidi" w:hAnsiTheme="minorBidi"/>
          <w:color w:val="262626" w:themeColor="text1" w:themeTint="D9"/>
        </w:rPr>
        <w:t>ation shall establish and maintain an incident response plan that includes the following elements:</w:t>
      </w:r>
    </w:p>
    <w:p w14:paraId="08A4C4C5" w14:textId="77777777" w:rsidR="003F7615" w:rsidRPr="003F7615" w:rsidRDefault="003F7615" w:rsidP="003F7615">
      <w:pPr>
        <w:spacing w:after="0" w:line="240" w:lineRule="auto"/>
        <w:rPr>
          <w:rFonts w:asciiTheme="minorBidi" w:hAnsiTheme="minorBidi"/>
          <w:color w:val="262626" w:themeColor="text1" w:themeTint="D9"/>
        </w:rPr>
      </w:pPr>
    </w:p>
    <w:p w14:paraId="34F13ECB" w14:textId="77777777" w:rsidR="003F7615" w:rsidRDefault="001B55D3" w:rsidP="003F7615">
      <w:pPr>
        <w:pStyle w:val="ListParagraph"/>
        <w:numPr>
          <w:ilvl w:val="0"/>
          <w:numId w:val="15"/>
        </w:numPr>
        <w:spacing w:after="0" w:line="240" w:lineRule="auto"/>
        <w:rPr>
          <w:rFonts w:asciiTheme="minorBidi" w:hAnsiTheme="minorBidi"/>
          <w:color w:val="262626" w:themeColor="text1" w:themeTint="D9"/>
        </w:rPr>
      </w:pPr>
      <w:r w:rsidRPr="003F7615">
        <w:rPr>
          <w:rFonts w:asciiTheme="minorBidi" w:hAnsiTheme="minorBidi"/>
          <w:color w:val="262626" w:themeColor="text1" w:themeTint="D9"/>
        </w:rPr>
        <w:t>Incident identification and classification</w:t>
      </w:r>
    </w:p>
    <w:p w14:paraId="63EB2BC9" w14:textId="77777777" w:rsidR="003F7615" w:rsidRDefault="001B55D3" w:rsidP="003F7615">
      <w:pPr>
        <w:pStyle w:val="ListParagraph"/>
        <w:numPr>
          <w:ilvl w:val="0"/>
          <w:numId w:val="15"/>
        </w:numPr>
        <w:spacing w:after="0" w:line="240" w:lineRule="auto"/>
        <w:rPr>
          <w:rFonts w:asciiTheme="minorBidi" w:hAnsiTheme="minorBidi"/>
          <w:color w:val="262626" w:themeColor="text1" w:themeTint="D9"/>
        </w:rPr>
      </w:pPr>
      <w:r w:rsidRPr="003F7615">
        <w:rPr>
          <w:rFonts w:asciiTheme="minorBidi" w:hAnsiTheme="minorBidi"/>
          <w:color w:val="262626" w:themeColor="text1" w:themeTint="D9"/>
        </w:rPr>
        <w:t>Incident reporting and communication</w:t>
      </w:r>
    </w:p>
    <w:p w14:paraId="60330848" w14:textId="77777777" w:rsidR="003F7615" w:rsidRDefault="001B55D3" w:rsidP="003F7615">
      <w:pPr>
        <w:pStyle w:val="ListParagraph"/>
        <w:numPr>
          <w:ilvl w:val="0"/>
          <w:numId w:val="15"/>
        </w:numPr>
        <w:spacing w:after="0" w:line="240" w:lineRule="auto"/>
        <w:rPr>
          <w:rFonts w:asciiTheme="minorBidi" w:hAnsiTheme="minorBidi"/>
          <w:color w:val="262626" w:themeColor="text1" w:themeTint="D9"/>
        </w:rPr>
      </w:pPr>
      <w:r w:rsidRPr="003F7615">
        <w:rPr>
          <w:rFonts w:asciiTheme="minorBidi" w:hAnsiTheme="minorBidi"/>
          <w:color w:val="262626" w:themeColor="text1" w:themeTint="D9"/>
        </w:rPr>
        <w:t>Incident containment and eradication</w:t>
      </w:r>
    </w:p>
    <w:p w14:paraId="40E4A053" w14:textId="77777777" w:rsidR="003F7615" w:rsidRDefault="001B55D3" w:rsidP="003F7615">
      <w:pPr>
        <w:pStyle w:val="ListParagraph"/>
        <w:numPr>
          <w:ilvl w:val="0"/>
          <w:numId w:val="15"/>
        </w:numPr>
        <w:spacing w:after="0" w:line="240" w:lineRule="auto"/>
        <w:rPr>
          <w:rFonts w:asciiTheme="minorBidi" w:hAnsiTheme="minorBidi"/>
          <w:color w:val="262626" w:themeColor="text1" w:themeTint="D9"/>
        </w:rPr>
      </w:pPr>
      <w:r w:rsidRPr="003F7615">
        <w:rPr>
          <w:rFonts w:asciiTheme="minorBidi" w:hAnsiTheme="minorBidi"/>
          <w:color w:val="262626" w:themeColor="text1" w:themeTint="D9"/>
        </w:rPr>
        <w:t>Incident recovery and post-incident analysis</w:t>
      </w:r>
    </w:p>
    <w:p w14:paraId="346A900E" w14:textId="2208A668" w:rsidR="003F7615" w:rsidRPr="003F7615" w:rsidRDefault="001B55D3" w:rsidP="003F7615">
      <w:pPr>
        <w:pStyle w:val="ListParagraph"/>
        <w:numPr>
          <w:ilvl w:val="0"/>
          <w:numId w:val="15"/>
        </w:numPr>
        <w:spacing w:after="0" w:line="240" w:lineRule="auto"/>
        <w:rPr>
          <w:rFonts w:asciiTheme="minorBidi" w:hAnsiTheme="minorBidi"/>
          <w:color w:val="262626" w:themeColor="text1" w:themeTint="D9"/>
        </w:rPr>
      </w:pPr>
      <w:r w:rsidRPr="003F7615">
        <w:rPr>
          <w:rFonts w:asciiTheme="minorBidi" w:hAnsiTheme="minorBidi"/>
          <w:color w:val="262626" w:themeColor="text1" w:themeTint="D9"/>
        </w:rPr>
        <w:t>Regular testing and updating of the incident response plan</w:t>
      </w:r>
      <w:r w:rsidRPr="003F7615">
        <w:rPr>
          <w:rFonts w:asciiTheme="minorBidi" w:hAnsiTheme="minorBidi"/>
          <w:color w:val="262626" w:themeColor="text1" w:themeTint="D9"/>
        </w:rPr>
        <w:br/>
      </w:r>
    </w:p>
    <w:p w14:paraId="6A0CC0B5" w14:textId="77777777" w:rsidR="003F7615" w:rsidRPr="003F7615" w:rsidRDefault="001B55D3" w:rsidP="003F7615">
      <w:pPr>
        <w:spacing w:after="0" w:line="240" w:lineRule="auto"/>
        <w:rPr>
          <w:rFonts w:asciiTheme="minorBidi" w:hAnsiTheme="minorBidi"/>
          <w:color w:val="262626" w:themeColor="text1" w:themeTint="D9"/>
        </w:rPr>
      </w:pPr>
      <w:r w:rsidRPr="003F7615">
        <w:rPr>
          <w:rFonts w:asciiTheme="minorBidi" w:hAnsiTheme="minorBidi"/>
          <w:b/>
          <w:bCs/>
          <w:color w:val="262626" w:themeColor="text1" w:themeTint="D9"/>
        </w:rPr>
        <w:t>Responsibilities</w:t>
      </w:r>
      <w:r w:rsidRPr="003F7615">
        <w:rPr>
          <w:rFonts w:asciiTheme="minorBidi" w:hAnsiTheme="minorBidi"/>
          <w:color w:val="262626" w:themeColor="text1" w:themeTint="D9"/>
        </w:rPr>
        <w:t>: The Chief Information Security Officer (CISO) is responsible for the implementation and oversight of this policy.</w:t>
      </w:r>
      <w:r w:rsidRPr="003F7615">
        <w:rPr>
          <w:rFonts w:asciiTheme="minorBidi" w:hAnsiTheme="minorBidi"/>
          <w:color w:val="262626" w:themeColor="text1" w:themeTint="D9"/>
        </w:rPr>
        <w:br/>
      </w:r>
    </w:p>
    <w:sectPr w:rsidR="003F7615" w:rsidRPr="003F7615" w:rsidSect="003F7615">
      <w:headerReference w:type="default" r:id="rId8"/>
      <w:headerReference w:type="first" r:id="rId9"/>
      <w:pgSz w:w="12240" w:h="15840"/>
      <w:pgMar w:top="2694"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D7F10D" w14:textId="77777777" w:rsidR="003F7615" w:rsidRDefault="003F7615" w:rsidP="003F7615">
      <w:pPr>
        <w:spacing w:after="0" w:line="240" w:lineRule="auto"/>
      </w:pPr>
      <w:r>
        <w:separator/>
      </w:r>
    </w:p>
  </w:endnote>
  <w:endnote w:type="continuationSeparator" w:id="0">
    <w:p w14:paraId="7D0CA5FD" w14:textId="77777777" w:rsidR="003F7615" w:rsidRDefault="003F7615" w:rsidP="003F7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D596AC" w14:textId="77777777" w:rsidR="003F7615" w:rsidRDefault="003F7615" w:rsidP="003F7615">
      <w:pPr>
        <w:spacing w:after="0" w:line="240" w:lineRule="auto"/>
      </w:pPr>
      <w:r>
        <w:separator/>
      </w:r>
    </w:p>
  </w:footnote>
  <w:footnote w:type="continuationSeparator" w:id="0">
    <w:p w14:paraId="32A78776" w14:textId="77777777" w:rsidR="003F7615" w:rsidRDefault="003F7615" w:rsidP="003F76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8C12E" w14:textId="3253323A" w:rsidR="003F7615" w:rsidRPr="003F7615" w:rsidRDefault="003F7615">
    <w:pPr>
      <w:pStyle w:val="Header"/>
      <w:rPr>
        <w:rFonts w:asciiTheme="minorBidi" w:hAnsiTheme="minorBidi"/>
      </w:rPr>
    </w:pPr>
    <w:r>
      <w:rPr>
        <w:noProof/>
      </w:rPr>
      <w:drawing>
        <wp:anchor distT="0" distB="0" distL="114300" distR="114300" simplePos="0" relativeHeight="251661312" behindDoc="1" locked="0" layoutInCell="1" allowOverlap="1" wp14:anchorId="522BCB95" wp14:editId="7FA44851">
          <wp:simplePos x="0" y="0"/>
          <wp:positionH relativeFrom="page">
            <wp:posOffset>704850</wp:posOffset>
          </wp:positionH>
          <wp:positionV relativeFrom="paragraph">
            <wp:posOffset>-142875</wp:posOffset>
          </wp:positionV>
          <wp:extent cx="1865630" cy="668020"/>
          <wp:effectExtent l="0" t="0" r="1270" b="0"/>
          <wp:wrapTight wrapText="bothSides">
            <wp:wrapPolygon edited="0">
              <wp:start x="0" y="0"/>
              <wp:lineTo x="0" y="20943"/>
              <wp:lineTo x="21394" y="20943"/>
              <wp:lineTo x="21394" y="0"/>
              <wp:lineTo x="0" y="0"/>
            </wp:wrapPolygon>
          </wp:wrapTight>
          <wp:docPr id="1012953186" name="Picture 101295318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alphaModFix/>
                    <a:extLst>
                      <a:ext uri="{28A0092B-C50C-407E-A947-70E740481C1C}">
                        <a14:useLocalDpi xmlns:a14="http://schemas.microsoft.com/office/drawing/2010/main" val="0"/>
                      </a:ext>
                    </a:extLst>
                  </a:blip>
                  <a:stretch>
                    <a:fillRect/>
                  </a:stretch>
                </pic:blipFill>
                <pic:spPr>
                  <a:xfrm>
                    <a:off x="0" y="0"/>
                    <a:ext cx="1865630" cy="668020"/>
                  </a:xfrm>
                  <a:prstGeom prst="rect">
                    <a:avLst/>
                  </a:prstGeom>
                </pic:spPr>
              </pic:pic>
            </a:graphicData>
          </a:graphic>
          <wp14:sizeRelH relativeFrom="page">
            <wp14:pctWidth>0</wp14:pctWidth>
          </wp14:sizeRelH>
          <wp14:sizeRelV relativeFrom="page">
            <wp14:pctHeight>0</wp14:pctHeight>
          </wp14:sizeRelV>
        </wp:anchor>
      </w:drawing>
    </w:r>
    <w:r>
      <w:tab/>
    </w:r>
    <w:r>
      <w:tab/>
    </w:r>
    <w:r w:rsidRPr="003F7615">
      <w:rPr>
        <w:rFonts w:asciiTheme="minorBidi" w:hAnsiTheme="minorBidi"/>
        <w:color w:val="262626" w:themeColor="text1" w:themeTint="D9"/>
      </w:rPr>
      <w:t>Private &amp; 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140FB" w14:textId="1EB5BB77" w:rsidR="003F7615" w:rsidRDefault="003F7615">
    <w:pPr>
      <w:pStyle w:val="Header"/>
    </w:pPr>
    <w:r>
      <w:rPr>
        <w:noProof/>
      </w:rPr>
      <w:drawing>
        <wp:anchor distT="0" distB="0" distL="114300" distR="114300" simplePos="0" relativeHeight="251659264" behindDoc="1" locked="0" layoutInCell="1" allowOverlap="1" wp14:anchorId="3CE58E09" wp14:editId="24FF17F1">
          <wp:simplePos x="0" y="0"/>
          <wp:positionH relativeFrom="column">
            <wp:posOffset>-1095185</wp:posOffset>
          </wp:positionH>
          <wp:positionV relativeFrom="paragraph">
            <wp:posOffset>-142875</wp:posOffset>
          </wp:positionV>
          <wp:extent cx="7559040" cy="10158985"/>
          <wp:effectExtent l="0" t="0" r="3810" b="0"/>
          <wp:wrapNone/>
          <wp:docPr id="1767084600" name="Picture 1767084600"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50400" name="Picture 1502950400" descr="A whit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t="4989"/>
                  <a:stretch/>
                </pic:blipFill>
                <pic:spPr bwMode="auto">
                  <a:xfrm>
                    <a:off x="0" y="0"/>
                    <a:ext cx="7559040" cy="10158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78D40A0"/>
    <w:multiLevelType w:val="hybridMultilevel"/>
    <w:tmpl w:val="E3FA74D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32A35E3F"/>
    <w:multiLevelType w:val="hybridMultilevel"/>
    <w:tmpl w:val="AF38754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38196893"/>
    <w:multiLevelType w:val="hybridMultilevel"/>
    <w:tmpl w:val="37A2CA0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3D883FA4"/>
    <w:multiLevelType w:val="hybridMultilevel"/>
    <w:tmpl w:val="5F0E0AD2"/>
    <w:lvl w:ilvl="0" w:tplc="68D05F3E">
      <w:start w:val="1"/>
      <w:numFmt w:val="bullet"/>
      <w:lvlText w:val=""/>
      <w:lvlJc w:val="left"/>
      <w:pPr>
        <w:ind w:left="720" w:hanging="360"/>
      </w:pPr>
      <w:rPr>
        <w:rFonts w:ascii="Symbol" w:hAnsi="Symbol" w:hint="default"/>
        <w:color w:val="0697B7"/>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D1C2314"/>
    <w:multiLevelType w:val="hybridMultilevel"/>
    <w:tmpl w:val="5FB05B16"/>
    <w:lvl w:ilvl="0" w:tplc="B3CAD092">
      <w:start w:val="1"/>
      <w:numFmt w:val="decimal"/>
      <w:lvlText w:val="%1."/>
      <w:lvlJc w:val="left"/>
      <w:pPr>
        <w:ind w:left="720" w:hanging="360"/>
      </w:pPr>
      <w:rPr>
        <w:rFonts w:hint="default"/>
        <w:color w:val="0697B7"/>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466509C"/>
    <w:multiLevelType w:val="hybridMultilevel"/>
    <w:tmpl w:val="823012B0"/>
    <w:lvl w:ilvl="0" w:tplc="2B4EAD44">
      <w:start w:val="1"/>
      <w:numFmt w:val="decimal"/>
      <w:lvlText w:val="%1."/>
      <w:lvlJc w:val="left"/>
      <w:pPr>
        <w:ind w:left="720" w:hanging="360"/>
      </w:pPr>
      <w:rPr>
        <w:rFonts w:hint="default"/>
        <w:color w:val="0697B7"/>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24531887">
    <w:abstractNumId w:val="8"/>
  </w:num>
  <w:num w:numId="2" w16cid:durableId="1032338795">
    <w:abstractNumId w:val="6"/>
  </w:num>
  <w:num w:numId="3" w16cid:durableId="894466001">
    <w:abstractNumId w:val="5"/>
  </w:num>
  <w:num w:numId="4" w16cid:durableId="1583836020">
    <w:abstractNumId w:val="4"/>
  </w:num>
  <w:num w:numId="5" w16cid:durableId="275675376">
    <w:abstractNumId w:val="7"/>
  </w:num>
  <w:num w:numId="6" w16cid:durableId="111093354">
    <w:abstractNumId w:val="3"/>
  </w:num>
  <w:num w:numId="7" w16cid:durableId="360865452">
    <w:abstractNumId w:val="2"/>
  </w:num>
  <w:num w:numId="8" w16cid:durableId="1355185275">
    <w:abstractNumId w:val="1"/>
  </w:num>
  <w:num w:numId="9" w16cid:durableId="2073846311">
    <w:abstractNumId w:val="0"/>
  </w:num>
  <w:num w:numId="10" w16cid:durableId="1181771753">
    <w:abstractNumId w:val="10"/>
  </w:num>
  <w:num w:numId="11" w16cid:durableId="1567492444">
    <w:abstractNumId w:val="11"/>
  </w:num>
  <w:num w:numId="12" w16cid:durableId="145510782">
    <w:abstractNumId w:val="9"/>
  </w:num>
  <w:num w:numId="13" w16cid:durableId="1019162633">
    <w:abstractNumId w:val="14"/>
  </w:num>
  <w:num w:numId="14" w16cid:durableId="1403716723">
    <w:abstractNumId w:val="13"/>
  </w:num>
  <w:num w:numId="15" w16cid:durableId="10062537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B55D3"/>
    <w:rsid w:val="0029639D"/>
    <w:rsid w:val="00326F90"/>
    <w:rsid w:val="00360F3E"/>
    <w:rsid w:val="003F7615"/>
    <w:rsid w:val="00530B4F"/>
    <w:rsid w:val="007829D0"/>
    <w:rsid w:val="007E2ADF"/>
    <w:rsid w:val="008739B9"/>
    <w:rsid w:val="00892124"/>
    <w:rsid w:val="00946194"/>
    <w:rsid w:val="00AA1D8D"/>
    <w:rsid w:val="00B47730"/>
    <w:rsid w:val="00CB0664"/>
    <w:rsid w:val="00DC24C0"/>
    <w:rsid w:val="00E031F3"/>
    <w:rsid w:val="00EA742D"/>
    <w:rsid w:val="00F00C62"/>
    <w:rsid w:val="00FC46F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08FE700"/>
  <w14:defaultImageDpi w14:val="300"/>
  <w15:docId w15:val="{F8892DC2-6617-417B-9E55-6318858D5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Adrian Dalli</cp:lastModifiedBy>
  <cp:revision>7</cp:revision>
  <dcterms:created xsi:type="dcterms:W3CDTF">2025-05-19T14:44:00Z</dcterms:created>
  <dcterms:modified xsi:type="dcterms:W3CDTF">2025-05-20T08:52:00Z</dcterms:modified>
  <cp:category/>
</cp:coreProperties>
</file>