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regulatory</w:t>
      </w:r>
      <w:r>
        <w:t xml:space="preserve"> </w:t>
      </w:r>
      <w:r>
        <w:t xml:space="preserve">genomics</w:t>
      </w:r>
      <w:r>
        <w:t xml:space="preserve"> </w:t>
      </w:r>
      <w:r>
        <w:t xml:space="preserve">data</w:t>
      </w:r>
      <w:r>
        <w:t xml:space="preserve"> </w:t>
      </w:r>
      <w:r>
        <w:t xml:space="preserve">to</w:t>
      </w:r>
      <w:r>
        <w:t xml:space="preserve"> </w:t>
      </w:r>
      <w:r>
        <w:t xml:space="preserve">interpret</w:t>
      </w:r>
      <w:r>
        <w:t xml:space="preserve"> </w:t>
      </w:r>
      <w:r>
        <w:t xml:space="preserve">the</w:t>
      </w:r>
      <w:r>
        <w:t xml:space="preserve"> </w:t>
      </w:r>
      <w:r>
        <w:t xml:space="preserve">function</w:t>
      </w:r>
      <w:r>
        <w:t xml:space="preserve"> </w:t>
      </w:r>
      <w:r>
        <w:t xml:space="preserve">of</w:t>
      </w:r>
      <w:r>
        <w:t xml:space="preserve"> </w:t>
      </w:r>
      <w:r>
        <w:t xml:space="preserve">disease</w:t>
      </w:r>
      <w:r>
        <w:t xml:space="preserve"> </w:t>
      </w:r>
      <w:r>
        <w:t xml:space="preserve">variants</w:t>
      </w:r>
      <w:r>
        <w:t xml:space="preserve"> </w:t>
      </w:r>
      <w:r>
        <w:t xml:space="preserve">and</w:t>
      </w:r>
      <w:r>
        <w:t xml:space="preserve"> </w:t>
      </w:r>
      <w:r>
        <w:t xml:space="preserve">prioritise</w:t>
      </w:r>
      <w:r>
        <w:t xml:space="preserve"> </w:t>
      </w:r>
      <w:r>
        <w:t xml:space="preserve">genes</w:t>
      </w:r>
      <w:r>
        <w:t xml:space="preserve"> </w:t>
      </w:r>
      <w:r>
        <w:t xml:space="preserve">from</w:t>
      </w:r>
      <w:r>
        <w:t xml:space="preserve"> </w:t>
      </w:r>
      <w:r>
        <w:t xml:space="preserve">expression</w:t>
      </w:r>
      <w:r>
        <w:t xml:space="preserve"> </w:t>
      </w:r>
      <w:r>
        <w:t xml:space="preserve">studies</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One of the biggest challenges in translating findings from genome-wide association studies (GWASs) to therapies is that the great majority of single nucleotide polymorphisms (SNPs) associated with disease are found in non-coding regions of the genome, and therefore cannot be easily linked to a target gene</w:t>
      </w:r>
      <w:r>
        <w:t xml:space="preserve"> </w:t>
      </w:r>
      <w:r>
        <w:t xml:space="preserve">[7]</w:t>
      </w:r>
      <w:r>
        <w:t xml:space="preserve">.</w:t>
      </w:r>
      <w:r>
        <w:t xml:space="preserve"> </w:t>
      </w:r>
      <w:r>
        <w:t xml:space="preserve">Many of these SNPs could be regulatory variants, affecting the expression of nearby or distal genes by interfering with the transcriptional process</w:t>
      </w:r>
      <w:r>
        <w:t xml:space="preserve"> </w:t>
      </w:r>
      <w:r>
        <w:t xml:space="preserve">[8]</w:t>
      </w:r>
      <w:r>
        <w:t xml:space="preserve">.</w:t>
      </w:r>
    </w:p>
    <w:p>
      <w:pPr>
        <w:pStyle w:val="BodyText"/>
      </w:pPr>
      <w:r>
        <w:t xml:space="preserve">The most established way to map disease-associated regulatory variants to target genes is to use expression quantitative trait loci (eQTLs)</w:t>
      </w:r>
      <w:r>
        <w:t xml:space="preserve"> </w:t>
      </w:r>
      <w:r>
        <w:t xml:space="preserve">[9]</w:t>
      </w:r>
      <w:r>
        <w:t xml:space="preserve">, variants that affect the expression of specific genes.</w:t>
      </w:r>
      <w:r>
        <w:t xml:space="preserve"> </w:t>
      </w:r>
      <w:r>
        <w:t xml:space="preserve">The GTEx consortium profiled eQTLs across 44 human tissues by performing a large-scale mapping of genome-wide correlations between genetic variants and gene expression</w:t>
      </w:r>
      <w:r>
        <w:t xml:space="preserve"> </w:t>
      </w:r>
      <w:r>
        <w:t xml:space="preserve">[10]</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[11]</w:t>
      </w:r>
      <w:r>
        <w:t xml:space="preserve">, Roadmap Epigenomics</w:t>
      </w:r>
      <w:r>
        <w:t xml:space="preserve"> </w:t>
      </w:r>
      <w:r>
        <w:t xml:space="preserve">[12]</w:t>
      </w:r>
      <w:r>
        <w:t xml:space="preserve"> </w:t>
      </w:r>
      <w:r>
        <w:t xml:space="preserve">and BLUEPRINT</w:t>
      </w:r>
      <w:r>
        <w:t xml:space="preserve"> </w:t>
      </w:r>
      <w:r>
        <w:t xml:space="preserve">[13, 14]</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cells and tissues.</w:t>
      </w:r>
      <w:r>
        <w:t xml:space="preserve"> </w:t>
      </w:r>
      <w:r>
        <w:t xml:space="preserve">Similarly, the FANTOM consortium used cap analysis of gene expression (CAGE) to identify promoters and enhancers across hundreds of cells and tissues</w:t>
      </w:r>
      <w:r>
        <w:t xml:space="preserve"> </w:t>
      </w:r>
      <w:r>
        <w:t xml:space="preserve">[15]</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[16]</w:t>
      </w:r>
      <w:r>
        <w:t xml:space="preserve"> </w:t>
      </w:r>
      <w:r>
        <w:t xml:space="preserve">as well as for CAGE-defined promoters and enhancers</w:t>
      </w:r>
      <w:r>
        <w:t xml:space="preserve"> </w:t>
      </w:r>
      <w:r>
        <w:t xml:space="preserve">[17]</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[18, 19]</w:t>
      </w:r>
      <w:r>
        <w:t xml:space="preserve"> </w:t>
      </w:r>
      <w:r>
        <w:t xml:space="preserve">couples chromatin immunoprecipitation with DNA ligation to identify DNA regions interacting thanks to the binding of a specific protein.</w:t>
      </w:r>
      <w:r>
        <w:t xml:space="preserve"> </w:t>
      </w:r>
      <w:r>
        <w:t xml:space="preserve">Promoter capture Hi-C</w:t>
      </w:r>
      <w:r>
        <w:t xml:space="preserve"> </w:t>
      </w:r>
      <w:r>
        <w:t xml:space="preserve">[20, 21]</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problem, we developed STOPGAP, a database of disease variants mapped to their most likely target gene(s) using several different types of regulatory genomic data</w:t>
      </w:r>
      <w:r>
        <w:t xml:space="preserve"> </w:t>
      </w:r>
      <w:r>
        <w:t xml:space="preserve">[22]</w:t>
      </w:r>
      <w:r>
        <w:t xml:space="preserve">.</w:t>
      </w:r>
      <w:r>
        <w:t xml:space="preserve"> </w:t>
      </w:r>
      <w:r>
        <w:t xml:space="preserve">The database is currently undergoing a major overhaul and will eventually be superseded by</w:t>
      </w:r>
      <w:r>
        <w:t xml:space="preserve"> </w:t>
      </w:r>
      <w:hyperlink r:id="rId22">
        <w:r>
          <w:rPr>
            <w:rStyle w:val="Hyperlink"/>
          </w:rPr>
          <w:t xml:space="preserve">POSTGAP</w:t>
        </w:r>
      </w:hyperlink>
      <w:r>
        <w:t xml:space="preserve">.</w:t>
      </w:r>
      <w:r>
        <w:t xml:space="preserve"> </w:t>
      </w:r>
      <w:r>
        <w:t xml:space="preserve">A valid and recent alternative is INFERNO</w:t>
      </w:r>
      <w:r>
        <w:t xml:space="preserve"> </w:t>
      </w:r>
      <w:r>
        <w:t xml:space="preserve">[23]</w:t>
      </w:r>
      <w:r>
        <w:t xml:space="preserve">, though it does only rely on eQTL data for target gene assignment.</w:t>
      </w:r>
      <w:r>
        <w:t xml:space="preserve"> </w:t>
      </w:r>
      <w:r>
        <w:t xml:space="preserve">These resources implement some or all of the approaches that will be reviewed in the workflow and constitute good entry points for identifying the most likely target gene(s) of regulatory SNPs. However, as they tend to hide much of the complexity involved in the process, we will not use them and rely on the original datasets instead.</w:t>
      </w:r>
    </w:p>
    <w:p>
      <w:pPr>
        <w:pStyle w:val="BodyText"/>
      </w:pPr>
      <w:r>
        <w:t xml:space="preserve">In this workflow, we will explore how regulatory genomic data can be used to connect the genetic and transcriptional layers by providing a framework for the discovery of novel therapeutic targets.</w:t>
      </w:r>
      <w:r>
        <w:t xml:space="preserve"> </w:t>
      </w:r>
      <w:r>
        <w:t xml:space="preserve">We will use eQTL data from GTEx</w:t>
      </w:r>
      <w:r>
        <w:t xml:space="preserve"> </w:t>
      </w:r>
      <w:r>
        <w:t xml:space="preserve">[10]</w:t>
      </w:r>
      <w:r>
        <w:t xml:space="preserve">, FANTOM5 correlations between promoters and enhancers</w:t>
      </w:r>
      <w:r>
        <w:t xml:space="preserve"> </w:t>
      </w:r>
      <w:r>
        <w:t xml:space="preserve">[17]</w:t>
      </w:r>
      <w:r>
        <w:t xml:space="preserve"> </w:t>
      </w:r>
      <w:r>
        <w:t xml:space="preserve">and promoter capture Hi-C data</w:t>
      </w:r>
      <w:r>
        <w:t xml:space="preserve"> </w:t>
      </w:r>
      <w:r>
        <w:t xml:space="preserve">[21]</w:t>
      </w:r>
      <w:r>
        <w:t xml:space="preserve"> </w:t>
      </w:r>
      <w:r>
        <w:t xml:space="preserve">to annotate significant GWAS variants to putative target genes and to prioritise genes obtained from a differential expression analysis (Figure 1).</w:t>
      </w:r>
    </w:p>
    <w:p>
      <w:pPr>
        <w:pStyle w:val="Compact"/>
      </w:pPr>
      <w:r>
        <w:t xml:space="preserve">Diagram showing a schematic representation of the workflow and the steps involved.</w:t>
      </w:r>
    </w:p>
    <w:p>
      <w:pPr>
        <w:pStyle w:val="Heading1"/>
      </w:pPr>
      <w:bookmarkStart w:id="23" w:name="workflow"/>
      <w:bookmarkEnd w:id="23"/>
      <w:r>
        <w:t xml:space="preserve">Workflow</w:t>
      </w:r>
    </w:p>
    <w:p>
      <w:pPr>
        <w:pStyle w:val="Heading2"/>
      </w:pPr>
      <w:bookmarkStart w:id="24" w:name="install-required-packages"/>
      <w:bookmarkEnd w:id="24"/>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#biocLite(c("clusterProfiler", "DESeq2", "GenomicFeatures", "GenomicInteractions", "GenomicRanges", "ggplot2", "Gviz", "gwascat", "InteractionSet", "recount", "pheatmap", "RColorBrewer", "rtracklayer", "R.utils", "splitstackshape", "VariantAnnotation"))</w:t>
      </w:r>
    </w:p>
    <w:p>
      <w:pPr>
        <w:pStyle w:val="Heading2"/>
      </w:pPr>
      <w:bookmarkStart w:id="25" w:name="gene-expression-data-and-differential-gene-expression-analysis"/>
      <w:bookmarkEnd w:id="25"/>
      <w:r>
        <w:t xml:space="preserve">Gene expression data and differential gene expression analysis</w:t>
      </w:r>
    </w:p>
    <w:p>
      <w:pPr>
        <w:pStyle w:val="FirstParagraph"/>
      </w:pPr>
      <w:r>
        <w:t xml:space="preserve">We start with a common scenario: we ran a RNA-seq experiment comparing patients with a disease and healthy individuals, and would like to discover key disease genes and potential therapeutic targets by integrating genetic information in our analysis.</w:t>
      </w:r>
    </w:p>
    <w:p>
      <w:pPr>
        <w:pStyle w:val="BodyText"/>
      </w:pPr>
      <w:r>
        <w:t xml:space="preserve">The RNA-seq data we will be using comes from blood of patients with systemic lupus erythematosus (SLE) and healthy controls</w:t>
      </w:r>
      <w:r>
        <w:t xml:space="preserve"> </w:t>
      </w:r>
      <w:r>
        <w:t xml:space="preserve">[24]</w:t>
      </w:r>
      <w:r>
        <w:t xml:space="preserve">.</w:t>
      </w:r>
      <w:r>
        <w:t xml:space="preserve"> </w:t>
      </w:r>
      <w:r>
        <w:t xml:space="preserve">SLE is a chronic autoimmune disorder that can affect several organs with a significant unmet medical need</w:t>
      </w:r>
      <w:r>
        <w:t xml:space="preserve"> </w:t>
      </w:r>
      <w:r>
        <w:t xml:space="preserve">[25]</w:t>
      </w:r>
      <w:r>
        <w:t xml:space="preserve">.</w:t>
      </w:r>
      <w:r>
        <w:t xml:space="preserve"> </w:t>
      </w:r>
      <w:r>
        <w:t xml:space="preserve">It is a complex and remarkably heterogeneous disease, in terms of both genetics and clinical manifestations</w:t>
      </w:r>
      <w:r>
        <w:t xml:space="preserve"> </w:t>
      </w:r>
      <w:r>
        <w:t xml:space="preserve">[26]</w:t>
      </w:r>
      <w:r>
        <w:t xml:space="preserve">.</w:t>
      </w:r>
      <w:r>
        <w:t xml:space="preserve"> </w:t>
      </w:r>
      <w:r>
        <w:t xml:space="preserve">Early diagnosis and classification of SLE remain extremely challenging</w:t>
      </w:r>
      <w:r>
        <w:t xml:space="preserve"> </w:t>
      </w:r>
      <w:r>
        <w:t xml:space="preserve">[27]</w:t>
      </w:r>
      <w:r>
        <w:t xml:space="preserve">.</w:t>
      </w:r>
    </w:p>
    <w:p>
      <w:pPr>
        <w:pStyle w:val="BodyText"/>
      </w:pPr>
      <w:r>
        <w:t xml:space="preserve">In the original study</w:t>
      </w:r>
      <w:r>
        <w:t xml:space="preserve"> </w:t>
      </w:r>
      <w:r>
        <w:t xml:space="preserve">[24]</w:t>
      </w:r>
      <w:r>
        <w:t xml:space="preserve">, the authors explore transcripts bound by Ro60, an RNA-binding protein against which some SLE patients produce autoantibodies.</w:t>
      </w:r>
      <w:r>
        <w:t xml:space="preserve"> </w:t>
      </w:r>
      <w:r>
        <w:t xml:space="preserve">They identify Alu retroelements among these transcripts and use RNA-seq data to check their expression levels, observing that Alu elements are significantly more expressed in SLE patients, and particularly in those patients with anti-Ro antibodies and with a higher interferon signature metric (ISM).</w:t>
      </w:r>
    </w:p>
    <w:p>
      <w:pPr>
        <w:pStyle w:val="BodyText"/>
      </w:pPr>
      <w:r>
        <w:t xml:space="preserve">We are going to use</w:t>
      </w:r>
      <w:r>
        <w:t xml:space="preserve"> </w:t>
      </w:r>
      <w:r>
        <w:rPr>
          <w:rStyle w:val="VerbatimChar"/>
        </w:rPr>
        <w:t xml:space="preserve">recount</w:t>
      </w:r>
      <w:r>
        <w:t xml:space="preserve"> </w:t>
      </w:r>
      <w:r>
        <w:t xml:space="preserve">[28]</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[29]</w:t>
      </w:r>
      <w:r>
        <w:t xml:space="preserve"> </w:t>
      </w:r>
      <w:r>
        <w:t xml:space="preserve">and</w:t>
      </w:r>
      <w:r>
        <w:t xml:space="preserve"> </w:t>
      </w:r>
      <w:r>
        <w:rPr>
          <w:rStyle w:val="VerbatimChar"/>
        </w:rPr>
        <w:t xml:space="preserve">ArrayExpress</w:t>
      </w:r>
      <w:r>
        <w:t xml:space="preserve"> </w:t>
      </w:r>
      <w:r>
        <w:t xml:space="preserve">[30]</w:t>
      </w:r>
      <w:r>
        <w:t xml:space="preserve">.</w:t>
      </w:r>
    </w:p>
    <w:p>
      <w:pPr>
        <w:pStyle w:val="BodyText"/>
      </w:pPr>
      <w:r>
        <w:t xml:space="preserve">We have 117 samples overall.</w:t>
      </w:r>
      <w:r>
        <w:t xml:space="preserve"> </w:t>
      </w:r>
      <w:r>
        <w:t xml:space="preserve">This is what the matrix of counts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SRR2443263 SRR2443262 SRR2443261</w:t>
      </w:r>
      <w:r>
        <w:br w:type="textWrapping"/>
      </w:r>
      <w:r>
        <w:rPr>
          <w:rStyle w:val="VerbatimChar"/>
        </w:rPr>
        <w:t xml:space="preserve">## ENSG00000000003.14         19          6         10</w:t>
      </w:r>
      <w:r>
        <w:br w:type="textWrapping"/>
      </w:r>
      <w:r>
        <w:rPr>
          <w:rStyle w:val="VerbatimChar"/>
        </w:rPr>
        <w:t xml:space="preserve">## ENSG00000000005.5           0          0          0</w:t>
      </w:r>
      <w:r>
        <w:br w:type="textWrapping"/>
      </w:r>
      <w:r>
        <w:rPr>
          <w:rStyle w:val="VerbatimChar"/>
        </w:rPr>
        <w:t xml:space="preserve">## ENSG00000000419.12        489        238        224</w:t>
      </w:r>
    </w:p>
    <w:p>
      <w:pPr>
        <w:pStyle w:val="FirstParagraph"/>
      </w:pPr>
      <w:r>
        <w:t xml:space="preserve">Each gene is a row and each sample is a column.</w:t>
      </w:r>
      <w:r>
        <w:t xml:space="preserve"> </w:t>
      </w:r>
      <w:r>
        <w:t xml:space="preserve">We note that genes are annotated using the GENCODE</w:t>
      </w:r>
      <w:r>
        <w:t xml:space="preserve"> </w:t>
      </w:r>
      <w:r>
        <w:t xml:space="preserve">[31]</w:t>
      </w:r>
      <w:r>
        <w:t xml:space="preserve"> </w:t>
      </w:r>
      <w:r>
        <w:t xml:space="preserve">v25 annotation, which will be useful later on.</w:t>
      </w:r>
    </w:p>
    <w:p>
      <w:pPr>
        <w:pStyle w:val="BodyText"/>
      </w:pPr>
      <w:r>
        <w:t xml:space="preserve">To check how we can split samples between cases and controls, we can have a look at the metadata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head</w:t>
      </w:r>
      <w:r>
        <w:rPr>
          <w:rStyle w:val="NormalTok"/>
        </w:rPr>
        <w:t xml:space="preserve">(rse</w:t>
      </w:r>
      <w:r>
        <w:rPr>
          <w:rStyle w:val="OperatorTok"/>
        </w:rPr>
        <w:t xml:space="preserve">$</w:t>
      </w:r>
      <w:r>
        <w:rPr>
          <w:rStyle w:val="NormalTok"/>
        </w:rPr>
        <w:t xml:space="preserve">characteristics, </w:t>
      </w:r>
      <w:r>
        <w:rPr>
          <w:rStyle w:val="DecValTok"/>
        </w:rPr>
        <w:t xml:space="preserve">3</w:t>
      </w:r>
      <w:r>
        <w:rPr>
          <w:rStyle w:val="NormalTok"/>
        </w:rPr>
        <w:t xml:space="preserve">)</w:t>
      </w:r>
    </w:p>
    <w:p>
      <w:pPr>
        <w:pStyle w:val="SourceCode"/>
      </w:pPr>
      <w:r>
        <w:rPr>
          <w:rStyle w:val="VerbatimChar"/>
        </w:rPr>
        <w:t xml:space="preserve">## CharacterList of length 3</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p>
    <w:p>
      <w:pPr>
        <w:pStyle w:val="FirstParagraph"/>
      </w:pPr>
      <w:r>
        <w:t xml:space="preserve">We have information about the disease status of the sample, the tissue of origin, the presence and level of anti-ro autoantibodies and the value of the ISM.</w:t>
      </w:r>
      <w:r>
        <w:t xml:space="preserve"> </w:t>
      </w:r>
      <w:r>
        <w:t xml:space="preserve">However, we note that basic information such as age or gender is missing.</w:t>
      </w:r>
    </w:p>
    <w:p>
      <w:pPr>
        <w:pStyle w:val="BodyText"/>
      </w:pPr>
      <w:r>
        <w:t xml:space="preserve">We can create some new columns with the available information so that they can be used for downstream analyses.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disease_status)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rse</w:t>
      </w:r>
      <w:r>
        <w:rPr>
          <w:rStyle w:val="OperatorTok"/>
        </w:rPr>
        <w:t xml:space="preserve">$</w:t>
      </w:r>
      <w:r>
        <w:rPr>
          <w:rStyle w:val="NormalTok"/>
        </w:rPr>
        <w:t xml:space="preserve">disease_status)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tissue)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anti_ro)</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ism)</w:t>
      </w:r>
      <w:r>
        <w:br w:type="textWrapping"/>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ism)</w:t>
      </w:r>
    </w:p>
    <w:p>
      <w:pPr>
        <w:pStyle w:val="FirstParagraph"/>
      </w:pPr>
      <w:r>
        <w:t xml:space="preserve">We can check how many samples we have in each group (note that we ignore</w:t>
      </w:r>
      <w:r>
        <w:t xml:space="preserve"> </w:t>
      </w:r>
      <w:r>
        <w:rPr>
          <w:rStyle w:val="VerbatimChar"/>
        </w:rPr>
        <w:t xml:space="preserve">tissue</w:t>
      </w:r>
      <w:r>
        <w:t xml:space="preserve"> </w:t>
      </w:r>
      <w:r>
        <w:t xml:space="preserve">as it’s always</w:t>
      </w:r>
      <w:r>
        <w:t xml:space="preserve"> </w:t>
      </w:r>
      <w:r>
        <w:rPr>
          <w:rStyle w:val="VerbatimChar"/>
        </w:rPr>
        <w:t xml:space="preserve">whole blood</w:t>
      </w:r>
      <w:r>
        <w:t xml:space="preserve">):</w:t>
      </w:r>
    </w:p>
    <w:p>
      <w:pPr>
        <w:pStyle w:val="SourceCode"/>
      </w:pPr>
      <w:r>
        <w:rPr>
          <w:rStyle w:val="NormalTok"/>
        </w:rPr>
        <w:t xml:space="preserve">metadata &lt;-</w:t>
      </w:r>
      <w:r>
        <w:rPr>
          <w:rStyle w:val="StringTok"/>
        </w:rPr>
        <w:t xml:space="preserve"> </w:t>
      </w:r>
      <w:r>
        <w:rPr>
          <w:rStyle w:val="KeywordTok"/>
        </w:rPr>
        <w:t xml:space="preserve">data.frame</w:t>
      </w:r>
      <w:r>
        <w:rPr>
          <w:rStyle w:val="NormalTok"/>
        </w:rPr>
        <w:t xml:space="preserve">(</w:t>
      </w:r>
      <w:r>
        <w:rPr>
          <w:rStyle w:val="DataTypeTok"/>
        </w:rPr>
        <w:t xml:space="preserve">disease_status =</w:t>
      </w:r>
      <w:r>
        <w:rPr>
          <w:rStyle w:val="NormalTok"/>
        </w:rPr>
        <w:t xml:space="preserve"> rse</w:t>
      </w:r>
      <w:r>
        <w:rPr>
          <w:rStyle w:val="OperatorTok"/>
        </w:rPr>
        <w:t xml:space="preserve">$</w:t>
      </w:r>
      <w:r>
        <w:rPr>
          <w:rStyle w:val="NormalTok"/>
        </w:rPr>
        <w:t xml:space="preserve">disease_status, </w:t>
      </w:r>
      <w:r>
        <w:rPr>
          <w:rStyle w:val="DataTypeTok"/>
        </w:rPr>
        <w:t xml:space="preserve">anti_ro.ism =</w:t>
      </w:r>
      <w:r>
        <w:rPr>
          <w:rStyle w:val="NormalTok"/>
        </w:rPr>
        <w:t xml:space="preserve"> </w:t>
      </w:r>
      <w:r>
        <w:rPr>
          <w:rStyle w:val="KeywordTok"/>
        </w:rPr>
        <w:t xml:space="preserve">paste</w:t>
      </w:r>
      <w:r>
        <w:rPr>
          <w:rStyle w:val="NormalTok"/>
        </w:rPr>
        <w:t xml:space="preserve">(rse</w:t>
      </w:r>
      <w:r>
        <w:rPr>
          <w:rStyle w:val="OperatorTok"/>
        </w:rPr>
        <w:t xml:space="preserve">$</w:t>
      </w:r>
      <w:r>
        <w:rPr>
          <w:rStyle w:val="NormalTok"/>
        </w:rPr>
        <w:t xml:space="preserve">anti_ro, rse</w:t>
      </w:r>
      <w:r>
        <w:rPr>
          <w:rStyle w:val="OperatorTok"/>
        </w:rPr>
        <w:t xml:space="preserve">$</w:t>
      </w:r>
      <w:r>
        <w:rPr>
          <w:rStyle w:val="NormalTok"/>
        </w:rPr>
        <w:t xml:space="preserve">ism,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table</w:t>
      </w:r>
      <w:r>
        <w:rPr>
          <w:rStyle w:val="NormalTok"/>
        </w:rPr>
        <w:t xml:space="preserve">(metadata)</w:t>
      </w:r>
    </w:p>
    <w:p>
      <w:pPr>
        <w:pStyle w:val="SourceCode"/>
      </w:pPr>
      <w:r>
        <w:rPr>
          <w:rStyle w:val="VerbatimChar"/>
        </w:rPr>
        <w:t xml:space="preserve">##               anti_ro.ism</w:t>
      </w:r>
      <w:r>
        <w:br w:type="textWrapping"/>
      </w:r>
      <w:r>
        <w:rPr>
          <w:rStyle w:val="VerbatimChar"/>
        </w:rPr>
        <w:t xml:space="preserve">## disease_status control.control high.ISM_high high.ISM_low med.ISM_high</w:t>
      </w:r>
      <w:r>
        <w:br w:type="textWrapping"/>
      </w:r>
      <w:r>
        <w:rPr>
          <w:rStyle w:val="VerbatimChar"/>
        </w:rPr>
        <w:t xml:space="preserve">##        healthy              18             0            0            0</w:t>
      </w:r>
      <w:r>
        <w:br w:type="textWrapping"/>
      </w:r>
      <w:r>
        <w:rPr>
          <w:rStyle w:val="VerbatimChar"/>
        </w:rPr>
        <w:t xml:space="preserve">##        SLE                   0            23            1           21</w:t>
      </w:r>
      <w:r>
        <w:br w:type="textWrapping"/>
      </w:r>
      <w:r>
        <w:rPr>
          <w:rStyle w:val="VerbatimChar"/>
        </w:rPr>
        <w:t xml:space="preserve">##               anti_ro.ism</w:t>
      </w:r>
      <w:r>
        <w:br w:type="textWrapping"/>
      </w:r>
      <w:r>
        <w:rPr>
          <w:rStyle w:val="VerbatimChar"/>
        </w:rPr>
        <w:t xml:space="preserve">## disease_status med.ISM_low none.ISM_high none.ISM_low</w:t>
      </w:r>
      <w:r>
        <w:br w:type="textWrapping"/>
      </w:r>
      <w:r>
        <w:rPr>
          <w:rStyle w:val="VerbatimChar"/>
        </w:rPr>
        <w:t xml:space="preserve">##        healthy           0             0            0</w:t>
      </w:r>
      <w:r>
        <w:br w:type="textWrapping"/>
      </w:r>
      <w:r>
        <w:rPr>
          <w:rStyle w:val="VerbatimChar"/>
        </w:rPr>
        <w:t xml:space="preserve">##        SLE               2            31           21</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[32]</w:t>
      </w:r>
      <w:r>
        <w:t xml:space="preserve">.</w:t>
      </w:r>
      <w:r>
        <w:t xml:space="preserve"> </w:t>
      </w:r>
      <w:r>
        <w:t xml:space="preserve">Note that we remove genes with a low number of counts (less than 50 across all 117 samples) to speed up execution and reduce the memory footprint:</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 &lt;-</w:t>
      </w:r>
      <w:r>
        <w:rPr>
          <w:rStyle w:val="StringTok"/>
        </w:rPr>
        <w:t xml:space="preserve"> </w:t>
      </w:r>
      <w:r>
        <w:rPr>
          <w:rStyle w:val="NormalTok"/>
        </w:rPr>
        <w:t xml:space="preserve">dds[</w:t>
      </w:r>
      <w:r>
        <w:rPr>
          <w:rStyle w:val="KeywordTok"/>
        </w:rPr>
        <w:t xml:space="preserve">rowSums</w:t>
      </w:r>
      <w:r>
        <w:rPr>
          <w:rStyle w:val="NormalTok"/>
        </w:rPr>
        <w:t xml:space="preserve">(</w:t>
      </w:r>
      <w:r>
        <w:rPr>
          <w:rStyle w:val="KeywordTok"/>
        </w:rPr>
        <w:t xml:space="preserve">counts</w:t>
      </w:r>
      <w:r>
        <w:rPr>
          <w:rStyle w:val="NormalTok"/>
        </w:rPr>
        <w:t xml:space="preserve">(dds)) </w:t>
      </w:r>
      <w:r>
        <w:rPr>
          <w:rStyle w:val="OperatorTok"/>
        </w:rPr>
        <w:t xml:space="preserve">&gt;=</w:t>
      </w:r>
      <w:r>
        <w:rPr>
          <w:rStyle w:val="StringTok"/>
        </w:rPr>
        <w:t xml:space="preserve"> </w:t>
      </w:r>
      <w:r>
        <w:rPr>
          <w:rStyle w:val="DecValTok"/>
        </w:rPr>
        <w:t xml:space="preserve">50</w:t>
      </w:r>
      <w:r>
        <w:rPr>
          <w:rStyle w:val="NormalTok"/>
        </w:rPr>
        <w:t xml:space="preserve">, ]</w:t>
      </w:r>
    </w:p>
    <w:p>
      <w:pPr>
        <w:pStyle w:val="FirstParagraph"/>
      </w:pPr>
      <w:r>
        <w:t xml:space="preserve">We used an extremely simple model; in the real world we should be accounting for co-variables, potential confounders and interactions between them.</w:t>
      </w:r>
      <w:r>
        <w:t xml:space="preserve"> </w:t>
      </w:r>
      <w:r>
        <w:t xml:space="preserve">For example, age and gender are usually included in this type of analysis, but we don’t have access to this information for this dataset.</w:t>
      </w:r>
      <w:r>
        <w:t xml:space="preserve"> </w:t>
      </w:r>
      <w:r>
        <w:t xml:space="preserve">Similarly, the value of the ISM and the presence of anti-Ro autoantibodies can’t be included in the analysis due to the fact that these variables are collinear with the disease status variable (i.e.: the value of both</w:t>
      </w:r>
      <w:r>
        <w:t xml:space="preserve"> </w:t>
      </w:r>
      <w:r>
        <w:rPr>
          <w:rStyle w:val="VerbatimChar"/>
        </w:rPr>
        <w:t xml:space="preserve">anti_ro</w:t>
      </w:r>
      <w:r>
        <w:t xml:space="preserve"> </w:t>
      </w:r>
      <w:r>
        <w:t xml:space="preserve">and</w:t>
      </w:r>
      <w:r>
        <w:t xml:space="preserve"> </w:t>
      </w:r>
      <w:r>
        <w:rPr>
          <w:rStyle w:val="VerbatimChar"/>
        </w:rPr>
        <w:t xml:space="preserve">ism</w:t>
      </w:r>
      <w:r>
        <w:t xml:space="preserve"> </w:t>
      </w:r>
      <w:r>
        <w:t xml:space="preserve">is</w:t>
      </w:r>
      <w:r>
        <w:t xml:space="preserve"> </w:t>
      </w:r>
      <w:r>
        <w:rPr>
          <w:rStyle w:val="VerbatimChar"/>
        </w:rPr>
        <w:t xml:space="preserve">control</w:t>
      </w:r>
      <w:r>
        <w:t xml:space="preserve"> </w:t>
      </w:r>
      <w:r>
        <w:t xml:space="preserve">for all samples with</w:t>
      </w:r>
      <w:r>
        <w:t xml:space="preserve"> </w:t>
      </w:r>
      <w:r>
        <w:rPr>
          <w:rStyle w:val="VerbatimChar"/>
        </w:rPr>
        <w:t xml:space="preserve">disease_status</w:t>
      </w:r>
      <w:r>
        <w:t xml:space="preserve"> </w:t>
      </w:r>
      <w:r>
        <w:t xml:space="preserve">equal to</w:t>
      </w:r>
      <w:r>
        <w:t xml:space="preserve"> </w:t>
      </w:r>
      <w:r>
        <w:rPr>
          <w:rStyle w:val="VerbatimChar"/>
        </w:rPr>
        <w:t xml:space="preserve">healthy</w:t>
      </w:r>
      <w:r>
        <w:t xml:space="preserve">.)</w:t>
      </w:r>
      <w:r>
        <w:t xml:space="preserve"> </w:t>
      </w:r>
      <w:r>
        <w:t xml:space="preserve">Like</w:t>
      </w:r>
      <w:r>
        <w:t xml:space="preserve"> </w:t>
      </w:r>
      <w:r>
        <w:rPr>
          <w:rStyle w:val="VerbatimChar"/>
        </w:rPr>
        <w:t xml:space="preserve">DESeq2</w:t>
      </w:r>
      <w:r>
        <w:t xml:space="preserve">,</w:t>
      </w:r>
      <w:r>
        <w:t xml:space="preserve"> </w:t>
      </w:r>
      <w:r>
        <w:rPr>
          <w:rStyle w:val="VerbatimChar"/>
        </w:rPr>
        <w:t xml:space="preserve">edgeR</w:t>
      </w:r>
      <w:r>
        <w:t xml:space="preserve"> </w:t>
      </w:r>
      <w:r>
        <w:t xml:space="preserve">[33]</w:t>
      </w:r>
      <w:r>
        <w:t xml:space="preserve"> </w:t>
      </w:r>
      <w:r>
        <w:t xml:space="preserve">and</w:t>
      </w:r>
      <w:r>
        <w:t xml:space="preserve"> </w:t>
      </w:r>
      <w:r>
        <w:rPr>
          <w:rStyle w:val="VerbatimChar"/>
        </w:rPr>
        <w:t xml:space="preserve">limma</w:t>
      </w:r>
      <w:r>
        <w:t xml:space="preserve"> </w:t>
      </w:r>
      <w:r>
        <w:t xml:space="preserve">[34]</w:t>
      </w:r>
      <w:r>
        <w:t xml:space="preserve"> </w:t>
      </w:r>
      <w:r>
        <w:t xml:space="preserve">can also deal with multiple cofactors and different experimental designs, and constitute good alternatives for performing differential expression analyses.</w:t>
      </w:r>
    </w:p>
    <w:p>
      <w:pPr>
        <w:pStyle w:val="BodyText"/>
      </w:pPr>
      <w:r>
        <w:t xml:space="preserve">We can now look at the data in more detail to assess if we can observe a separation between the SLE and healthy samples and whether any batch effect is visible.</w:t>
      </w:r>
      <w:r>
        <w:br w:type="textWrapping"/>
      </w:r>
      <w:r>
        <w:t xml:space="preserve">We use the variance stabilising transformation (VST)</w:t>
      </w:r>
      <w:r>
        <w:t xml:space="preserve"> </w:t>
      </w:r>
      <w:r>
        <w:t xml:space="preserve">[35]</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We will use the</w:t>
      </w:r>
      <w:r>
        <w:t xml:space="preserve"> </w:t>
      </w:r>
      <w:hyperlink r:id="rId26">
        <w:r>
          <w:rPr>
            <w:rStyle w:val="VerbatimChar"/>
            <w:rStyle w:val="Hyperlink"/>
          </w:rPr>
          <w:t xml:space="preserve">pheatmap</w:t>
        </w:r>
      </w:hyperlink>
      <w:r>
        <w:t xml:space="preserve"> </w:t>
      </w:r>
      <w:r>
        <w:t xml:space="preserve">and</w:t>
      </w:r>
      <w:r>
        <w:t xml:space="preserve"> </w:t>
      </w:r>
      <w:hyperlink r:id="rId27">
        <w:r>
          <w:rPr>
            <w:rStyle w:val="VerbatimChar"/>
            <w:rStyle w:val="Hyperlink"/>
          </w:rPr>
          <w:t xml:space="preserve">RColorBrewer</w:t>
        </w:r>
      </w:hyperlink>
      <w:r>
        <w:t xml:space="preserve"> </w:t>
      </w:r>
      <w:r>
        <w:t xml:space="preserve">packages to perform hierarchical clustering of the samples (Figure 2):</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sampleDists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NormalTok"/>
        </w:rPr>
        <w:t xml:space="preserve">sampleDistMatrix &lt;-</w:t>
      </w:r>
      <w:r>
        <w:rPr>
          <w:rStyle w:val="StringTok"/>
        </w:rPr>
        <w:t xml:space="preserve"> </w:t>
      </w:r>
      <w:r>
        <w:rPr>
          <w:rStyle w:val="KeywordTok"/>
        </w:rPr>
        <w:t xml:space="preserve">as.matrix</w:t>
      </w:r>
      <w:r>
        <w:rPr>
          <w:rStyle w:val="NormalTok"/>
        </w:rPr>
        <w:t xml:space="preserve">(sampleDists)</w:t>
      </w:r>
      <w:r>
        <w:br w:type="textWrapping"/>
      </w:r>
      <w:r>
        <w:rPr>
          <w:rStyle w:val="NormalTok"/>
        </w:rPr>
        <w:t xml:space="preserve">annotation =</w:t>
      </w:r>
      <w:r>
        <w:rPr>
          <w:rStyle w:val="StringTok"/>
        </w:rPr>
        <w:t xml:space="preserve"> </w:t>
      </w:r>
      <w:r>
        <w:rPr>
          <w:rStyle w:val="KeywordTok"/>
        </w:rPr>
        <w:t xml:space="preserve">data.frame</w:t>
      </w:r>
      <w:r>
        <w:rPr>
          <w:rStyle w:val="NormalTok"/>
        </w:rPr>
        <w:t xml:space="preserve">(</w:t>
      </w:r>
      <w:r>
        <w:rPr>
          <w:rStyle w:val="KeywordTok"/>
        </w:rPr>
        <w:t xml:space="preserve">colData</w:t>
      </w:r>
      <w:r>
        <w:rPr>
          <w:rStyle w:val="NormalTok"/>
        </w:rPr>
        <w:t xml:space="preserve">(vsd)[</w:t>
      </w:r>
      <w:r>
        <w:rPr>
          <w:rStyle w:val="KeywordTok"/>
        </w:rPr>
        <w:t xml:space="preserve">c</w:t>
      </w:r>
      <w:r>
        <w:rPr>
          <w:rStyle w:val="NormalTok"/>
        </w:rPr>
        <w:t xml:space="preserve">(</w:t>
      </w:r>
      <w:r>
        <w:rPr>
          <w:rStyle w:val="StringTok"/>
        </w:rPr>
        <w:t xml:space="preserve">"anti_ro"</w:t>
      </w:r>
      <w:r>
        <w:rPr>
          <w:rStyle w:val="NormalTok"/>
        </w:rPr>
        <w:t xml:space="preserve">, </w:t>
      </w:r>
      <w:r>
        <w:rPr>
          <w:rStyle w:val="StringTok"/>
        </w:rPr>
        <w:t xml:space="preserve">"ism"</w:t>
      </w:r>
      <w:r>
        <w:rPr>
          <w:rStyle w:val="NormalTok"/>
        </w:rPr>
        <w:t xml:space="preserve">, </w:t>
      </w:r>
      <w:r>
        <w:rPr>
          <w:rStyle w:val="StringTok"/>
        </w:rPr>
        <w:t xml:space="preserve">"disease_status"</w:t>
      </w:r>
      <w:r>
        <w:rPr>
          <w:rStyle w:val="NormalTok"/>
        </w:rPr>
        <w:t xml:space="preserve">)], </w:t>
      </w:r>
      <w:r>
        <w:rPr>
          <w:rStyle w:val="DataTypeTok"/>
        </w:rPr>
        <w:t xml:space="preserve">row.names =</w:t>
      </w:r>
      <w:r>
        <w:rPr>
          <w:rStyle w:val="NormalTok"/>
        </w:rPr>
        <w:t xml:space="preserve"> </w:t>
      </w:r>
      <w:r>
        <w:rPr>
          <w:rStyle w:val="KeywordTok"/>
        </w:rPr>
        <w:t xml:space="preserve">rownames</w:t>
      </w:r>
      <w:r>
        <w:rPr>
          <w:rStyle w:val="NormalTok"/>
        </w:rPr>
        <w:t xml:space="preserve">(sampleDistMatrix))</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(sampleDistMatrix, </w:t>
      </w:r>
      <w:r>
        <w:rPr>
          <w:rStyle w:val="DataTypeTok"/>
        </w:rPr>
        <w:t xml:space="preserve">clustering_distance_rows =</w:t>
      </w:r>
      <w:r>
        <w:rPr>
          <w:rStyle w:val="NormalTok"/>
        </w:rPr>
        <w:t xml:space="preserve"> sampleDists, </w:t>
      </w:r>
      <w:r>
        <w:rPr>
          <w:rStyle w:val="DataTypeTok"/>
        </w:rPr>
        <w:t xml:space="preserve">clustering_distance_cols =</w:t>
      </w:r>
      <w:r>
        <w:rPr>
          <w:rStyle w:val="NormalTok"/>
        </w:rPr>
        <w:t xml:space="preserve"> sampleDists, </w:t>
      </w:r>
      <w:r>
        <w:rPr>
          <w:rStyle w:val="DataTypeTok"/>
        </w:rPr>
        <w:t xml:space="preserve">clustering_method =</w:t>
      </w:r>
      <w:r>
        <w:rPr>
          <w:rStyle w:val="NormalTok"/>
        </w:rPr>
        <w:t xml:space="preserve"> </w:t>
      </w:r>
      <w:r>
        <w:rPr>
          <w:rStyle w:val="StringTok"/>
        </w:rPr>
        <w:t xml:space="preserve">"complete"</w:t>
      </w:r>
      <w:r>
        <w:rPr>
          <w:rStyle w:val="NormalTok"/>
        </w:rPr>
        <w:t xml:space="preserve">, </w:t>
      </w:r>
      <w:r>
        <w:rPr>
          <w:rStyle w:val="DataTypeTok"/>
        </w:rPr>
        <w:t xml:space="preserve">annotation_col =</w:t>
      </w:r>
      <w:r>
        <w:rPr>
          <w:rStyle w:val="NormalTok"/>
        </w:rPr>
        <w:t xml:space="preserve"> annotation, </w:t>
      </w:r>
      <w:r>
        <w:rPr>
          <w:rStyle w:val="DataTypeTok"/>
        </w:rPr>
        <w:t xml:space="preserve">col =</w:t>
      </w:r>
      <w:r>
        <w:rPr>
          <w:rStyle w:val="NormalTok"/>
        </w:rPr>
        <w:t xml:space="preserve"> colors, </w:t>
      </w:r>
      <w:r>
        <w:rPr>
          <w:rStyle w:val="DataTypeTok"/>
        </w:rPr>
        <w:t xml:space="preserve">show_rownames =</w:t>
      </w:r>
      <w:r>
        <w:rPr>
          <w:rStyle w:val="NormalTok"/>
        </w:rPr>
        <w:t xml:space="preserve"> </w:t>
      </w:r>
      <w:r>
        <w:rPr>
          <w:rStyle w:val="OtherTok"/>
        </w:rPr>
        <w:t xml:space="preserve">FALSE</w:t>
      </w:r>
      <w:r>
        <w:rPr>
          <w:rStyle w:val="NormalTok"/>
        </w:rPr>
        <w:t xml:space="preserve">, </w:t>
      </w:r>
      <w:r>
        <w:rPr>
          <w:rStyle w:val="DataTypeTok"/>
        </w:rPr>
        <w:t xml:space="preserve">show_colnames =</w:t>
      </w:r>
      <w:r>
        <w:rPr>
          <w:rStyle w:val="NormalTok"/>
        </w:rPr>
        <w:t xml:space="preserve"> </w:t>
      </w:r>
      <w:r>
        <w:rPr>
          <w:rStyle w:val="OtherTok"/>
        </w:rPr>
        <w:t xml:space="preserve">FALSE</w:t>
      </w:r>
      <w:r>
        <w:rPr>
          <w:rStyle w:val="NormalTok"/>
        </w:rPr>
        <w:t xml:space="preserve">, </w:t>
      </w:r>
      <w:r>
        <w:rPr>
          <w:rStyle w:val="DataTypeTok"/>
        </w:rPr>
        <w:t xml:space="preserve">cellwidth =</w:t>
      </w:r>
      <w:r>
        <w:rPr>
          <w:rStyle w:val="NormalTok"/>
        </w:rPr>
        <w:t xml:space="preserve"> </w:t>
      </w:r>
      <w:r>
        <w:rPr>
          <w:rStyle w:val="DecValTok"/>
        </w:rPr>
        <w:t xml:space="preserve">2</w:t>
      </w:r>
      <w:r>
        <w:rPr>
          <w:rStyle w:val="NormalTok"/>
        </w:rPr>
        <w:t xml:space="preserve">, </w:t>
      </w:r>
      <w:r>
        <w:rPr>
          <w:rStyle w:val="DataTypeTok"/>
        </w:rPr>
        <w:t xml:space="preserve">cellheight =</w:t>
      </w:r>
      <w:r>
        <w:rPr>
          <w:rStyle w:val="NormalTok"/>
        </w:rPr>
        <w:t xml:space="preserve"> </w:t>
      </w:r>
      <w:r>
        <w:rPr>
          <w:rStyle w:val="DecValTok"/>
        </w:rPr>
        <w:t xml:space="preserve">2</w:t>
      </w:r>
      <w:r>
        <w:rPr>
          <w:rStyle w:val="NormalTok"/>
        </w:rPr>
        <w:t xml:space="preserve">)</w:t>
      </w:r>
    </w:p>
    <w:p>
      <w:pPr>
        <w:pStyle w:val="FigureWithCaption"/>
      </w:pPr>
      <w:r>
        <w:drawing>
          <wp:inline>
            <wp:extent cx="4620126" cy="3696101"/>
            <wp:effectExtent b="0" l="0" r="0" t="0"/>
            <wp:docPr descr="Heatmap showing Euclidean distances between samples clustered using complete linkage. Disease status and other experimental factors are visualised as column annotations." title="" id="1" name="Picture"/>
            <a:graphic>
              <a:graphicData uri="http://schemas.openxmlformats.org/drawingml/2006/picture">
                <pic:pic>
                  <pic:nvPicPr>
                    <pic:cNvPr descr="biocondutor-regulatory-genomics-workflow_files/figure-docx/figure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Heatmap showing Euclidean distances between samples clustered using complete linkage. Disease status and other experimental factors are visualised as column annotations.</w:t>
      </w:r>
    </w:p>
    <w:p>
      <w:pPr>
        <w:pStyle w:val="BodyText"/>
      </w:pPr>
      <w:r>
        <w:t xml:space="preserve">While there isn’t an unambiguous split between healthy and disease samples, the most distinct clusters (bottom right and top left) are entirely composed of SLE samples, with the central cluster containing all healthy samples and a number of SLE ones.</w:t>
      </w:r>
      <w:r>
        <w:t xml:space="preserve"> </w:t>
      </w:r>
      <w:r>
        <w:t xml:space="preserve">The clusters don’t appear to be due to the ISM or the presence of anti-Ro autoantibodies.</w:t>
      </w:r>
    </w:p>
    <w:p>
      <w:pPr>
        <w:pStyle w:val="BodyText"/>
      </w:pPr>
      <w:r>
        <w:t xml:space="preserve">Similarly, we can perform a principal component analysis (PCA) on the most variable 500 genes (Figure 3).</w:t>
      </w:r>
      <w:r>
        <w:t xml:space="preserve"> </w:t>
      </w:r>
      <w:r>
        <w:t xml:space="preserve">Note that we load</w:t>
      </w:r>
      <w:r>
        <w:t xml:space="preserve"> </w:t>
      </w:r>
      <w:r>
        <w:rPr>
          <w:rStyle w:val="VerbatimChar"/>
        </w:rPr>
        <w:t xml:space="preserve">ggplot2</w:t>
      </w:r>
      <w:r>
        <w:t xml:space="preserve"> </w:t>
      </w:r>
      <w:r>
        <w:t xml:space="preserve">[36]</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gureWithCaption"/>
      </w:pPr>
      <w:r>
        <w:drawing>
          <wp:inline>
            <wp:extent cx="4620126" cy="3696101"/>
            <wp:effectExtent b="0" l="0" r="0" t="0"/>
            <wp:docPr descr="Scatter plot showing results of a PCA with samples coloured according to their disease status." title="" id="1" name="Picture"/>
            <a:graphic>
              <a:graphicData uri="http://schemas.openxmlformats.org/drawingml/2006/picture">
                <pic:pic>
                  <pic:nvPicPr>
                    <pic:cNvPr descr="biocondutor-regulatory-genomics-workflow_files/figure-docx/figure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plot showing results of a PCA with samples coloured according to their disease status.</w:t>
      </w:r>
    </w:p>
    <w:p>
      <w:pPr>
        <w:pStyle w:val="BodyText"/>
      </w:pPr>
      <w:r>
        <w:t xml:space="preserve">We can see some separation of healthy and SLE samples along both PC1 and PC2, though some SLE samples appear very similar to the healthy ones.</w:t>
      </w:r>
      <w:r>
        <w:t xml:space="preserve"> </w:t>
      </w:r>
      <w:r>
        <w:t xml:space="preserve">No obvious batch effects are visible from this plot.</w:t>
      </w:r>
    </w:p>
    <w:p>
      <w:pPr>
        <w:pStyle w:val="BodyText"/>
      </w:pPr>
      <w:r>
        <w:t xml:space="preserve">Next, we select genes that are differentially expressed below a 0.05 adjusted</w:t>
      </w:r>
      <w:r>
        <w:t xml:space="preserve"> </w:t>
      </w:r>
      <w:r>
        <w:rPr>
          <w:i/>
        </w:rPr>
        <w:t xml:space="preserve">p</w:t>
      </w:r>
      <w:r>
        <w:t xml:space="preserve">-value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32820 with nonzero total read count</w:t>
      </w:r>
      <w:r>
        <w:br w:type="textWrapping"/>
      </w:r>
      <w:r>
        <w:rPr>
          <w:rStyle w:val="VerbatimChar"/>
        </w:rPr>
        <w:t xml:space="preserve">## adjusted p-value &lt; 0.05</w:t>
      </w:r>
      <w:r>
        <w:br w:type="textWrapping"/>
      </w:r>
      <w:r>
        <w:rPr>
          <w:rStyle w:val="VerbatimChar"/>
        </w:rPr>
        <w:t xml:space="preserve">## LFC &gt; 0 (up)     : 4829, 15% </w:t>
      </w:r>
      <w:r>
        <w:br w:type="textWrapping"/>
      </w:r>
      <w:r>
        <w:rPr>
          <w:rStyle w:val="VerbatimChar"/>
        </w:rPr>
        <w:t xml:space="preserve">## LFC &lt; 0 (down)   : 2709, 8.3% </w:t>
      </w:r>
      <w:r>
        <w:br w:type="textWrapping"/>
      </w:r>
      <w:r>
        <w:rPr>
          <w:rStyle w:val="VerbatimChar"/>
        </w:rPr>
        <w:t xml:space="preserve">## outliers [1]     : 0, 0% </w:t>
      </w:r>
      <w:r>
        <w:br w:type="textWrapping"/>
      </w:r>
      <w:r>
        <w:rPr>
          <w:rStyle w:val="VerbatimChar"/>
        </w:rPr>
        <w:t xml:space="preserve">## low counts [2]   : 2548, 7.8%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visualise the shrunken log2 fold changes using an MA plot (Figure 4):</w:t>
      </w:r>
    </w:p>
    <w:p>
      <w:pPr>
        <w:pStyle w:val="SourceCode"/>
      </w:pPr>
      <w:r>
        <w:rPr>
          <w:rStyle w:val="NormalTok"/>
        </w:rPr>
        <w:t xml:space="preserve">res_lfc &lt;-</w:t>
      </w:r>
      <w:r>
        <w:rPr>
          <w:rStyle w:val="StringTok"/>
        </w:rPr>
        <w:t xml:space="preserve"> </w:t>
      </w:r>
      <w:r>
        <w:rPr>
          <w:rStyle w:val="KeywordTok"/>
        </w:rPr>
        <w:t xml:space="preserve">lfcShrink</w:t>
      </w:r>
      <w:r>
        <w:rPr>
          <w:rStyle w:val="NormalTok"/>
        </w:rPr>
        <w:t xml:space="preserve">(dds, </w:t>
      </w:r>
      <w:r>
        <w:rPr>
          <w:rStyle w:val="DataTypeTok"/>
        </w:rPr>
        <w:t xml:space="preserve">coef =</w:t>
      </w:r>
      <w:r>
        <w:rPr>
          <w:rStyle w:val="NormalTok"/>
        </w:rPr>
        <w:t xml:space="preserve"> </w:t>
      </w:r>
      <w:r>
        <w:rPr>
          <w:rStyle w:val="DecValTok"/>
        </w:rPr>
        <w:t xml:space="preserve">2</w:t>
      </w:r>
      <w:r>
        <w:rPr>
          <w:rStyle w:val="NormalTok"/>
        </w:rPr>
        <w:t xml:space="preserve">)</w:t>
      </w:r>
      <w:r>
        <w:br w:type="textWrapping"/>
      </w:r>
      <w:r>
        <w:rPr>
          <w:rStyle w:val="KeywordTok"/>
        </w:rPr>
        <w:t xml:space="preserve">plotMA</w:t>
      </w:r>
      <w:r>
        <w:rPr>
          <w:rStyle w:val="NormalTok"/>
        </w:rPr>
        <w:t xml:space="preserve">(res_lfc,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gureWithCaption"/>
      </w:pPr>
      <w:r>
        <w:drawing>
          <wp:inline>
            <wp:extent cx="4620126" cy="3696101"/>
            <wp:effectExtent b="0" l="0" r="0" t="0"/>
            <wp:docPr descr="MA plot showing genes differentially expressed (red dots) in SLE patients compared to healthy patients." title="" id="1" name="Picture"/>
            <a:graphic>
              <a:graphicData uri="http://schemas.openxmlformats.org/drawingml/2006/picture">
                <pic:pic>
                  <pic:nvPicPr>
                    <pic:cNvPr descr="biocondutor-regulatory-genomics-workflow_files/figure-docx/figure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 plot showing genes differentially expressed (red dots) in SLE patients compared to healthy patients.</w:t>
      </w:r>
    </w:p>
    <w:p>
      <w:pPr>
        <w:pStyle w:val="BodyText"/>
      </w:pPr>
      <w:r>
        <w:t xml:space="preserve">We observe large numbers of genes differentially expressed in both directions and across a range of fold changes, though the majority of significant genes appear to be upregulated in disease.</w:t>
      </w:r>
    </w:p>
    <w:p>
      <w:pPr>
        <w:pStyle w:val="BodyText"/>
      </w:pPr>
      <w:r>
        <w:t xml:space="preserve">For convenience, we will save our differentially expressed genes (DEGs) in another object and map the GENCODE gene IDs to gene symbols using the annotation in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w:t>
      </w:r>
      <w:r>
        <w:rPr>
          <w:rStyle w:val="KeywordTok"/>
        </w:rPr>
        <w:t xml:space="preserve">as.data.frame</w:t>
      </w:r>
      <w:r>
        <w:rPr>
          <w:rStyle w:val="NormalTok"/>
        </w:rPr>
        <w:t xml:space="preserve">(degs),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(degs, </w:t>
      </w:r>
      <w:r>
        <w:rPr>
          <w:rStyle w:val="DecValTok"/>
        </w:rPr>
        <w:t xml:space="preserve">3</w:t>
      </w:r>
      <w:r>
        <w:rPr>
          <w:rStyle w:val="NormalTok"/>
        </w:rPr>
        <w:t xml:space="preserve">)</w:t>
      </w:r>
    </w:p>
    <w:p>
      <w:pPr>
        <w:pStyle w:val="SourceCode"/>
      </w:pPr>
      <w:r>
        <w:rPr>
          <w:rStyle w:val="VerbatimChar"/>
        </w:rPr>
        <w:t xml:space="preserve">## DataFrame with 3 rows and 9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ENSG00000000003 ENSG00000000003.14      4535 TSPAN6   8.739822</w:t>
      </w:r>
      <w:r>
        <w:br w:type="textWrapping"/>
      </w:r>
      <w:r>
        <w:rPr>
          <w:rStyle w:val="VerbatimChar"/>
        </w:rPr>
        <w:t xml:space="preserve">## ENSG00000000419 ENSG00000000419.12      1207   DPM1 431.485085</w:t>
      </w:r>
      <w:r>
        <w:br w:type="textWrapping"/>
      </w:r>
      <w:r>
        <w:rPr>
          <w:rStyle w:val="VerbatimChar"/>
        </w:rPr>
        <w:t xml:space="preserve">## ENSG00000000457 ENSG00000000457.13      6883  SCYL3 686.579323</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ENSG00000000003     -0.4750382 0.18374822 -2.585267 9.730366e-03</w:t>
      </w:r>
      <w:r>
        <w:br w:type="textWrapping"/>
      </w:r>
      <w:r>
        <w:rPr>
          <w:rStyle w:val="VerbatimChar"/>
        </w:rPr>
        <w:t xml:space="preserve">## ENSG00000000419      0.5559772 0.10117967  5.494950 3.908216e-08</w:t>
      </w:r>
      <w:r>
        <w:br w:type="textWrapping"/>
      </w:r>
      <w:r>
        <w:rPr>
          <w:rStyle w:val="VerbatimChar"/>
        </w:rPr>
        <w:t xml:space="preserve">## ENSG00000000457      0.1927081 0.05928191  3.250707 1.151185e-03</w:t>
      </w:r>
      <w:r>
        <w:br w:type="textWrapping"/>
      </w:r>
      <w:r>
        <w:rPr>
          <w:rStyle w:val="VerbatimChar"/>
        </w:rPr>
        <w:t xml:space="preserve">##                         padj</w:t>
      </w:r>
      <w:r>
        <w:br w:type="textWrapping"/>
      </w:r>
      <w:r>
        <w:rPr>
          <w:rStyle w:val="VerbatimChar"/>
        </w:rPr>
        <w:t xml:space="preserve">##                    &lt;numeric&gt;</w:t>
      </w:r>
      <w:r>
        <w:br w:type="textWrapping"/>
      </w:r>
      <w:r>
        <w:rPr>
          <w:rStyle w:val="VerbatimChar"/>
        </w:rPr>
        <w:t xml:space="preserve">## ENSG00000000003 4.161281e-02</w:t>
      </w:r>
      <w:r>
        <w:br w:type="textWrapping"/>
      </w:r>
      <w:r>
        <w:rPr>
          <w:rStyle w:val="VerbatimChar"/>
        </w:rPr>
        <w:t xml:space="preserve">## ENSG00000000419 2.182977e-06</w:t>
      </w:r>
      <w:r>
        <w:br w:type="textWrapping"/>
      </w:r>
      <w:r>
        <w:rPr>
          <w:rStyle w:val="VerbatimChar"/>
        </w:rPr>
        <w:t xml:space="preserve">## ENSG00000000457 7.922475e-03</w:t>
      </w:r>
    </w:p>
    <w:p>
      <w:pPr>
        <w:pStyle w:val="Heading2"/>
      </w:pPr>
      <w:bookmarkStart w:id="31" w:name="accessing-gwas-data"/>
      <w:bookmarkEnd w:id="31"/>
      <w:r>
        <w:t xml:space="preserve">Accessing GWAS data</w:t>
      </w:r>
    </w:p>
    <w:p>
      <w:pPr>
        <w:pStyle w:val="FirstParagraph"/>
      </w:pPr>
      <w:r>
        <w:t xml:space="preserve">The differential expression analysis resulted in several thousands of DEGs.</w:t>
      </w:r>
      <w:r>
        <w:t xml:space="preserve"> </w:t>
      </w:r>
      <w:r>
        <w:t xml:space="preserve">Since we know that genes with high levels of differential expression are more likely to harbour disease-associated variants</w:t>
      </w:r>
      <w:r>
        <w:t xml:space="preserve"> </w:t>
      </w:r>
      <w:r>
        <w:t xml:space="preserve">[37]</w:t>
      </w:r>
      <w:r>
        <w:t xml:space="preserve"> </w:t>
      </w:r>
      <w:r>
        <w:t xml:space="preserve">and that therapeutic targets with genetic evidence are more likely to progress through the drug discovery pipeline</w:t>
      </w:r>
      <w:r>
        <w:t xml:space="preserve"> </w:t>
      </w:r>
      <w:r>
        <w:t xml:space="preserve">[6]</w:t>
      </w:r>
      <w:r>
        <w:t xml:space="preserve">, one way to prioritise them is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[38]</w:t>
      </w:r>
      <w:r>
        <w:t xml:space="preserve">, which provides an interface to the GWAS catalog</w:t>
      </w:r>
      <w:r>
        <w:t xml:space="preserve"> </w:t>
      </w:r>
      <w:r>
        <w:t xml:space="preserve">[39]</w:t>
      </w:r>
      <w:r>
        <w:t xml:space="preserve">.</w:t>
      </w:r>
      <w:r>
        <w:t xml:space="preserve"> </w:t>
      </w:r>
      <w:r>
        <w:t xml:space="preserve">An alternative is to use the GRASP</w:t>
      </w:r>
      <w:r>
        <w:t xml:space="preserve"> </w:t>
      </w:r>
      <w:r>
        <w:t xml:space="preserve">[40]</w:t>
      </w:r>
      <w:r>
        <w:t xml:space="preserve"> </w:t>
      </w:r>
      <w:r>
        <w:t xml:space="preserve">database with the</w:t>
      </w:r>
      <w:r>
        <w:t xml:space="preserve"> </w:t>
      </w:r>
      <w:r>
        <w:rPr>
          <w:rStyle w:val="VerbatimChar"/>
        </w:rPr>
        <w:t xml:space="preserve">grasp2db</w:t>
      </w:r>
      <w:r>
        <w:t xml:space="preserve"> </w:t>
      </w:r>
      <w:r>
        <w:t xml:space="preserve">[41]</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KeywordTok"/>
        </w:rPr>
        <w:t xml:space="preserve">head</w:t>
      </w:r>
      <w:r>
        <w:rPr>
          <w:rStyle w:val="NormalTok"/>
        </w:rPr>
        <w:t xml:space="preserve">(snps, </w:t>
      </w:r>
      <w:r>
        <w:rPr>
          <w:rStyle w:val="DecValTok"/>
        </w:rPr>
        <w:t xml:space="preserve">3</w:t>
      </w:r>
      <w:r>
        <w:rPr>
          <w:rStyle w:val="NormalTok"/>
        </w:rPr>
        <w:t xml:space="preserve">)</w:t>
      </w:r>
    </w:p>
    <w:p>
      <w:pPr>
        <w:pStyle w:val="SourceCode"/>
      </w:pPr>
      <w:r>
        <w:rPr>
          <w:rStyle w:val="VerbatimChar"/>
        </w:rPr>
        <w:t xml:space="preserve">## gwasloc instance with 3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3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rPr>
          <w:rStyle w:val="VerbatimChar"/>
        </w:rPr>
        <w:t xml:space="preserve">snps</w:t>
      </w:r>
      <w:r>
        <w:t xml:space="preserve"> </w:t>
      </w:r>
      <w:r>
        <w:t xml:space="preserve">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represent genomic ranges in Bioconductor.</w:t>
      </w:r>
    </w:p>
    <w:p>
      <w:pPr>
        <w:pStyle w:val="BodyText"/>
      </w:pPr>
      <w:r>
        <w:t xml:space="preserve">We note here that the GWAS catalog uses GRCh38 coordinates, the same assembly used in the GENCODE v25 annotation.</w:t>
      </w:r>
      <w:r>
        <w:t xml:space="preserve"> </w:t>
      </w:r>
      <w:r>
        <w:t xml:space="preserve">When integrating genomic datasets from different sources it is essential to ensure that the same genome assembly is used, especially because many datasets in the public domain are still using GRCh37 coordinates.</w:t>
      </w:r>
      <w:r>
        <w:t xml:space="preserve"> </w:t>
      </w:r>
      <w:r>
        <w:t xml:space="preserve">As we will see below, it is possible and relatively straightforward to convert genomic coordinates between genome assemblies.</w:t>
      </w:r>
    </w:p>
    <w:p>
      <w:pPr>
        <w:pStyle w:val="BodyText"/>
      </w:pPr>
      <w:r>
        <w:t xml:space="preserve">We can select only SNPs that are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p>
    <w:p>
      <w:pPr>
        <w:pStyle w:val="FirstParagraph"/>
      </w:pPr>
      <w:r>
        <w:t xml:space="preserve">We can visualise these as a Manhattan plot to look at the distribution of GWAS</w:t>
      </w:r>
      <w:r>
        <w:t xml:space="preserve"> </w:t>
      </w:r>
      <w:r>
        <w:rPr>
          <w:i/>
        </w:rPr>
        <w:t xml:space="preserve">p</w:t>
      </w:r>
      <w:r>
        <w:t xml:space="preserve">-values over chromosomes on a negative log</w:t>
      </w:r>
      <w:r>
        <w:rPr>
          <w:vertAlign w:val="subscript"/>
        </w:rPr>
        <w:t xml:space="preserve">10</w:t>
      </w:r>
      <w:r>
        <w:t xml:space="preserve"> </w:t>
      </w:r>
      <w:r>
        <w:t xml:space="preserve">scale (Figure 5):</w:t>
      </w:r>
      <w:r>
        <w:t xml:space="preserve"> </w:t>
      </w:r>
      <w:r>
        <w:t xml:space="preserve">Note that</w:t>
      </w:r>
      <w:r>
        <w:t xml:space="preserve"> </w:t>
      </w:r>
      <w:r>
        <w:rPr>
          <w:i/>
        </w:rPr>
        <w:t xml:space="preserve">p</w:t>
      </w:r>
      <w:r>
        <w:t xml:space="preserve">-values lower than 1e-25 are truncated in the figure:</w:t>
      </w:r>
    </w:p>
    <w:p>
      <w:pPr>
        <w:pStyle w:val="SourceCode"/>
      </w:pP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"SLE GWAS SNPs"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"-log10(p-value)"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4620126" cy="3696101"/>
            <wp:effectExtent b="0" l="0" r="0" t="0"/>
            <wp:docPr descr="Manhattan plot showing GWAS variants significantly associated with SLE." title="" id="1" name="Picture"/>
            <a:graphic>
              <a:graphicData uri="http://schemas.openxmlformats.org/drawingml/2006/picture">
                <pic:pic>
                  <pic:nvPicPr>
                    <pic:cNvPr descr="biocondutor-regulatory-genomics-workflow_files/figure-docx/figure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Manhattan plot showing GWAS variants significantly associated with SLE.</w:t>
      </w:r>
    </w:p>
    <w:p>
      <w:pPr>
        <w:pStyle w:val="BodyText"/>
      </w:pPr>
      <w:r>
        <w:t xml:space="preserve">We observe several hits across most chromosomes, with many of them below a genome-wide significant threshold (</w:t>
      </w:r>
      <w:r>
        <w:rPr>
          <w:i/>
        </w:rPr>
        <w:t xml:space="preserve">p</w:t>
      </w:r>
      <w:r>
        <w:t xml:space="preserve">-value &lt; 1 x 10</w:t>
      </w:r>
      <w:r>
        <w:rPr>
          <w:vertAlign w:val="superscript"/>
        </w:rPr>
        <w:t xml:space="preserve">-8</w:t>
      </w:r>
      <w:r>
        <w:t xml:space="preserve">), suggesting that genetics plays an important role in the pathogenesis of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[42]</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(e.g.: r</w:t>
      </w:r>
      <w:r>
        <w:rPr>
          <w:vertAlign w:val="superscript"/>
        </w:rPr>
        <w:t xml:space="preserve">2</w:t>
      </w:r>
      <w:r>
        <w:t xml:space="preserve"> </w:t>
      </w:r>
      <w:r>
        <w:t xml:space="preserve">&gt; 0.8) and inherited with the tag SNPs.</w:t>
      </w:r>
      <w:r>
        <w:t xml:space="preserve"> </w:t>
      </w:r>
      <w:r>
        <w:t xml:space="preserve">Unfortunately, at the time of writing there is no straightforward way to perform this LD expansion step using R or Bioconductor packages, possibly because of the large amount of reference data required.</w:t>
      </w:r>
      <w:r>
        <w:t xml:space="preserve"> </w:t>
      </w:r>
      <w:r>
        <w:t xml:space="preserve">The</w:t>
      </w:r>
      <w:r>
        <w:t xml:space="preserve"> </w:t>
      </w:r>
      <w:r>
        <w:rPr>
          <w:rStyle w:val="VerbatimChar"/>
        </w:rPr>
        <w:t xml:space="preserve">ldblock</w:t>
      </w:r>
      <w:r>
        <w:t xml:space="preserve"> </w:t>
      </w:r>
      <w:r>
        <w:t xml:space="preserve">package</w:t>
      </w:r>
      <w:r>
        <w:t xml:space="preserve"> </w:t>
      </w:r>
      <w:r>
        <w:t xml:space="preserve">[43]</w:t>
      </w:r>
      <w:r>
        <w:t xml:space="preserve"> </w:t>
      </w:r>
      <w:r>
        <w:t xml:space="preserve">used to provide this functionality by downloading the HapMap data from the NCBI website, but the dataset was retired in 2016.</w:t>
      </w:r>
      <w:r>
        <w:t xml:space="preserve"> </w:t>
      </w:r>
      <w:r>
        <w:t xml:space="preserve">At present, the best option to do this programmatically is probably to query the Ensembl REST API</w:t>
      </w:r>
      <w:r>
        <w:t xml:space="preserve"> </w:t>
      </w:r>
      <w:r>
        <w:t xml:space="preserve">[44]</w:t>
      </w:r>
      <w:r>
        <w:t xml:space="preserve">.</w:t>
      </w:r>
    </w:p>
    <w:p>
      <w:pPr>
        <w:pStyle w:val="Heading2"/>
      </w:pPr>
      <w:bookmarkStart w:id="33" w:name="annotation-of-coding-and-proximal-snps-to-target-genes"/>
      <w:bookmarkEnd w:id="33"/>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GenomicFeatures</w:t>
      </w:r>
      <w:r>
        <w:t xml:space="preserve"> </w:t>
      </w:r>
      <w:r>
        <w:t xml:space="preserve">[45]</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[46]</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p>
    <w:p>
      <w:pPr>
        <w:pStyle w:val="FirstParagraph"/>
      </w:pPr>
      <w:r>
        <w:t xml:space="preserve">We use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 </w:t>
      </w:r>
      <w:r>
        <w:t xml:space="preserve">to recover metadata such as SNP IDs and GWAS</w:t>
      </w:r>
      <w:r>
        <w:t xml:space="preserve"> </w:t>
      </w:r>
      <w:r>
        <w:rPr>
          <w:i/>
        </w:rPr>
        <w:t xml:space="preserve">p</w:t>
      </w:r>
      <w:r>
        <w:t xml:space="preserve">-values from the original</w:t>
      </w:r>
      <w:r>
        <w:t xml:space="preserve"> </w:t>
      </w:r>
      <w:r>
        <w:rPr>
          <w:rStyle w:val="VerbatimChar"/>
        </w:rPr>
        <w:t xml:space="preserve">snps</w:t>
      </w:r>
      <w:r>
        <w:t xml:space="preserve"> </w:t>
      </w:r>
      <w:r>
        <w:t xml:space="preserve">object:</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p>
    <w:p>
      <w:pPr>
        <w:pStyle w:val="FirstParagraph"/>
      </w:pPr>
      <w:r>
        <w:t xml:space="preserve">We can visualise where these SNPs are located (Figure 6):</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"Genomic location of SNPs"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SNPs"</w:t>
      </w:r>
      <w:r>
        <w:rPr>
          <w:rStyle w:val="NormalTok"/>
        </w:rPr>
        <w:t xml:space="preserve">)</w:t>
      </w:r>
    </w:p>
    <w:p>
      <w:pPr>
        <w:pStyle w:val="FigureWithCaption"/>
      </w:pPr>
      <w:r>
        <w:drawing>
          <wp:inline>
            <wp:extent cx="4620126" cy="3696101"/>
            <wp:effectExtent b="0" l="0" r="0" t="0"/>
            <wp:docPr descr="Bar plot showing genomic locations associated with SLE variants." title="" id="1" name="Picture"/>
            <a:graphic>
              <a:graphicData uri="http://schemas.openxmlformats.org/drawingml/2006/picture">
                <pic:pic>
                  <pic:nvPicPr>
                    <pic:cNvPr descr="biocondutor-regulatory-genomics-workflow_files/figure-docx/figure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 plot showing genomic locations associated with SLE variants.</w:t>
      </w:r>
    </w:p>
    <w:p>
      <w:pPr>
        <w:pStyle w:val="BodyText"/>
      </w:pPr>
      <w:r>
        <w:t xml:space="preserve">As expected</w:t>
      </w:r>
      <w:r>
        <w:t xml:space="preserve"> </w:t>
      </w:r>
      <w:r>
        <w:t xml:space="preserve">[7]</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have 14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"Direct overlap"</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head</w:t>
      </w:r>
      <w:r>
        <w:rPr>
          <w:rStyle w:val="NormalTok"/>
        </w:rPr>
        <w:t xml:space="preserve">(prioritised_hits, </w:t>
      </w:r>
      <w:r>
        <w:rPr>
          <w:rStyle w:val="DecValTok"/>
        </w:rPr>
        <w:t xml:space="preserve">3</w:t>
      </w:r>
      <w:r>
        <w:rPr>
          <w:rStyle w:val="NormalTok"/>
        </w:rPr>
        <w:t xml:space="preserve">)</w:t>
      </w:r>
    </w:p>
    <w:p>
      <w:pPr>
        <w:pStyle w:val="SourceCode"/>
      </w:pPr>
      <w:r>
        <w:rPr>
          <w:rStyle w:val="VerbatimChar"/>
        </w:rPr>
        <w:t xml:space="preserve">##       snp_id snp_pvalue snp_location            gene_id gene_symbol</w:t>
      </w:r>
      <w:r>
        <w:br w:type="textWrapping"/>
      </w:r>
      <w:r>
        <w:rPr>
          <w:rStyle w:val="VerbatimChar"/>
        </w:rPr>
        <w:t xml:space="preserve">## 1  rs1887428      1e-06      fiveUTR ENSG00000096968.13        JAK2</w:t>
      </w:r>
      <w:r>
        <w:br w:type="textWrapping"/>
      </w:r>
      <w:r>
        <w:rPr>
          <w:rStyle w:val="VerbatimChar"/>
        </w:rPr>
        <w:t xml:space="preserve">## 2 rs58688157      5e-13     promoter ENSG00000099834.18       CDHR5</w:t>
      </w:r>
      <w:r>
        <w:br w:type="textWrapping"/>
      </w:r>
      <w:r>
        <w:rPr>
          <w:rStyle w:val="VerbatimChar"/>
        </w:rPr>
        <w:t xml:space="preserve">## 3  rs1990760      4e-08       coding  ENSG00000115267.5       IFIH1</w:t>
      </w:r>
      <w:r>
        <w:br w:type="textWrapping"/>
      </w:r>
      <w:r>
        <w:rPr>
          <w:rStyle w:val="VerbatimChar"/>
        </w:rPr>
        <w:t xml:space="preserve">##    gene_pvalue gene_log2foldchange         method</w:t>
      </w:r>
      <w:r>
        <w:br w:type="textWrapping"/>
      </w:r>
      <w:r>
        <w:rPr>
          <w:rStyle w:val="VerbatimChar"/>
        </w:rPr>
        <w:t xml:space="preserve">## 1 1.951160e-04            0.636590 Direct overlap</w:t>
      </w:r>
      <w:r>
        <w:br w:type="textWrapping"/>
      </w:r>
      <w:r>
        <w:rPr>
          <w:rStyle w:val="VerbatimChar"/>
        </w:rPr>
        <w:t xml:space="preserve">## 2 1.455662e-05            1.033372 Direct overlap</w:t>
      </w:r>
      <w:r>
        <w:br w:type="textWrapping"/>
      </w:r>
      <w:r>
        <w:rPr>
          <w:rStyle w:val="VerbatimChar"/>
        </w:rPr>
        <w:t xml:space="preserve">## 3 2.719420e-10            1.745324 Direct overlap</w:t>
      </w:r>
    </w:p>
    <w:p>
      <w:pPr>
        <w:pStyle w:val="Heading2"/>
      </w:pPr>
      <w:bookmarkStart w:id="35" w:name="use-of-regulatory-genomic-data-to-map-intronic-and-intergenic-snps-to-target-genes"/>
      <w:bookmarkEnd w:id="35"/>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variants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p>
    <w:p>
      <w:pPr>
        <w:pStyle w:val="Heading3"/>
      </w:pPr>
      <w:bookmarkStart w:id="36" w:name="eqtl-data"/>
      <w:bookmarkEnd w:id="36"/>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[9]</w:t>
      </w:r>
      <w:r>
        <w:t xml:space="preserve">.</w:t>
      </w:r>
      <w:r>
        <w:t xml:space="preserve"> </w:t>
      </w:r>
      <w:r>
        <w:t xml:space="preserve">Here, we will simply match GWAS SNPs and eQTLs according to their genomic locations, which is a rather crude way to integrate these two types of data.</w:t>
      </w:r>
      <w:r>
        <w:t xml:space="preserve"> </w:t>
      </w:r>
      <w:r>
        <w:t xml:space="preserve">More robust alternatives such as PrediXcan</w:t>
      </w:r>
      <w:r>
        <w:t xml:space="preserve"> </w:t>
      </w:r>
      <w:r>
        <w:t xml:space="preserve">[47]</w:t>
      </w:r>
      <w:r>
        <w:t xml:space="preserve">, TWAS</w:t>
      </w:r>
      <w:r>
        <w:t xml:space="preserve"> </w:t>
      </w:r>
      <w:r>
        <w:t xml:space="preserve">[48]</w:t>
      </w:r>
      <w:r>
        <w:t xml:space="preserve"> </w:t>
      </w:r>
      <w:r>
        <w:t xml:space="preserve">and SMR</w:t>
      </w:r>
      <w:r>
        <w:t xml:space="preserve"> </w:t>
      </w:r>
      <w:r>
        <w:t xml:space="preserve">[49]</w:t>
      </w:r>
      <w:r>
        <w:t xml:space="preserve"> </w:t>
      </w:r>
      <w:r>
        <w:t xml:space="preserve">exist and should be adopted if possible.</w:t>
      </w:r>
      <w:r>
        <w:t xml:space="preserve"> </w:t>
      </w:r>
      <w:r>
        <w:t xml:space="preserve">One downside of these methods is that they require subject-level or complete summary data, making them less practical in some circumstances.</w:t>
      </w:r>
    </w:p>
    <w:p>
      <w:pPr>
        <w:pStyle w:val="BodyText"/>
      </w:pPr>
      <w:r>
        <w:t xml:space="preserve">We will use blood eQTL data from the GTEx consortium</w:t>
      </w:r>
      <w:r>
        <w:t xml:space="preserve"> </w:t>
      </w:r>
      <w:r>
        <w:t xml:space="preserve">[10]</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w:t>
      </w:r>
      <w:r>
        <w:t xml:space="preserve"> </w:t>
      </w:r>
      <w:hyperlink r:id="rId37">
        <w:r>
          <w:rPr>
            <w:rStyle w:val="Hyperlink"/>
          </w:rPr>
          <w:t xml:space="preserve">GTEx portal</w:t>
        </w:r>
      </w:hyperlink>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 </w:t>
      </w:r>
      <w:r>
        <w:rPr>
          <w:rStyle w:val="DecValTok"/>
        </w:rPr>
        <w:t xml:space="preserve">3</w:t>
      </w:r>
      <w:r>
        <w:rPr>
          <w:rStyle w:val="NormalTok"/>
        </w:rPr>
        <w:t xml:space="preserve">)</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seqlevelsStyle</w:t>
      </w:r>
      <w:r>
        <w:rPr>
          <w:rStyle w:val="NormalTok"/>
        </w:rPr>
        <w:t xml:space="preserve">(gtex_blood) &lt;-</w:t>
      </w:r>
      <w:r>
        <w:rPr>
          <w:rStyle w:val="StringTok"/>
        </w:rPr>
        <w:t xml:space="preserve"> "UCSC"</w:t>
      </w:r>
    </w:p>
    <w:p>
      <w:pPr>
        <w:pStyle w:val="FirstParagraph"/>
      </w:pPr>
      <w:r>
        <w:t xml:space="preserve">From the publication</w:t>
      </w:r>
      <w:r>
        <w:t xml:space="preserve"> </w:t>
      </w:r>
      <w:r>
        <w:t xml:space="preserve">[10]</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[50]</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hyperlink r:id="rId38">
        <w:r>
          <w:rPr>
            <w:rStyle w:val="VerbatimChar"/>
            <w:rStyle w:val="Hyperlink"/>
          </w:rPr>
          <w:t xml:space="preserve">R.utils</w:t>
        </w:r>
      </w:hyperlink>
      <w:r>
        <w:t xml:space="preserve"> </w:t>
      </w:r>
      <w:r>
        <w:t xml:space="preserve">package is only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[45]</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p>
    <w:p>
      <w:pPr>
        <w:pStyle w:val="FirstParagraph"/>
      </w:pPr>
      <w:r>
        <w:t xml:space="preserve">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Note that gene IDs in GTEx are mapped to GENCODE v19</w:t>
      </w:r>
      <w:r>
        <w:t xml:space="preserve"> </w:t>
      </w:r>
      <w:r>
        <w:t xml:space="preserve">[10]</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can add these 17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"GTEx eQTLs"</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Heading3"/>
      </w:pPr>
      <w:bookmarkStart w:id="39" w:name="fantom5-data"/>
      <w:bookmarkEnd w:id="39"/>
      <w:r>
        <w:t xml:space="preserve">FANTOM5 data</w:t>
      </w:r>
    </w:p>
    <w:p>
      <w:pPr>
        <w:pStyle w:val="FirstParagraph"/>
      </w:pPr>
      <w:r>
        <w:t xml:space="preserve">The FANTOM consortium profiled gene expression across a large panel of tissues and cell types using CAGE</w:t>
      </w:r>
      <w:r>
        <w:t xml:space="preserve"> </w:t>
      </w:r>
      <w:r>
        <w:t xml:space="preserve">[15, 17]</w:t>
      </w:r>
      <w:r>
        <w:t xml:space="preserve">.</w:t>
      </w:r>
      <w:r>
        <w:t xml:space="preserve"> </w:t>
      </w:r>
      <w:r>
        <w:t xml:space="preserve">This technology allows mapping of transcription start sites and enhancer 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Let’s read in the enhancer - promoter correlation data:</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 </w:t>
      </w:r>
      <w:r>
        <w:rPr>
          <w:rStyle w:val="DecValTok"/>
        </w:rPr>
        <w:t xml:space="preserve">3</w:t>
      </w:r>
      <w:r>
        <w:rPr>
          <w:rStyle w:val="NormalTok"/>
        </w:rPr>
        <w:t xml:space="preserve">)</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hyperlink r:id="rId40">
        <w:r>
          <w:rPr>
            <w:rStyle w:val="VerbatimChar"/>
            <w:rStyle w:val="Hyperlink"/>
          </w:rPr>
          <w:t xml:space="preserve">splitstackshape</w:t>
        </w:r>
      </w:hyperlink>
      <w:r>
        <w:t xml:space="preserve"> </w:t>
      </w:r>
      <w:r>
        <w:t xml:space="preserve">package 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 and uplift the GRCh37 coordinates</w:t>
      </w:r>
      <w:r>
        <w:t xml:space="preserve"> </w:t>
      </w:r>
      <w:r>
        <w:t xml:space="preserve">[15]</w:t>
      </w:r>
      <w:r>
        <w:t xml:space="preserve"> </w:t>
      </w:r>
      <w:r>
        <w:t xml:space="preserve">to GRCh38:</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p>
    <w:p>
      <w:pPr>
        <w:pStyle w:val="FirstParagraph"/>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have identified 7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"FANTOM5 correlations"</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Heading3"/>
      </w:pPr>
      <w:bookmarkStart w:id="41" w:name="promoter-capture-hi-c-data"/>
      <w:bookmarkEnd w:id="41"/>
      <w:r>
        <w:t xml:space="preserve">Promoter Capture Hi-C data</w:t>
      </w:r>
    </w:p>
    <w:p>
      <w:pPr>
        <w:pStyle w:val="FirstParagraph"/>
      </w:pPr>
      <w:r>
        <w:t xml:space="preserve">More recently, chromatin interaction data was generated across 17 human primary blood cell types using promoter capture Hi-C</w:t>
      </w:r>
      <w:r>
        <w:t xml:space="preserve"> </w:t>
      </w:r>
      <w:r>
        <w:t xml:space="preserve">[21]</w:t>
      </w:r>
      <w:r>
        <w:t xml:space="preserve">.</w:t>
      </w:r>
      <w:r>
        <w:t xml:space="preserve"> </w:t>
      </w:r>
      <w:r>
        <w:t xml:space="preserve">More than 30,000 promoter baits were used to capture promoter-interacting regions genome-wide, which were then mapped to enhancers based on annotation present in the Ensembl Regulatory Build</w:t>
      </w:r>
      <w:r>
        <w:t xml:space="preserve"> </w:t>
      </w:r>
      <w:r>
        <w:t xml:space="preserve">[51]</w:t>
      </w:r>
      <w:r>
        <w:t xml:space="preserve">.</w:t>
      </w:r>
      <w:r>
        <w:t xml:space="preserve"> </w:t>
      </w:r>
      <w:r>
        <w:t xml:space="preserve">This dataset provides a valuable resource for interpreting complex genomic data, especially in the context of autoimmune diseases (and other conditions where immune cells play a role).</w:t>
      </w:r>
      <w:r>
        <w:t xml:space="preserve"> </w:t>
      </w:r>
      <w:r>
        <w:t xml:space="preserve">Significant interactions between enhancers and promoters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 </w:t>
      </w:r>
      <w:r>
        <w:rPr>
          <w:rStyle w:val="DecValTok"/>
        </w:rPr>
        <w:t xml:space="preserve">3</w:t>
      </w:r>
      <w:r>
        <w:rPr>
          <w:rStyle w:val="NormalTok"/>
        </w:rPr>
        <w:t xml:space="preserve">)</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p>
    <w:p>
      <w:pPr>
        <w:pStyle w:val="FirstParagraph"/>
      </w:pPr>
      <w:r>
        <w:t xml:space="preserve">We will use the</w:t>
      </w:r>
      <w:r>
        <w:t xml:space="preserve"> </w:t>
      </w:r>
      <w:r>
        <w:rPr>
          <w:rStyle w:val="VerbatimChar"/>
        </w:rPr>
        <w:t xml:space="preserve">InteractionSet</w:t>
      </w:r>
      <w:r>
        <w:t xml:space="preserve"> </w:t>
      </w:r>
      <w:r>
        <w:t xml:space="preserve">package</w:t>
      </w:r>
      <w:r>
        <w:t xml:space="preserve"> </w:t>
      </w:r>
      <w:r>
        <w:t xml:space="preserve">[52]</w:t>
      </w:r>
      <w:r>
        <w:t xml:space="preserve">, which is specifically designed for the representation of chromatin interaction data.</w:t>
      </w:r>
      <w:r>
        <w:t xml:space="preserve"> </w:t>
      </w:r>
      <w:r>
        <w:t xml:space="preserve">We start by creating a</w:t>
      </w:r>
      <w:r>
        <w:t xml:space="preserve"> </w:t>
      </w:r>
      <w:r>
        <w:rPr>
          <w:rStyle w:val="VerbatimChar"/>
        </w:rPr>
        <w:t xml:space="preserve">GInteractions</w:t>
      </w:r>
      <w:r>
        <w:t xml:space="preserve"> </w:t>
      </w:r>
      <w:r>
        <w:t xml:space="preserve">object:</w:t>
      </w:r>
    </w:p>
    <w:p>
      <w:pPr>
        <w:pStyle w:val="SourceCode"/>
      </w:pPr>
      <w:r>
        <w:rPr>
          <w:rStyle w:val="KeywordTok"/>
        </w:rPr>
        <w:t xml:space="preserve">library</w:t>
      </w:r>
      <w:r>
        <w:rPr>
          <w:rStyle w:val="NormalTok"/>
        </w:rPr>
        <w:t xml:space="preserve">(InteractionSet)</w:t>
      </w:r>
      <w:r>
        <w:br w:type="textWrapping"/>
      </w:r>
      <w:r>
        <w:rPr>
          <w:rStyle w:val="NormalTok"/>
        </w:rPr>
        <w:t xml:space="preserve">promoters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enhancers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w:t>
      </w:r>
      <w:r>
        <w:br w:type="textWrapping"/>
      </w:r>
      <w:r>
        <w:rPr>
          <w:rStyle w:val="NormalTok"/>
        </w:rPr>
        <w:t xml:space="preserve">pchic &lt;-</w:t>
      </w:r>
      <w:r>
        <w:rPr>
          <w:rStyle w:val="StringTok"/>
        </w:rPr>
        <w:t xml:space="preserve"> </w:t>
      </w:r>
      <w:r>
        <w:rPr>
          <w:rStyle w:val="KeywordTok"/>
        </w:rPr>
        <w:t xml:space="preserve">GInteractions</w:t>
      </w:r>
      <w:r>
        <w:rPr>
          <w:rStyle w:val="NormalTok"/>
        </w:rPr>
        <w:t xml:space="preserve">(promoters, enhancers)</w:t>
      </w:r>
    </w:p>
    <w:p>
      <w:pPr>
        <w:pStyle w:val="FirstParagraph"/>
      </w:pPr>
      <w:r>
        <w:t xml:space="preserve">As gene identifiers are not provided, we also have to map promoters to the respective genes so that we know which genes are regulated by which enhancers.</w:t>
      </w:r>
      <w:r>
        <w:t xml:space="preserve"> </w:t>
      </w:r>
      <w:r>
        <w:t xml:space="preserve">We can do this by using the</w:t>
      </w:r>
      <w:r>
        <w:t xml:space="preserve"> </w:t>
      </w:r>
      <w:r>
        <w:rPr>
          <w:rStyle w:val="VerbatimChar"/>
        </w:rPr>
        <w:t xml:space="preserve">TxDb</w:t>
      </w:r>
      <w:r>
        <w:t xml:space="preserve"> </w:t>
      </w:r>
      <w:r>
        <w:t xml:space="preserve">object we previously built to extract positions of transcription start sites (TSSs) and then add the GENCODE gene IDs as metadata to the</w:t>
      </w:r>
      <w:r>
        <w:t xml:space="preserve"> </w:t>
      </w:r>
      <w:r>
        <w:rPr>
          <w:rStyle w:val="VerbatimChar"/>
        </w:rPr>
        <w:t xml:space="preserve">pchic</w:t>
      </w:r>
      <w:r>
        <w:t xml:space="preserve"> </w:t>
      </w:r>
      <w:r>
        <w:t xml:space="preserve">object:</w:t>
      </w:r>
    </w:p>
    <w:p>
      <w:pPr>
        <w:pStyle w:val="SourceCode"/>
      </w:pP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(promoters, tsss)</w:t>
      </w:r>
      <w:r>
        <w:br w:type="textWrapping"/>
      </w:r>
      <w:r>
        <w:rPr>
          <w:rStyle w:val="NormalTok"/>
        </w:rPr>
        <w:t xml:space="preserve">pchic</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p>
    <w:p>
      <w:pPr>
        <w:pStyle w:val="FirstParagraph"/>
      </w:pPr>
      <w:r>
        <w:t xml:space="preserve">Next, we calculate the overlaps between SLE GWAS SNPs and enhancers (the</w:t>
      </w:r>
      <w:r>
        <w:t xml:space="preserve"> </w:t>
      </w:r>
      <w:r>
        <w:rPr>
          <w:i/>
        </w:rPr>
        <w:t xml:space="preserve">second</w:t>
      </w:r>
      <w:r>
        <w:t xml:space="preserve"> </w:t>
      </w:r>
      <w:r>
        <w:t xml:space="preserve">region of the</w:t>
      </w:r>
      <w:r>
        <w:t xml:space="preserve"> </w:t>
      </w:r>
      <w:r>
        <w:rPr>
          <w:rStyle w:val="VerbatimChar"/>
        </w:rPr>
        <w:t xml:space="preserve">GInteractions</w:t>
      </w:r>
      <w:r>
        <w:t xml:space="preserve"> </w:t>
      </w:r>
      <w:r>
        <w:t xml:space="preserve">object) :</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 </w:t>
      </w:r>
      <w:r>
        <w:rPr>
          <w:rStyle w:val="DataTypeTok"/>
        </w:rPr>
        <w:t xml:space="preserve">use.region =</w:t>
      </w:r>
      <w:r>
        <w:rPr>
          <w:rStyle w:val="NormalTok"/>
        </w:rPr>
        <w:t xml:space="preserve"> </w:t>
      </w:r>
      <w:r>
        <w:rPr>
          <w:rStyle w:val="StringTok"/>
        </w:rPr>
        <w:t xml:space="preserve">"second"</w:t>
      </w:r>
      <w:r>
        <w:rPr>
          <w:rStyle w:val="NormalTok"/>
        </w:rPr>
        <w:t xml:space="preserve">)</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p>
    <w:p>
      <w:pPr>
        <w:pStyle w:val="FirstParagraph"/>
      </w:pPr>
      <w:r>
        <w:t xml:space="preserve">We check if any of these enhancers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And finally we add these 13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"Promoter capture Hi-C"</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FirstParagraph"/>
      </w:pPr>
      <w:r>
        <w:t xml:space="preserve">These are the final results of our target identification exercise.</w:t>
      </w:r>
      <w:r>
        <w:t xml:space="preserve"> </w:t>
      </w:r>
      <w:r>
        <w:t xml:space="preserve">We can have a look at the most significant SNPs mapped with each of the methods:</w:t>
      </w:r>
    </w:p>
    <w:p>
      <w:pPr>
        <w:pStyle w:val="SourceCode"/>
      </w:pPr>
      <w:r>
        <w:rPr>
          <w:rStyle w:val="NormalTok"/>
        </w:rPr>
        <w:t xml:space="preserve">top_prioritised_hits &lt;-</w:t>
      </w:r>
      <w:r>
        <w:rPr>
          <w:rStyle w:val="StringTok"/>
        </w:rPr>
        <w:t xml:space="preserve"> </w:t>
      </w:r>
      <w:r>
        <w:rPr>
          <w:rStyle w:val="NormalTok"/>
        </w:rPr>
        <w:t xml:space="preserve">prioritised_hits[</w:t>
      </w:r>
      <w:r>
        <w:rPr>
          <w:rStyle w:val="KeywordTok"/>
        </w:rPr>
        <w:t xml:space="preserve">order</w:t>
      </w:r>
      <w:r>
        <w:rPr>
          <w:rStyle w:val="NormalTok"/>
        </w:rPr>
        <w:t xml:space="preserve">(prioritised_hits</w:t>
      </w:r>
      <w:r>
        <w:rPr>
          <w:rStyle w:val="OperatorTok"/>
        </w:rPr>
        <w:t xml:space="preserve">$</w:t>
      </w:r>
      <w:r>
        <w:rPr>
          <w:rStyle w:val="NormalTok"/>
        </w:rPr>
        <w:t xml:space="preserve">snp_pvalue),]</w:t>
      </w:r>
      <w:r>
        <w:br w:type="textWrapping"/>
      </w:r>
      <w:r>
        <w:rPr>
          <w:rStyle w:val="NormalTok"/>
        </w:rPr>
        <w:t xml:space="preserve">top_prioritised_hits &lt;-</w:t>
      </w:r>
      <w:r>
        <w:rPr>
          <w:rStyle w:val="StringTok"/>
        </w:rPr>
        <w:t xml:space="preserve"> </w:t>
      </w:r>
      <w:r>
        <w:rPr>
          <w:rStyle w:val="KeywordTok"/>
        </w:rPr>
        <w:t xml:space="preserve">split</w:t>
      </w:r>
      <w:r>
        <w:rPr>
          <w:rStyle w:val="NormalTok"/>
        </w:rPr>
        <w:t xml:space="preserve">(top_prioritised_hits, top_prioritised_hits</w:t>
      </w:r>
      <w:r>
        <w:rPr>
          <w:rStyle w:val="OperatorTok"/>
        </w:rPr>
        <w:t xml:space="preserve">$</w:t>
      </w:r>
      <w:r>
        <w:rPr>
          <w:rStyle w:val="NormalTok"/>
        </w:rPr>
        <w:t xml:space="preserve">method)</w:t>
      </w:r>
      <w:r>
        <w:br w:type="textWrapping"/>
      </w:r>
      <w:r>
        <w:rPr>
          <w:rStyle w:val="KeywordTok"/>
        </w:rPr>
        <w:t xml:space="preserve">do.call</w:t>
      </w:r>
      <w:r>
        <w:rPr>
          <w:rStyle w:val="NormalTok"/>
        </w:rPr>
        <w:t xml:space="preserve">(rbind, </w:t>
      </w:r>
      <w:r>
        <w:rPr>
          <w:rStyle w:val="KeywordTok"/>
        </w:rPr>
        <w:t xml:space="preserve">lapply</w:t>
      </w:r>
      <w:r>
        <w:rPr>
          <w:rStyle w:val="NormalTok"/>
        </w:rPr>
        <w:t xml:space="preserve">(top_prioritised_hits, head, </w:t>
      </w:r>
      <w:r>
        <w:rPr>
          <w:rStyle w:val="DecValTok"/>
        </w:rPr>
        <w:t xml:space="preserve">1</w:t>
      </w:r>
      <w:r>
        <w:rPr>
          <w:rStyle w:val="NormalTok"/>
        </w:rPr>
        <w:t xml:space="preserve">))</w:t>
      </w:r>
    </w:p>
    <w:p>
      <w:pPr>
        <w:pStyle w:val="SourceCode"/>
      </w:pPr>
      <w:r>
        <w:rPr>
          <w:rStyle w:val="VerbatimChar"/>
        </w:rPr>
        <w:t xml:space="preserve">##                          snp_id snp_pvalue snp_location            gene_id</w:t>
      </w:r>
      <w:r>
        <w:br w:type="textWrapping"/>
      </w:r>
      <w:r>
        <w:rPr>
          <w:rStyle w:val="VerbatimChar"/>
        </w:rPr>
        <w:t xml:space="preserve">## Direct overlap        rs3757387      1e-48     promoter ENSG00000128604.18</w:t>
      </w:r>
      <w:r>
        <w:br w:type="textWrapping"/>
      </w:r>
      <w:r>
        <w:rPr>
          <w:rStyle w:val="VerbatimChar"/>
        </w:rPr>
        <w:t xml:space="preserve">## GTEx eQTLs            rs1270942     2e-165       intron ENSG00000166278.14</w:t>
      </w:r>
      <w:r>
        <w:br w:type="textWrapping"/>
      </w:r>
      <w:r>
        <w:rPr>
          <w:rStyle w:val="VerbatimChar"/>
        </w:rPr>
        <w:t xml:space="preserve">## FANTOM5 correlations  rs1150754      6e-29       intron  ENSG00000204421.2</w:t>
      </w:r>
      <w:r>
        <w:br w:type="textWrapping"/>
      </w:r>
      <w:r>
        <w:rPr>
          <w:rStyle w:val="VerbatimChar"/>
        </w:rPr>
        <w:t xml:space="preserve">## Promoter capture Hi-C rs1270942     2e-165       intron  ENSG00000219797.2</w:t>
      </w:r>
      <w:r>
        <w:br w:type="textWrapping"/>
      </w:r>
      <w:r>
        <w:rPr>
          <w:rStyle w:val="VerbatimChar"/>
        </w:rPr>
        <w:t xml:space="preserve">##                       gene_symbol  gene_pvalue gene_log2foldchange</w:t>
      </w:r>
      <w:r>
        <w:br w:type="textWrapping"/>
      </w:r>
      <w:r>
        <w:rPr>
          <w:rStyle w:val="VerbatimChar"/>
        </w:rPr>
        <w:t xml:space="preserve">## Direct overlap               IRF5 5.006707e-03           0.4041349</w:t>
      </w:r>
      <w:r>
        <w:br w:type="textWrapping"/>
      </w:r>
      <w:r>
        <w:rPr>
          <w:rStyle w:val="VerbatimChar"/>
        </w:rPr>
        <w:t xml:space="preserve">## GTEx eQTLs                     C2 1.625111e-03           0.9269526</w:t>
      </w:r>
      <w:r>
        <w:br w:type="textWrapping"/>
      </w:r>
      <w:r>
        <w:rPr>
          <w:rStyle w:val="VerbatimChar"/>
        </w:rPr>
        <w:t xml:space="preserve">## FANTOM5 correlations       LY6G6C 3.575357e-05           1.4327915</w:t>
      </w:r>
      <w:r>
        <w:br w:type="textWrapping"/>
      </w:r>
      <w:r>
        <w:rPr>
          <w:rStyle w:val="VerbatimChar"/>
        </w:rPr>
        <w:t xml:space="preserve">## Promoter capture Hi-C          NA 1.919459e-04           0.4556364</w:t>
      </w:r>
      <w:r>
        <w:br w:type="textWrapping"/>
      </w:r>
      <w:r>
        <w:rPr>
          <w:rStyle w:val="VerbatimChar"/>
        </w:rPr>
        <w:t xml:space="preserve">##                                      method</w:t>
      </w:r>
      <w:r>
        <w:br w:type="textWrapping"/>
      </w:r>
      <w:r>
        <w:rPr>
          <w:rStyle w:val="VerbatimChar"/>
        </w:rPr>
        <w:t xml:space="preserve">## Direct overlap               Direct overlap</w:t>
      </w:r>
      <w:r>
        <w:br w:type="textWrapping"/>
      </w:r>
      <w:r>
        <w:rPr>
          <w:rStyle w:val="VerbatimChar"/>
        </w:rPr>
        <w:t xml:space="preserve">## GTEx eQTLs                       GTEx eQTLs</w:t>
      </w:r>
      <w:r>
        <w:br w:type="textWrapping"/>
      </w:r>
      <w:r>
        <w:rPr>
          <w:rStyle w:val="VerbatimChar"/>
        </w:rPr>
        <w:t xml:space="preserve">## FANTOM5 correlations   FANTOM5 correlations</w:t>
      </w:r>
      <w:r>
        <w:br w:type="textWrapping"/>
      </w:r>
      <w:r>
        <w:rPr>
          <w:rStyle w:val="VerbatimChar"/>
        </w:rPr>
        <w:t xml:space="preserve">## Promoter capture Hi-C Promoter capture Hi-C</w:t>
      </w:r>
    </w:p>
    <w:p>
      <w:pPr>
        <w:pStyle w:val="FirstParagraph"/>
      </w:pPr>
      <w:r>
        <w:t xml:space="preserve">We can also visualise the relative contributions from the different approaches we used (Figure 7):</w:t>
      </w:r>
    </w:p>
    <w:p>
      <w:pPr>
        <w:pStyle w:val="SourceCode"/>
      </w:pPr>
      <w:r>
        <w:rPr>
          <w:rStyle w:val="NormalTok"/>
        </w:rPr>
        <w:t xml:space="preserve">prioritised_genes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rPr>
          <w:rStyle w:val="DataTypeTok"/>
        </w:rPr>
        <w:t xml:space="preserve">gene_id =</w:t>
      </w:r>
      <w:r>
        <w:rPr>
          <w:rStyle w:val="NormalTok"/>
        </w:rPr>
        <w:t xml:space="preserve"> prioritised_hits</w:t>
      </w:r>
      <w:r>
        <w:rPr>
          <w:rStyle w:val="OperatorTok"/>
        </w:rPr>
        <w:t xml:space="preserve">$</w:t>
      </w:r>
      <w:r>
        <w:rPr>
          <w:rStyle w:val="NormalTok"/>
        </w:rPr>
        <w:t xml:space="preserve">gene_id, </w:t>
      </w:r>
      <w:r>
        <w:rPr>
          <w:rStyle w:val="DataTypeTok"/>
        </w:rPr>
        <w:t xml:space="preserve">method =</w:t>
      </w:r>
      <w:r>
        <w:rPr>
          <w:rStyle w:val="NormalTok"/>
        </w:rPr>
        <w:t xml:space="preserve"> prioritised_hits</w:t>
      </w:r>
      <w:r>
        <w:rPr>
          <w:rStyle w:val="OperatorTok"/>
        </w:rPr>
        <w:t xml:space="preserve">$</w:t>
      </w:r>
      <w:r>
        <w:rPr>
          <w:rStyle w:val="NormalTok"/>
        </w:rPr>
        <w:t xml:space="preserve">method))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prioritised_genes, </w:t>
      </w:r>
      <w:r>
        <w:rPr>
          <w:rStyle w:val="KeywordTok"/>
        </w:rPr>
        <w:t xml:space="preserve">aes</w:t>
      </w:r>
      <w:r>
        <w:rPr>
          <w:rStyle w:val="NormalTok"/>
        </w:rPr>
        <w:t xml:space="preserve">(</w:t>
      </w:r>
      <w:r>
        <w:rPr>
          <w:rStyle w:val="DataTypeTok"/>
        </w:rPr>
        <w:t xml:space="preserve">x =</w:t>
      </w:r>
      <w:r>
        <w:rPr>
          <w:rStyle w:val="NormalTok"/>
        </w:rPr>
        <w:t xml:space="preserve"> method))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method), </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genes"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4620126" cy="3696101"/>
            <wp:effectExtent b="0" l="0" r="0" t="0"/>
            <wp:docPr descr="Bar plot showing number of genes identified by each variant mapping method." title="" id="1" name="Picture"/>
            <a:graphic>
              <a:graphicData uri="http://schemas.openxmlformats.org/drawingml/2006/picture">
                <pic:pic>
                  <pic:nvPicPr>
                    <pic:cNvPr descr="biocondutor-regulatory-genomics-workflow_files/figure-docx/figure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 plot showing number of genes identified by each variant mapping method.</w:t>
      </w:r>
    </w:p>
    <w:p>
      <w:pPr>
        <w:pStyle w:val="BodyText"/>
      </w:pPr>
      <w:r>
        <w:t xml:space="preserve">We observe that all methods significantly contributed to the identification of genes associated with GWAS SNPs.</w:t>
      </w:r>
      <w:r>
        <w:t xml:space="preserve"> </w:t>
      </w:r>
      <w:r>
        <w:t xml:space="preserve">The majority of genes were identified through the integration of the GTEx blood eQTL data, followed by the methods based on direct overlap, promoter capture Hi-C data and FANTOM5 correlations.</w:t>
      </w:r>
    </w:p>
    <w:p>
      <w:pPr>
        <w:pStyle w:val="Heading2"/>
      </w:pPr>
      <w:bookmarkStart w:id="43" w:name="functional-analysis-of-prioritised-hits"/>
      <w:bookmarkEnd w:id="43"/>
      <w:r>
        <w:t xml:space="preserve">Functional analysis of prioritised hits</w:t>
      </w:r>
    </w:p>
    <w:p>
      <w:pPr>
        <w:pStyle w:val="FirstParagraph"/>
      </w:pPr>
      <w:r>
        <w:t xml:space="preserve">We will use biological processes from the Gene Ontology</w:t>
      </w:r>
      <w:r>
        <w:t xml:space="preserve"> </w:t>
      </w:r>
      <w:r>
        <w:t xml:space="preserve">[53]</w:t>
      </w:r>
      <w:r>
        <w:t xml:space="preserve"> </w:t>
      </w:r>
      <w:r>
        <w:t xml:space="preserve">and the</w:t>
      </w:r>
      <w:r>
        <w:t xml:space="preserve"> </w:t>
      </w:r>
      <w:r>
        <w:rPr>
          <w:rStyle w:val="VerbatimChar"/>
        </w:rPr>
        <w:t xml:space="preserve">clusterProfiler</w:t>
      </w:r>
      <w:r>
        <w:t xml:space="preserve"> </w:t>
      </w:r>
      <w:r>
        <w:t xml:space="preserve">package</w:t>
      </w:r>
      <w:r>
        <w:t xml:space="preserve"> </w:t>
      </w:r>
      <w:r>
        <w:t xml:space="preserve">[54]</w:t>
      </w:r>
      <w:r>
        <w:t xml:space="preserve"> </w:t>
      </w:r>
      <w:r>
        <w:t xml:space="preserve">to functionally characterise our list of genes:</w:t>
      </w:r>
    </w:p>
    <w:p>
      <w:pPr>
        <w:pStyle w:val="SourceCode"/>
      </w:pPr>
      <w:r>
        <w:rPr>
          <w:rStyle w:val="KeywordTok"/>
        </w:rPr>
        <w:t xml:space="preserve">library</w:t>
      </w:r>
      <w:r>
        <w:rPr>
          <w:rStyle w:val="NormalTok"/>
        </w:rPr>
        <w:t xml:space="preserve">(clusterProfiler)</w:t>
      </w:r>
      <w:r>
        <w:br w:type="textWrapping"/>
      </w:r>
      <w:r>
        <w:rPr>
          <w:rStyle w:val="NormalTok"/>
        </w:rPr>
        <w:t xml:space="preserve">prioritised_hits_ensembl_ids &lt;-</w:t>
      </w:r>
      <w:r>
        <w:rPr>
          <w:rStyle w:val="StringTok"/>
        </w:rPr>
        <w:t xml:space="preserve"> </w:t>
      </w:r>
      <w:r>
        <w:rPr>
          <w:rStyle w:val="KeywordTok"/>
        </w:rPr>
        <w:t xml:space="preserve">unique</w:t>
      </w:r>
      <w:r>
        <w:rPr>
          <w:rStyle w:val="NormalTok"/>
        </w:rPr>
        <w:t xml:space="preserve">(</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prioritised_hits</w:t>
      </w:r>
      <w:r>
        <w:rPr>
          <w:rStyle w:val="OperatorTok"/>
        </w:rPr>
        <w:t xml:space="preserve">$</w:t>
      </w:r>
      <w:r>
        <w:rPr>
          <w:rStyle w:val="NormalTok"/>
        </w:rPr>
        <w:t xml:space="preserve">gene_id))</w:t>
      </w:r>
      <w:r>
        <w:br w:type="textWrapping"/>
      </w:r>
      <w:r>
        <w:rPr>
          <w:rStyle w:val="NormalTok"/>
        </w:rPr>
        <w:t xml:space="preserve">all_genes_ensembl_ids &lt;-</w:t>
      </w:r>
      <w:r>
        <w:rPr>
          <w:rStyle w:val="StringTok"/>
        </w:rPr>
        <w:t xml:space="preserve"> </w:t>
      </w:r>
      <w:r>
        <w:rPr>
          <w:rStyle w:val="KeywordTok"/>
        </w:rPr>
        <w:t xml:space="preserve">unique</w:t>
      </w:r>
      <w:r>
        <w:rPr>
          <w:rStyle w:val="NormalTok"/>
        </w:rPr>
        <w:t xml:space="preserve">(</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w:t>
      </w:r>
      <w:r>
        <w:rPr>
          <w:rStyle w:val="KeywordTok"/>
        </w:rPr>
        <w:t xml:space="preserve">rownames</w:t>
      </w:r>
      <w:r>
        <w:rPr>
          <w:rStyle w:val="NormalTok"/>
        </w:rPr>
        <w:t xml:space="preserve">(rse)))</w:t>
      </w:r>
      <w:r>
        <w:br w:type="textWrapping"/>
      </w:r>
      <w:r>
        <w:rPr>
          <w:rStyle w:val="NormalTok"/>
        </w:rPr>
        <w:t xml:space="preserve">gobp_enrichment &lt;-</w:t>
      </w:r>
      <w:r>
        <w:rPr>
          <w:rStyle w:val="StringTok"/>
        </w:rPr>
        <w:t xml:space="preserve"> </w:t>
      </w:r>
      <w:r>
        <w:rPr>
          <w:rStyle w:val="KeywordTok"/>
        </w:rPr>
        <w:t xml:space="preserve">enrichGO</w:t>
      </w:r>
      <w:r>
        <w:rPr>
          <w:rStyle w:val="NormalTok"/>
        </w:rPr>
        <w:t xml:space="preserve">(prioritised_hits_ensembl_ids,</w:t>
      </w:r>
      <w:r>
        <w:br w:type="textWrapping"/>
      </w:r>
      <w:r>
        <w:rPr>
          <w:rStyle w:val="NormalTok"/>
        </w:rPr>
        <w:t xml:space="preserve">                            </w:t>
      </w:r>
      <w:r>
        <w:rPr>
          <w:rStyle w:val="DataTypeTok"/>
        </w:rPr>
        <w:t xml:space="preserve">universe =</w:t>
      </w:r>
      <w:r>
        <w:rPr>
          <w:rStyle w:val="NormalTok"/>
        </w:rPr>
        <w:t xml:space="preserve"> all_genes_ensembl_ids,</w:t>
      </w:r>
      <w:r>
        <w:br w:type="textWrapping"/>
      </w:r>
      <w:r>
        <w:rPr>
          <w:rStyle w:val="NormalTok"/>
        </w:rPr>
        <w:t xml:space="preserve">                            </w:t>
      </w:r>
      <w:r>
        <w:rPr>
          <w:rStyle w:val="DataTypeTok"/>
        </w:rPr>
        <w:t xml:space="preserve">OrgDb =</w:t>
      </w:r>
      <w:r>
        <w:rPr>
          <w:rStyle w:val="NormalTok"/>
        </w:rPr>
        <w:t xml:space="preserve"> org.Hs.eg.db,</w:t>
      </w:r>
      <w:r>
        <w:br w:type="textWrapping"/>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type="textWrapping"/>
      </w:r>
      <w:r>
        <w:rPr>
          <w:rStyle w:val="NormalTok"/>
        </w:rPr>
        <w:t xml:space="preserve">                            </w:t>
      </w:r>
      <w:r>
        <w:rPr>
          <w:rStyle w:val="DataTypeTok"/>
        </w:rPr>
        <w:t xml:space="preserve">ont =</w:t>
      </w:r>
      <w:r>
        <w:rPr>
          <w:rStyle w:val="NormalTok"/>
        </w:rPr>
        <w:t xml:space="preserve"> </w:t>
      </w:r>
      <w:r>
        <w:rPr>
          <w:rStyle w:val="StringTok"/>
        </w:rPr>
        <w:t xml:space="preserve">"BP"</w:t>
      </w:r>
      <w:r>
        <w:rPr>
          <w:rStyle w:val="NormalTok"/>
        </w:rPr>
        <w:t xml:space="preserve">,</w:t>
      </w:r>
      <w:r>
        <w:br w:type="textWrapping"/>
      </w:r>
      <w:r>
        <w:rPr>
          <w:rStyle w:val="Normal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type="textWrapping"/>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qvalueCutoff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p>
    <w:p>
      <w:pPr>
        <w:pStyle w:val="FirstParagraph"/>
      </w:pPr>
      <w:r>
        <w:t xml:space="preserve">We can visualise the most enriched terms (Figure 8):</w:t>
      </w:r>
    </w:p>
    <w:p>
      <w:pPr>
        <w:pStyle w:val="SourceCode"/>
      </w:pPr>
      <w:r>
        <w:rPr>
          <w:rStyle w:val="KeywordTok"/>
        </w:rPr>
        <w:t xml:space="preserve">dotplot</w:t>
      </w:r>
      <w:r>
        <w:rPr>
          <w:rStyle w:val="NormalTok"/>
        </w:rPr>
        <w:t xml:space="preserve">(gobp_enrichment, </w:t>
      </w:r>
      <w:r>
        <w:rPr>
          <w:rStyle w:val="DataTypeTok"/>
        </w:rPr>
        <w:t xml:space="preserve">showCategory =</w:t>
      </w:r>
      <w:r>
        <w:rPr>
          <w:rStyle w:val="NormalTok"/>
        </w:rPr>
        <w:t xml:space="preserve"> </w:t>
      </w:r>
      <w:r>
        <w:rPr>
          <w:rStyle w:val="DecValTok"/>
        </w:rPr>
        <w:t xml:space="preserve">20</w:t>
      </w:r>
      <w:r>
        <w:rPr>
          <w:rStyle w:val="NormalTok"/>
        </w:rPr>
        <w:t xml:space="preserve">)</w:t>
      </w:r>
    </w:p>
    <w:p>
      <w:pPr>
        <w:pStyle w:val="FigureWithCaption"/>
      </w:pPr>
      <w:r>
        <w:drawing>
          <wp:inline>
            <wp:extent cx="5334000" cy="2133600"/>
            <wp:effectExtent b="0" l="0" r="0" t="0"/>
            <wp:docPr descr="Dot plot showing enrichment of Gene Ontology biological processes for the list of prioritised genes." title="" id="1" name="Picture"/>
            <a:graphic>
              <a:graphicData uri="http://schemas.openxmlformats.org/drawingml/2006/picture">
                <pic:pic>
                  <pic:nvPicPr>
                    <pic:cNvPr descr="biocondutor-regulatory-genomics-workflow_files/figure-docx/figure8-1.png" id="0" name="Picture"/>
                    <pic:cNvPicPr>
                      <a:picLocks noChangeArrowheads="1" noChangeAspect="1"/>
                    </pic:cNvPicPr>
                  </pic:nvPicPr>
                  <pic:blipFill>
                    <a:blip r:embed="rId4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Dot plot showing enrichment of Gene Ontology biological processes for the list of prioritised genes.</w:t>
      </w:r>
    </w:p>
    <w:p>
      <w:pPr>
        <w:pStyle w:val="BodyText"/>
      </w:pPr>
      <w:r>
        <w:t xml:space="preserve">We observe a significant enrichment for interferon responses, antigen processing and presentation, and T cell stimulation, all processes which are well-known to play key roles in the pathogenesis of SLE</w:t>
      </w:r>
      <w:r>
        <w:t xml:space="preserve"> </w:t>
      </w:r>
      <w:r>
        <w:t xml:space="preserve">[55–57]</w:t>
      </w:r>
      <w:r>
        <w:t xml:space="preserve">.</w:t>
      </w:r>
    </w:p>
    <w:p>
      <w:pPr>
        <w:pStyle w:val="BodyText"/>
      </w:pPr>
      <w:r>
        <w:t xml:space="preserve">From a drug discovery perspective, JAK2 is probably the most attractive target: rs1887428 (</w:t>
      </w:r>
      <w:r>
        <w:rPr>
          <w:i/>
        </w:rPr>
        <w:t xml:space="preserve">p</w:t>
      </w:r>
      <w:r>
        <w:t xml:space="preserve">-value = 1 x 10</w:t>
      </w:r>
      <w:r>
        <w:rPr>
          <w:vertAlign w:val="superscript"/>
        </w:rPr>
        <w:t xml:space="preserve">-6</w:t>
      </w:r>
      <w:r>
        <w:t xml:space="preserve">) is located in its 5’ UTR and the genes is significantly upregulated in disease.</w:t>
      </w:r>
      <w:r>
        <w:t xml:space="preserve"> </w:t>
      </w:r>
      <w:r>
        <w:t xml:space="preserve">Tofacitinib, a pan-JAK inhibitor, showed promising results in mouse</w:t>
      </w:r>
      <w:r>
        <w:t xml:space="preserve"> </w:t>
      </w:r>
      <w:r>
        <w:t xml:space="preserve">[58]</w:t>
      </w:r>
      <w:r>
        <w:t xml:space="preserve"> </w:t>
      </w:r>
      <w:r>
        <w:t xml:space="preserve">and is currently being tested or safety in a</w:t>
      </w:r>
      <w:r>
        <w:t xml:space="preserve"> </w:t>
      </w:r>
      <w:hyperlink r:id="rId45">
        <w:r>
          <w:rPr>
            <w:rStyle w:val="Hyperlink"/>
          </w:rPr>
          <w:t xml:space="preserve">phase I clinical trial</w:t>
        </w:r>
      </w:hyperlink>
      <w:r>
        <w:t xml:space="preserve">.</w:t>
      </w:r>
      <w:r>
        <w:t xml:space="preserve"> </w:t>
      </w:r>
      <w:r>
        <w:t xml:space="preserve">We find 7 GWAS SNPs that are blood eQTLs linked to the expression of C2, a protease active in the complement signalling cascade.</w:t>
      </w:r>
      <w:r>
        <w:t xml:space="preserve"> </w:t>
      </w:r>
      <w:r>
        <w:t xml:space="preserve">The most significant variant is rs1270942 (</w:t>
      </w:r>
      <w:r>
        <w:rPr>
          <w:i/>
        </w:rPr>
        <w:t xml:space="preserve">p</w:t>
      </w:r>
      <w:r>
        <w:t xml:space="preserve">-value = 2 x 10</w:t>
      </w:r>
      <w:r>
        <w:rPr>
          <w:vertAlign w:val="superscript"/>
        </w:rPr>
        <w:t xml:space="preserve">-165</w:t>
      </w:r>
      <w:r>
        <w:t xml:space="preserve">) and is found in an intron of CFB, another component of the complement system.</w:t>
      </w:r>
      <w:r>
        <w:t xml:space="preserve"> </w:t>
      </w:r>
      <w:r>
        <w:t xml:space="preserve">As with other autoimmune diseases, the complement plays a key role SLE in and has been investigated as a therapeutic approach</w:t>
      </w:r>
      <w:r>
        <w:t xml:space="preserve"> </w:t>
      </w:r>
      <w:r>
        <w:t xml:space="preserve">[59]</w:t>
      </w:r>
      <w:r>
        <w:t xml:space="preserve">.</w:t>
      </w:r>
      <w:r>
        <w:t xml:space="preserve"> </w:t>
      </w:r>
      <w:r>
        <w:t xml:space="preserve">Another potentially interesting hit is TAX1BP1: rs849142 (</w:t>
      </w:r>
      <w:r>
        <w:rPr>
          <w:i/>
        </w:rPr>
        <w:t xml:space="preserve">p</w:t>
      </w:r>
      <w:r>
        <w:t xml:space="preserve">-value = 1 x 9</w:t>
      </w:r>
      <w:r>
        <w:rPr>
          <w:vertAlign w:val="superscript"/>
        </w:rPr>
        <w:t xml:space="preserve">-11</w:t>
      </w:r>
      <w:r>
        <w:t xml:space="preserve">) is found within an intron of JAZF1, but can be linked to TAX1BP1 via a chromatin interaction with its promoter.</w:t>
      </w:r>
      <w:r>
        <w:t xml:space="preserve"> </w:t>
      </w:r>
      <w:r>
        <w:t xml:space="preserve">TAX1BP1 inhibits TNF-induced apoptosis</w:t>
      </w:r>
      <w:r>
        <w:t xml:space="preserve"> </w:t>
      </w:r>
      <w:r>
        <w:t xml:space="preserve">[60]</w:t>
      </w:r>
      <w:r>
        <w:t xml:space="preserve"> </w:t>
      </w:r>
      <w:r>
        <w:t xml:space="preserve">and is involved in the IL1 signalling cascade</w:t>
      </w:r>
      <w:r>
        <w:t xml:space="preserve"> </w:t>
      </w:r>
      <w:r>
        <w:t xml:space="preserve">[61]</w:t>
      </w:r>
      <w:r>
        <w:t xml:space="preserve">, another relevant pathway in SLE that could be therapeutically targeted</w:t>
      </w:r>
      <w:r>
        <w:t xml:space="preserve"> </w:t>
      </w:r>
      <w:r>
        <w:t xml:space="preserve">[62]</w:t>
      </w:r>
      <w:r>
        <w:t xml:space="preserve">.</w:t>
      </w:r>
    </w:p>
    <w:p>
      <w:pPr>
        <w:pStyle w:val="Heading1"/>
      </w:pPr>
      <w:bookmarkStart w:id="46" w:name="conclusions"/>
      <w:bookmarkEnd w:id="46"/>
      <w:r>
        <w:t xml:space="preserve">Conclusions</w:t>
      </w:r>
    </w:p>
    <w:p>
      <w:pPr>
        <w:pStyle w:val="FirstParagraph"/>
      </w:pPr>
      <w:r>
        <w:t xml:space="preserve">In this Bioconductor workflow we have used several packages and datasets to demonstrate how regulatory genomic data can be used to annotate significant hits from GWASs and prioritise gene lists from expression studies, providing an intermediate layer connecting genetics and transcriptomics.</w:t>
      </w:r>
      <w:r>
        <w:t xml:space="preserve"> </w:t>
      </w:r>
      <w:r>
        <w:t xml:space="preserve">Overall, we identified 46 SLE-associated SNPs that we mapped to 49 genes differentially expressed in SLE, using eQTL data</w:t>
      </w:r>
      <w:r>
        <w:t xml:space="preserve"> </w:t>
      </w:r>
      <w:r>
        <w:t xml:space="preserve">[10]</w:t>
      </w:r>
      <w:r>
        <w:t xml:space="preserve"> </w:t>
      </w:r>
      <w:r>
        <w:t xml:space="preserve">and enhancer - promoter relationships from CAGE</w:t>
      </w:r>
      <w:r>
        <w:t xml:space="preserve"> </w:t>
      </w:r>
      <w:r>
        <w:t xml:space="preserve">[15]</w:t>
      </w:r>
      <w:r>
        <w:t xml:space="preserve"> </w:t>
      </w:r>
      <w:r>
        <w:t xml:space="preserve">and promoter capture Hi-C experiments</w:t>
      </w:r>
      <w:r>
        <w:t xml:space="preserve"> </w:t>
      </w:r>
      <w:r>
        <w:t xml:space="preserve">[21]</w:t>
      </w:r>
      <w:r>
        <w:t xml:space="preserve">.</w:t>
      </w:r>
      <w:r>
        <w:t xml:space="preserve"> </w:t>
      </w:r>
      <w:r>
        <w:t xml:space="preserve">These genes are involved in key inflammatory signalling pathways and some of them could develop into therapeutic targets for SLE.</w:t>
      </w:r>
      <w:r>
        <w:t xml:space="preserve"> </w:t>
      </w:r>
      <w:r>
        <w:t xml:space="preserve">While options for the visualisations of genomic data and interactions are outside the scope of this workflow, at least three good alternatives exist in Bioconductor: ggbio</w:t>
      </w:r>
      <w:r>
        <w:t xml:space="preserve"> </w:t>
      </w:r>
      <w:r>
        <w:t xml:space="preserve">[63]</w:t>
      </w:r>
      <w:r>
        <w:t xml:space="preserve">, Sushi</w:t>
      </w:r>
      <w:r>
        <w:t xml:space="preserve"> </w:t>
      </w:r>
      <w:r>
        <w:t xml:space="preserve">[64]</w:t>
      </w:r>
      <w:r>
        <w:t xml:space="preserve"> </w:t>
      </w:r>
      <w:r>
        <w:t xml:space="preserve">and Gviz</w:t>
      </w:r>
      <w:r>
        <w:t xml:space="preserve"> </w:t>
      </w:r>
      <w:r>
        <w:t xml:space="preserve">[65]</w:t>
      </w:r>
      <w:r>
        <w:t xml:space="preserve"> </w:t>
      </w:r>
      <w:r>
        <w:t xml:space="preserve">coupled with the GenomicInteractions package</w:t>
      </w:r>
      <w:r>
        <w:t xml:space="preserve"> </w:t>
      </w:r>
      <w:r>
        <w:t xml:space="preserve">[66]</w:t>
      </w:r>
      <w:r>
        <w:t xml:space="preserve">.</w:t>
      </w:r>
      <w:r>
        <w:t xml:space="preserve"> </w:t>
      </w:r>
      <w:r>
        <w:t xml:space="preserve">We refer the reader to these publications and package vignettes for examples.</w:t>
      </w:r>
    </w:p>
    <w:p>
      <w:pPr>
        <w:pStyle w:val="BodyText"/>
      </w:pPr>
      <w:r>
        <w:t xml:space="preserve">While simplified, the workflow also demonstrates some real-world challenges encountered when working with genomic data from different sources, such as the use of different genome assemblies and gene annotation systems, the parsing of files with custom formats into Bioconductor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tool to gain insights into large biomedical datasets and help in the identification of biomarkers and therapeutic targets.</w:t>
      </w:r>
    </w:p>
    <w:p>
      <w:pPr>
        <w:pStyle w:val="Heading1"/>
      </w:pPr>
      <w:bookmarkStart w:id="47" w:name="abbreviations"/>
      <w:bookmarkEnd w:id="47"/>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ISM: interferon signature metric</w:t>
      </w:r>
      <w:r>
        <w:br w:type="textWrapping"/>
      </w:r>
      <w:r>
        <w:t xml:space="preserve">SLE: systemic lupus erythematosus</w:t>
      </w:r>
      <w:r>
        <w:br w:type="textWrapping"/>
      </w:r>
      <w:r>
        <w:t xml:space="preserve">SNP: single nucleotide polymorphism</w:t>
      </w:r>
    </w:p>
    <w:p>
      <w:pPr>
        <w:pStyle w:val="Heading1"/>
      </w:pPr>
      <w:bookmarkStart w:id="48" w:name="data-and-software-availability"/>
      <w:bookmarkEnd w:id="48"/>
      <w:r>
        <w:t xml:space="preserve">Data and software availability</w:t>
      </w:r>
    </w:p>
    <w:p>
      <w:pPr>
        <w:pStyle w:val="FirstParagraph"/>
      </w:pPr>
      <w:r>
        <w:t xml:space="preserve">Download links for all datasets are part of the workflow.</w:t>
      </w:r>
      <w:r>
        <w:br w:type="textWrapping"/>
      </w:r>
      <w:r>
        <w:t xml:space="preserve">Software packages required to reproduce the analysis can be installed as part of the workflow.</w:t>
      </w:r>
      <w:r>
        <w:br w:type="textWrapping"/>
      </w:r>
      <w:r>
        <w:t xml:space="preserve">Source code is available at:</w:t>
      </w:r>
      <w:r>
        <w:t xml:space="preserve"> </w:t>
      </w:r>
      <w:hyperlink r:id="rId49">
        <w:r>
          <w:rPr>
            <w:rStyle w:val="Hyperlink"/>
          </w:rPr>
          <w:t xml:space="preserve">https://github.com/enricoferrero/bioconductor-regulatory-genomics-workflow</w:t>
        </w:r>
      </w:hyperlink>
      <w:r>
        <w:t xml:space="preserve">.</w:t>
      </w:r>
      <w:r>
        <w:br w:type="textWrapping"/>
      </w:r>
      <w:r>
        <w:t xml:space="preserve">Archived source code as at the time of publication is available at:</w:t>
      </w:r>
      <w:r>
        <w:t xml:space="preserve"> </w:t>
      </w:r>
      <w:hyperlink r:id="rId50">
        <w:r>
          <w:rPr>
            <w:rStyle w:val="Hyperlink"/>
          </w:rPr>
          <w:t xml:space="preserve">https://doi.org/10.5281/zenodo.1154124</w:t>
        </w:r>
      </w:hyperlink>
      <w:r>
        <w:t xml:space="preserve">.</w:t>
      </w:r>
    </w:p>
    <w:p>
      <w:pPr>
        <w:pStyle w:val="Heading1"/>
      </w:pPr>
      <w:bookmarkStart w:id="51" w:name="competing-interests"/>
      <w:bookmarkEnd w:id="51"/>
      <w:r>
        <w:t xml:space="preserve">Competing interests</w:t>
      </w:r>
    </w:p>
    <w:p>
      <w:pPr>
        <w:pStyle w:val="FirstParagraph"/>
      </w:pPr>
      <w:r>
        <w:t xml:space="preserve">EF is a full time employee of GSK.</w:t>
      </w:r>
    </w:p>
    <w:p>
      <w:pPr>
        <w:pStyle w:val="Heading1"/>
      </w:pPr>
      <w:bookmarkStart w:id="52" w:name="grant-information"/>
      <w:bookmarkEnd w:id="52"/>
      <w:r>
        <w:t xml:space="preserve">Grant information</w:t>
      </w:r>
    </w:p>
    <w:p>
      <w:pPr>
        <w:pStyle w:val="FirstParagraph"/>
      </w:pPr>
      <w:r>
        <w:t xml:space="preserve">The author declared that no grants were involved in supporting this work.</w:t>
      </w:r>
    </w:p>
    <w:p>
      <w:pPr>
        <w:pStyle w:val="Heading1"/>
      </w:pPr>
      <w:bookmarkStart w:id="53" w:name="references"/>
      <w:bookmarkEnd w:id="53"/>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Maurano MT, Humbert R, Rynes E, Thurman RE, Haugen E, Wang H, et al. Systematic localization of common disease-associated variation in regulatory DNA. Science (New York, NY). 2012;337:1190–5.</w:t>
      </w:r>
    </w:p>
    <w:p>
      <w:pPr>
        <w:pStyle w:val="Bibliography"/>
      </w:pPr>
      <w:r>
        <w:t xml:space="preserve">8. Ward LD, Kellis M. Interpreting noncoding genetic variation in complex traits and human disease. Nature biotechnology. 2012;30:1095–106.</w:t>
      </w:r>
    </w:p>
    <w:p>
      <w:pPr>
        <w:pStyle w:val="Bibliography"/>
      </w:pPr>
      <w:r>
        <w:t xml:space="preserve">9. Albert FW, Kruglyak L. The role of regulatory variation in complex traits and disease. Nature reviews Genetics. 2015;16:197–212.</w:t>
      </w:r>
    </w:p>
    <w:p>
      <w:pPr>
        <w:pStyle w:val="Bibliography"/>
      </w:pPr>
      <w:r>
        <w:t xml:space="preserve">10.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11. ENCODE Project Consortium. An integrated encyclopedia of DNA elements in the human genome. Nature. 2012;489:57–74.</w:t>
      </w:r>
    </w:p>
    <w:p>
      <w:pPr>
        <w:pStyle w:val="Bibliography"/>
      </w:pPr>
      <w:r>
        <w:t xml:space="preserve">12. Roadmap Epigenomics Consortium, Kundaje A, Meuleman W, Ernst J, Bilenky M, Yen A, et al. Integrative analysis of 111 reference human epigenomes. Nature. 2015;518:317–30.</w:t>
      </w:r>
    </w:p>
    <w:p>
      <w:pPr>
        <w:pStyle w:val="Bibliography"/>
      </w:pPr>
      <w:r>
        <w:t xml:space="preserve">13. Adams D, Altucci L, Antonarakis SE, Ballesteros J, Beck S, Bird A, et al. BLUEPRINT to decode the epigenetic signature written in blood. Nature biotechnology. 2012;30:224–6.</w:t>
      </w:r>
    </w:p>
    <w:p>
      <w:pPr>
        <w:pStyle w:val="Bibliography"/>
      </w:pPr>
      <w:r>
        <w:t xml:space="preserve">14. Stunnenberg HG, International Human Epigenome Consortium, Hirst M. The International Human Epigenome Consortium: A Blueprint for Scientific Collaboration and Discovery. Cell. 2016;167:1897.</w:t>
      </w:r>
    </w:p>
    <w:p>
      <w:pPr>
        <w:pStyle w:val="Bibliography"/>
      </w:pPr>
      <w:r>
        <w:t xml:space="preserve">15. FANTOM Consortium and the RIKEN PMI and CLST (DGT), Forrest ARR, Kawaji H, Rehli M, Baillie JK, Hoon MJL de, et al. A promoter-level mammalian expression atlas. Nature. 2014;507:462–70.</w:t>
      </w:r>
    </w:p>
    <w:p>
      <w:pPr>
        <w:pStyle w:val="Bibliography"/>
      </w:pPr>
      <w:r>
        <w:t xml:space="preserve">16. Thurman RE, Rynes E, Humbert R, Vierstra J, Maurano MT, Haugen E, et al. The accessible chromatin landscape of the human genome. Nature. 2012;489:75–82.</w:t>
      </w:r>
    </w:p>
    <w:p>
      <w:pPr>
        <w:pStyle w:val="Bibliography"/>
      </w:pPr>
      <w:r>
        <w:t xml:space="preserve">17. Andersson R, Gebhard C, Miguel-Escalada I, Hoof I, Bornholdt J, Boyd M, et al. An atlas of active enhancers across human cell types and tissues. Nature. 2014;507:455–61.</w:t>
      </w:r>
    </w:p>
    <w:p>
      <w:pPr>
        <w:pStyle w:val="Bibliography"/>
      </w:pPr>
      <w:r>
        <w:t xml:space="preserve">18. Fullwood MJ, Wei C-L, Liu ET, Ruan Y. Next-generation DNA sequencing of paired-end tags (PET) for transcriptome and genome analyses. Genome research. 2009;19:521–32.</w:t>
      </w:r>
    </w:p>
    <w:p>
      <w:pPr>
        <w:pStyle w:val="Bibliography"/>
      </w:pPr>
      <w:r>
        <w:t xml:space="preserve">19. Zhang Y, Wong C-H, Birnbaum RY, Li G, Favaro R, Ngan CY, et al. Chromatin connectivity maps reveal dynamic promoter-enhancer long-range associations. Nature. 2013;504:306–10.</w:t>
      </w:r>
    </w:p>
    <w:p>
      <w:pPr>
        <w:pStyle w:val="Bibliography"/>
      </w:pPr>
      <w:r>
        <w:t xml:space="preserve">20. Mifsud B, Tavares-Cadete F, Young AN, Sugar R, Schoenfelder S, Ferreira L, et al. Mapping long-range promoter contacts in human cells with high-resolution capture Hi-C. Nature genetics. 2015;47:598–606.</w:t>
      </w:r>
    </w:p>
    <w:p>
      <w:pPr>
        <w:pStyle w:val="Bibliography"/>
      </w:pPr>
      <w:r>
        <w:t xml:space="preserve">21. Javierre BM, Burren OS, Wilder SP, Kreuzhuber R, Hill SM, Sewitz S, et al. Lineage-Specific Genome Architecture Links Enhancers and Non-coding Disease Variants to Target Gene Promoters. Cell. 2016;167:1369–1384.e19.</w:t>
      </w:r>
    </w:p>
    <w:p>
      <w:pPr>
        <w:pStyle w:val="Bibliography"/>
      </w:pPr>
      <w:r>
        <w:t xml:space="preserve">22. Shen J, Song K, Slater AJ, Ferrero E, Nelson MR. STOPGAP: a database for systematic target opportunity assessment by genetic association predictions. Bioinformatics (Oxford, England). 2017;33:2784–6.</w:t>
      </w:r>
    </w:p>
    <w:p>
      <w:pPr>
        <w:pStyle w:val="Bibliography"/>
      </w:pPr>
      <w:r>
        <w:t xml:space="preserve">23. Amlie-Wolf A, Tang M, Mlynarski EE, Kuksa PP, Valladares O, Katanic Z, et al. INFERNO - INFERring the molecular mechanisms of NOncoding genetic variants. bioRxiv. 2017;211599.</w:t>
      </w:r>
    </w:p>
    <w:p>
      <w:pPr>
        <w:pStyle w:val="Bibliography"/>
      </w:pPr>
      <w:r>
        <w:t xml:space="preserve">24. Hung T, Pratt GA, Sundararaman B, Townsend MJ, Chaivorapol C, Bhangale T, et al. The Ro60 autoantigen binds endogenous retroelements and regulates inflammatory gene expression. Science (New York, NY). 2015;350:455–9.</w:t>
      </w:r>
    </w:p>
    <w:p>
      <w:pPr>
        <w:pStyle w:val="Bibliography"/>
      </w:pPr>
      <w:r>
        <w:t xml:space="preserve">25. Kaul A, Gordon C, Crow MK, Touma Z, Urowitz MB, Vollenhoven R van, et al. Systemic lupus erythematosus. Nature reviews Disease primers. 2016;2:16039.</w:t>
      </w:r>
    </w:p>
    <w:p>
      <w:pPr>
        <w:pStyle w:val="Bibliography"/>
      </w:pPr>
      <w:r>
        <w:t xml:space="preserve">26. Marion TN, Postlethwaite AE. Chance, genetics, and the heterogeneity of disease and pathogenesis in systemic lupus erythematosus. Seminars in immunopathology. 2014;36:495–517.</w:t>
      </w:r>
    </w:p>
    <w:p>
      <w:pPr>
        <w:pStyle w:val="Bibliography"/>
      </w:pPr>
      <w:r>
        <w:t xml:space="preserve">27. Amezcua-Guerra LM, Higuera-Ortiz V, Arteaga-García U, Gallegos-Nava S, Hübbe-Tena C. Performance of the 2012 Systemic Lupus International Collaborating Clinics and the 1997 American College of Rheumatology classification criteria for systemic lupus erythematosus in a real-life scenario. Arthritis care &amp; research. 2015;67:437–41.</w:t>
      </w:r>
    </w:p>
    <w:p>
      <w:pPr>
        <w:pStyle w:val="Bibliography"/>
      </w:pPr>
      <w:r>
        <w:t xml:space="preserve">28. Collado-Torres L, Nellore A, Kammers K, Ellis SE, Taub MA, Hansen KD, et al. Reproducible RNA-seq analysis using recount2. Nature biotechnology. 2017;35:319–21.</w:t>
      </w:r>
    </w:p>
    <w:p>
      <w:pPr>
        <w:pStyle w:val="Bibliography"/>
      </w:pPr>
      <w:r>
        <w:t xml:space="preserve">29. Davis S, Meltzer PS. GEOquery: a bridge between the Gene Expression Omnibus (GEO) and BioConductor. Bioinformatics (Oxford, England). 2007;23:1846–7.</w:t>
      </w:r>
    </w:p>
    <w:p>
      <w:pPr>
        <w:pStyle w:val="Bibliography"/>
      </w:pPr>
      <w:r>
        <w:t xml:space="preserve">30. Kauffmann A, Rayner TF, Parkinson H, Kapushesky M, Lukk M, Brazma A, et al. Importing ArrayExpress datasets into R/Bioconductor. Bioinformatics (Oxford, England). 2009;25:2092–4.</w:t>
      </w:r>
    </w:p>
    <w:p>
      <w:pPr>
        <w:pStyle w:val="Bibliography"/>
      </w:pPr>
      <w:r>
        <w:t xml:space="preserve">31. Harrow J, Frankish A, Gonzalez JM, Tapanari E, Diekhans M, Kokocinski F, et al. GENCODE: the reference human genome annotation for The ENCODE Project. Genome research. 2012;22:1760–74.</w:t>
      </w:r>
    </w:p>
    <w:p>
      <w:pPr>
        <w:pStyle w:val="Bibliography"/>
      </w:pPr>
      <w:r>
        <w:t xml:space="preserve">32. Love MI, Huber W, Anders S. Moderated estimation of fold change and dispersion for RNA-seq data with DESeq2. Genome biology. 2014;15:550.</w:t>
      </w:r>
    </w:p>
    <w:p>
      <w:pPr>
        <w:pStyle w:val="Bibliography"/>
      </w:pPr>
      <w:r>
        <w:t xml:space="preserve">33. Robinson MD, McCarthy DJ, Smyth GK. edgeR: a Bioconductor package for differential expression analysis of digital gene expression data. Bioinformatics (Oxford, England). 2010;26:139–40.</w:t>
      </w:r>
    </w:p>
    <w:p>
      <w:pPr>
        <w:pStyle w:val="Bibliography"/>
      </w:pPr>
      <w:r>
        <w:t xml:space="preserve">34. Ritchie ME, Phipson B, Wu D, Hu Y, Law CW, Shi W, et al. limma powers differential expression analyses for RNA-sequencing and microarray studies. Nucleic acids research. 2015;43:e47.</w:t>
      </w:r>
    </w:p>
    <w:p>
      <w:pPr>
        <w:pStyle w:val="Bibliography"/>
      </w:pPr>
      <w:r>
        <w:t xml:space="preserve">35. Anders S, Huber W. Differential expression analysis for sequence count data. Genome biology. 2010;11:R106.</w:t>
      </w:r>
    </w:p>
    <w:p>
      <w:pPr>
        <w:pStyle w:val="Bibliography"/>
      </w:pPr>
      <w:r>
        <w:t xml:space="preserve">36. Wickham H. Ggplot2. New York, NY: Springer New York; 2009.</w:t>
      </w:r>
    </w:p>
    <w:p>
      <w:pPr>
        <w:pStyle w:val="Bibliography"/>
      </w:pPr>
      <w:r>
        <w:t xml:space="preserve">37. Chen R, Morgan AA, Dudley J, Deshpande T, Li L, Kodama K, et al. FitSNPs: highly differentially expressed genes are more likely to have variants associated with disease. Genome biology. 2008;9:R170.</w:t>
      </w:r>
    </w:p>
    <w:p>
      <w:pPr>
        <w:pStyle w:val="Bibliography"/>
      </w:pPr>
      <w:r>
        <w:t xml:space="preserve">38. Carey VJ. Gwascat. 2017.</w:t>
      </w:r>
      <w:r>
        <w:t xml:space="preserve"> </w:t>
      </w:r>
      <w:hyperlink r:id="rId54">
        <w:r>
          <w:rPr>
            <w:rStyle w:val="Hyperlink"/>
          </w:rPr>
          <w:t xml:space="preserve">https://doi.org/doi:10.18129/B9.bioc.gwascat</w:t>
        </w:r>
      </w:hyperlink>
      <w:r>
        <w:t xml:space="preserve">.</w:t>
      </w:r>
    </w:p>
    <w:p>
      <w:pPr>
        <w:pStyle w:val="Bibliography"/>
      </w:pPr>
      <w:r>
        <w:t xml:space="preserve">39. MacArthur J, Bowler E, Cerezo M, Gil L, Hall P, Hastings E, et al. The new NHGRI-EBI Catalog of published genome-wide association studies (GWAS Catalog). Nucleic acids research. 2017;45:D896–901.</w:t>
      </w:r>
    </w:p>
    <w:p>
      <w:pPr>
        <w:pStyle w:val="Bibliography"/>
      </w:pPr>
      <w:r>
        <w:t xml:space="preserve">40.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41. Carey VJ. Grasp2db. 2017.</w:t>
      </w:r>
      <w:r>
        <w:t xml:space="preserve"> </w:t>
      </w:r>
      <w:hyperlink r:id="rId55">
        <w:r>
          <w:rPr>
            <w:rStyle w:val="Hyperlink"/>
          </w:rPr>
          <w:t xml:space="preserve">https://doi.org/doi:10.18129/B9.bioc.grasp2db</w:t>
        </w:r>
      </w:hyperlink>
      <w:r>
        <w:t xml:space="preserve">.</w:t>
      </w:r>
    </w:p>
    <w:p>
      <w:pPr>
        <w:pStyle w:val="Bibliography"/>
      </w:pPr>
      <w:r>
        <w:t xml:space="preserve">42. Bush WS, Moore JH. Chapter 11: Genome-wide association studies. PLoS computational biology. 2012;8:e1002822.</w:t>
      </w:r>
    </w:p>
    <w:p>
      <w:pPr>
        <w:pStyle w:val="Bibliography"/>
      </w:pPr>
      <w:r>
        <w:t xml:space="preserve">43. Carey VJ. Ldblock. 2017.</w:t>
      </w:r>
      <w:r>
        <w:t xml:space="preserve"> </w:t>
      </w:r>
      <w:hyperlink r:id="rId56">
        <w:r>
          <w:rPr>
            <w:rStyle w:val="Hyperlink"/>
          </w:rPr>
          <w:t xml:space="preserve">https://doi.org/doi:10.18129/B9.bioc.ldblock</w:t>
        </w:r>
      </w:hyperlink>
      <w:r>
        <w:t xml:space="preserve">.</w:t>
      </w:r>
    </w:p>
    <w:p>
      <w:pPr>
        <w:pStyle w:val="Bibliography"/>
      </w:pPr>
      <w:r>
        <w:t xml:space="preserve">44. Yates A, Beal K, Keenan S, McLaren W, Pignatelli M, Ritchie GRS, et al. The Ensembl REST API: Ensembl Data for Any Language. Bioinformatics (Oxford, England). 2015;31:143–5.</w:t>
      </w:r>
    </w:p>
    <w:p>
      <w:pPr>
        <w:pStyle w:val="Bibliography"/>
      </w:pPr>
      <w:r>
        <w:t xml:space="preserve">45. Lawrence M, Huber W, Pagès H, Aboyoun P, Carlson M, Gentleman R, et al. Software for computing and annotating genomic ranges. PLoS computational biology. 2013;9:e1003118.</w:t>
      </w:r>
    </w:p>
    <w:p>
      <w:pPr>
        <w:pStyle w:val="Bibliography"/>
      </w:pPr>
      <w:r>
        <w:t xml:space="preserve">46. Obenchain V, Lawrence M, Carey V, Gogarten S, Shannon P, Morgan M. VariantAnnotation: a Bioconductor package for exploration and annotation of genetic variants. Bioinformatics (Oxford, England). 2014;30:2076–8.</w:t>
      </w:r>
    </w:p>
    <w:p>
      <w:pPr>
        <w:pStyle w:val="Bibliography"/>
      </w:pPr>
      <w:r>
        <w:t xml:space="preserve">47. Gamazon ER, Wheeler HE, Shah KP, Mozaffari SV, Aquino-Michaels K, Carroll RJ, et al. A gene-based association method for mapping traits using reference transcriptome data. Nature genetics. 2015;47:1091–8.</w:t>
      </w:r>
    </w:p>
    <w:p>
      <w:pPr>
        <w:pStyle w:val="Bibliography"/>
      </w:pPr>
      <w:r>
        <w:t xml:space="preserve">48. Gusev A, Ko A, Shi H, Bhatia G, Chung W, Penninx BWJH, et al. Integrative approaches for large-scale transcriptome-wide association studies. Nature genetics. 2016;48:245–52.</w:t>
      </w:r>
    </w:p>
    <w:p>
      <w:pPr>
        <w:pStyle w:val="Bibliography"/>
      </w:pPr>
      <w:r>
        <w:t xml:space="preserve">49. Zhu Z, Zhang F, Hu H, Bakshi A, Robinson MR, Powell JE, et al. Integration of summary data from GWAS and eQTL studies predicts complex trait gene targets. Nature genetics. 2016;48:481–7.</w:t>
      </w:r>
    </w:p>
    <w:p>
      <w:pPr>
        <w:pStyle w:val="Bibliography"/>
      </w:pPr>
      <w:r>
        <w:t xml:space="preserve">50. Lawrence M, Gentleman R, Carey V. rtracklayer: an R package for interfacing with genome browsers. Bioinformatics (Oxford, England). 2009;25:1841–2.</w:t>
      </w:r>
    </w:p>
    <w:p>
      <w:pPr>
        <w:pStyle w:val="Bibliography"/>
      </w:pPr>
      <w:r>
        <w:t xml:space="preserve">51. Zerbino DR, Wilder SP, Johnson N, Juettemann T, Flicek PR. The ensembl regulatory build. Genome biology. 2015;16:56.</w:t>
      </w:r>
    </w:p>
    <w:p>
      <w:pPr>
        <w:pStyle w:val="Bibliography"/>
      </w:pPr>
      <w:r>
        <w:t xml:space="preserve">52. Lun ATL, Perry M, Ing-Simmons E. Infrastructure for genomic interactions: Bioconductor classes for Hi-C, ChIA-PET and related experiments. F1000Research. 2016;5:950. doi:</w:t>
      </w:r>
      <w:hyperlink r:id="rId57">
        <w:r>
          <w:rPr>
            <w:rStyle w:val="Hyperlink"/>
          </w:rPr>
          <w:t xml:space="preserve">10.12688/f1000research.8759.2</w:t>
        </w:r>
      </w:hyperlink>
      <w:r>
        <w:t xml:space="preserve">.</w:t>
      </w:r>
    </w:p>
    <w:p>
      <w:pPr>
        <w:pStyle w:val="Bibliography"/>
      </w:pPr>
      <w:r>
        <w:t xml:space="preserve">53. Ashburner M, Ball CA, Blake JA, Botstein D, Butler H, Cherry JM, et al. Gene ontology: tool for the unification of biology. The Gene Ontology Consortium. Nature genetics. 2000;25:25–9.</w:t>
      </w:r>
    </w:p>
    <w:p>
      <w:pPr>
        <w:pStyle w:val="Bibliography"/>
      </w:pPr>
      <w:r>
        <w:t xml:space="preserve">54. Yu G, Wang L-G, Han Y, He Q-Y. clusterProfiler: an R package for comparing biological themes among gene clusters. Omics : a journal of integrative biology. 2012;16:284–7. doi:</w:t>
      </w:r>
      <w:hyperlink r:id="rId58">
        <w:r>
          <w:rPr>
            <w:rStyle w:val="Hyperlink"/>
          </w:rPr>
          <w:t xml:space="preserve">10.1089/omi.2011.0118</w:t>
        </w:r>
      </w:hyperlink>
      <w:r>
        <w:t xml:space="preserve">.</w:t>
      </w:r>
    </w:p>
    <w:p>
      <w:pPr>
        <w:pStyle w:val="Bibliography"/>
      </w:pPr>
      <w:r>
        <w:t xml:space="preserve">55. Oon S, Wilson NJ, Wicks I. Targeted therapeutics in SLE: emerging strategies to modulate the interferon pathway. Clinical &amp; translational immunology. 2016;5:e79. doi:</w:t>
      </w:r>
      <w:hyperlink r:id="rId59">
        <w:r>
          <w:rPr>
            <w:rStyle w:val="Hyperlink"/>
          </w:rPr>
          <w:t xml:space="preserve">10.1038/cti.2016.26</w:t>
        </w:r>
      </w:hyperlink>
      <w:r>
        <w:t xml:space="preserve">.</w:t>
      </w:r>
    </w:p>
    <w:p>
      <w:pPr>
        <w:pStyle w:val="Bibliography"/>
      </w:pPr>
      <w:r>
        <w:t xml:space="preserve">56. Morris DL, Fernando MMA, Taylor KE, Chung SA, Nititham J, Alarcón-Riquelme ME, et al. MHC associations with clinical and autoantibody manifestations in European SLE. Genes and immunity. 2014;15:210–7.</w:t>
      </w:r>
    </w:p>
    <w:p>
      <w:pPr>
        <w:pStyle w:val="Bibliography"/>
      </w:pPr>
      <w:r>
        <w:t xml:space="preserve">57. Suárez-Fueyo A, Bradley SJ, Tsokos GC. T cells in Systemic Lupus Erythematosus. Current opinion in immunology. 2016;43:32–8.</w:t>
      </w:r>
    </w:p>
    <w:p>
      <w:pPr>
        <w:pStyle w:val="Bibliography"/>
      </w:pPr>
      <w:r>
        <w:t xml:space="preserve">58. Furumoto Y, Smith CK, Blanco L, Zhao W, Brooks SR, Thacker SG, et al. Tofacitinib Ameliorates Murine Lupus and Its Associated Vascular Dysfunction. Arthritis &amp; rheumatology (Hoboken, NJ). 2017;69:148–60.</w:t>
      </w:r>
    </w:p>
    <w:p>
      <w:pPr>
        <w:pStyle w:val="Bibliography"/>
      </w:pPr>
      <w:r>
        <w:t xml:space="preserve">59. Leffler J, Bengtsson AA, Blom AM. The complement system in systemic lupus erythematosus: an update. Annals of the rheumatic diseases. 2014;73:1601–6.</w:t>
      </w:r>
    </w:p>
    <w:p>
      <w:pPr>
        <w:pStyle w:val="Bibliography"/>
      </w:pPr>
      <w:r>
        <w:t xml:space="preserve">60. De Valck D, Jin DY, Heyninck K, Van de Craen M, Contreras R, Fiers W, et al. The zinc finger protein A20 interacts with a novel anti-apoptotic protein which is cleaved by specific caspases. Oncogene. 1999;18:4182–90.</w:t>
      </w:r>
    </w:p>
    <w:p>
      <w:pPr>
        <w:pStyle w:val="Bibliography"/>
      </w:pPr>
      <w:r>
        <w:t xml:space="preserve">61. Ling L, Goeddel DV. T6BP, a TRAF6-interacting protein involved in IL-1 signaling. Proceedings of the National Academy of Sciences of the United States of America. 2000;97:9567–72. doi:</w:t>
      </w:r>
      <w:hyperlink r:id="rId60">
        <w:r>
          <w:rPr>
            <w:rStyle w:val="Hyperlink"/>
          </w:rPr>
          <w:t xml:space="preserve">10.1073/pnas.170279097</w:t>
        </w:r>
      </w:hyperlink>
      <w:r>
        <w:t xml:space="preserve">.</w:t>
      </w:r>
    </w:p>
    <w:p>
      <w:pPr>
        <w:pStyle w:val="Bibliography"/>
      </w:pPr>
      <w:r>
        <w:t xml:space="preserve">62. Rönnblom L, Elkon KB. Cytokines as therapeutic targets in SLE. Nature reviews Rheumatology. 2010;6:339–47.</w:t>
      </w:r>
    </w:p>
    <w:p>
      <w:pPr>
        <w:pStyle w:val="Bibliography"/>
      </w:pPr>
      <w:r>
        <w:t xml:space="preserve">63. Yin T, Cook D, Lawrence M. ggbio: an R package for extending the grammar of graphics for genomic data. Genome biology. 2012;13:R77.</w:t>
      </w:r>
    </w:p>
    <w:p>
      <w:pPr>
        <w:pStyle w:val="Bibliography"/>
      </w:pPr>
      <w:r>
        <w:t xml:space="preserve">64. Phanstiel DH, Boyle AP, Araya CL, Snyder MP. Bioinformatics (Oxford, England). 2014;30:2808–10.</w:t>
      </w:r>
    </w:p>
    <w:p>
      <w:pPr>
        <w:pStyle w:val="Bibliography"/>
      </w:pPr>
      <w:r>
        <w:t xml:space="preserve">65. Hahne F, Ivanek R. Visualizing Genomic Data Using Gviz and Bioconductor. Methods in molecular biology (Clifton, NJ). 2016;1418:335–51.</w:t>
      </w:r>
    </w:p>
    <w:p>
      <w:pPr>
        <w:pStyle w:val="Bibliography"/>
      </w:pPr>
      <w:r>
        <w:t xml:space="preserve">66. Harmston N, Ing-Simmons E, Perry M, Barešić A, Lenhard B. GenomicInteractions: An R/Bioconductor package for manipulating and investigating chromatin interaction data. BMC genomics. 2015;16:963.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25c3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6" Target="http://cran.r-project.org/package=pheatmap" TargetMode="External" /><Relationship Type="http://schemas.openxmlformats.org/officeDocument/2006/relationships/hyperlink" Id="rId45" Target="https://clinicaltrials.gov/ct2/show/NCT02535689" TargetMode="External" /><Relationship Type="http://schemas.openxmlformats.org/officeDocument/2006/relationships/hyperlink" Id="rId38" Target="https://cran.r-project.org/package=R.utils" TargetMode="External" /><Relationship Type="http://schemas.openxmlformats.org/officeDocument/2006/relationships/hyperlink" Id="rId27" Target="https://cran.r-project.org/package=RColorBrewer" TargetMode="External" /><Relationship Type="http://schemas.openxmlformats.org/officeDocument/2006/relationships/hyperlink" Id="rId40" Target="https://cran.r-project.org/package=splitstackshape" TargetMode="External" /><Relationship Type="http://schemas.openxmlformats.org/officeDocument/2006/relationships/hyperlink" Id="rId59" Target="https://doi.org/10.1038/cti.2016.26" TargetMode="External" /><Relationship Type="http://schemas.openxmlformats.org/officeDocument/2006/relationships/hyperlink" Id="rId60" Target="https://doi.org/10.1073/pnas.170279097" TargetMode="External" /><Relationship Type="http://schemas.openxmlformats.org/officeDocument/2006/relationships/hyperlink" Id="rId58" Target="https://doi.org/10.1089/omi.2011.0118" TargetMode="External" /><Relationship Type="http://schemas.openxmlformats.org/officeDocument/2006/relationships/hyperlink" Id="rId57" Target="https://doi.org/10.12688/f1000research.8759.2" TargetMode="External" /><Relationship Type="http://schemas.openxmlformats.org/officeDocument/2006/relationships/hyperlink" Id="rId50" Target="https://doi.org/10.5281/zenodo.1154124" TargetMode="External" /><Relationship Type="http://schemas.openxmlformats.org/officeDocument/2006/relationships/hyperlink" Id="rId55" Target="https://doi.org/doi:10.18129/B9.bioc.grasp2db" TargetMode="External" /><Relationship Type="http://schemas.openxmlformats.org/officeDocument/2006/relationships/hyperlink" Id="rId54" Target="https://doi.org/doi:10.18129/B9.bioc.gwascat" TargetMode="External" /><Relationship Type="http://schemas.openxmlformats.org/officeDocument/2006/relationships/hyperlink" Id="rId56" Target="https://doi.org/doi:10.18129/B9.bioc.ldblock" TargetMode="External" /><Relationship Type="http://schemas.openxmlformats.org/officeDocument/2006/relationships/hyperlink" Id="rId22" Target="https://github.com/Ensembl/postgap" TargetMode="External" /><Relationship Type="http://schemas.openxmlformats.org/officeDocument/2006/relationships/hyperlink" Id="rId49" Target="https://github.com/enricoferrero/bioconductor-regulatory-genomics-workflow" TargetMode="External" /><Relationship Type="http://schemas.openxmlformats.org/officeDocument/2006/relationships/hyperlink" Id="rId37"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26" Target="http://cran.r-project.org/package=pheatmap" TargetMode="External" /><Relationship Type="http://schemas.openxmlformats.org/officeDocument/2006/relationships/hyperlink" Id="rId45" Target="https://clinicaltrials.gov/ct2/show/NCT02535689" TargetMode="External" /><Relationship Type="http://schemas.openxmlformats.org/officeDocument/2006/relationships/hyperlink" Id="rId38" Target="https://cran.r-project.org/package=R.utils" TargetMode="External" /><Relationship Type="http://schemas.openxmlformats.org/officeDocument/2006/relationships/hyperlink" Id="rId27" Target="https://cran.r-project.org/package=RColorBrewer" TargetMode="External" /><Relationship Type="http://schemas.openxmlformats.org/officeDocument/2006/relationships/hyperlink" Id="rId40" Target="https://cran.r-project.org/package=splitstackshape" TargetMode="External" /><Relationship Type="http://schemas.openxmlformats.org/officeDocument/2006/relationships/hyperlink" Id="rId59" Target="https://doi.org/10.1038/cti.2016.26" TargetMode="External" /><Relationship Type="http://schemas.openxmlformats.org/officeDocument/2006/relationships/hyperlink" Id="rId60" Target="https://doi.org/10.1073/pnas.170279097" TargetMode="External" /><Relationship Type="http://schemas.openxmlformats.org/officeDocument/2006/relationships/hyperlink" Id="rId58" Target="https://doi.org/10.1089/omi.2011.0118" TargetMode="External" /><Relationship Type="http://schemas.openxmlformats.org/officeDocument/2006/relationships/hyperlink" Id="rId57" Target="https://doi.org/10.12688/f1000research.8759.2" TargetMode="External" /><Relationship Type="http://schemas.openxmlformats.org/officeDocument/2006/relationships/hyperlink" Id="rId50" Target="https://doi.org/10.5281/zenodo.1154124" TargetMode="External" /><Relationship Type="http://schemas.openxmlformats.org/officeDocument/2006/relationships/hyperlink" Id="rId55" Target="https://doi.org/doi:10.18129/B9.bioc.grasp2db" TargetMode="External" /><Relationship Type="http://schemas.openxmlformats.org/officeDocument/2006/relationships/hyperlink" Id="rId54" Target="https://doi.org/doi:10.18129/B9.bioc.gwascat" TargetMode="External" /><Relationship Type="http://schemas.openxmlformats.org/officeDocument/2006/relationships/hyperlink" Id="rId56" Target="https://doi.org/doi:10.18129/B9.bioc.ldblock" TargetMode="External" /><Relationship Type="http://schemas.openxmlformats.org/officeDocument/2006/relationships/hyperlink" Id="rId22" Target="https://github.com/Ensembl/postgap" TargetMode="External" /><Relationship Type="http://schemas.openxmlformats.org/officeDocument/2006/relationships/hyperlink" Id="rId49" Target="https://github.com/enricoferrero/bioconductor-regulatory-genomics-workflow" TargetMode="External" /><Relationship Type="http://schemas.openxmlformats.org/officeDocument/2006/relationships/hyperlink" Id="rId37"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regulatory genomics data to interpret the function of disease variants and prioritise genes from expression studies</dc:title>
  <dc:creator/>
  <dcterms:created xsi:type="dcterms:W3CDTF">2018-02-14T14:07:24Z</dcterms:created>
  <dcterms:modified xsi:type="dcterms:W3CDTF">2018-02-14T14:07:24Z</dcterms:modified>
</cp:coreProperties>
</file>