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888888"/>
          <w:spacing w:val="80"/>
          <w:sz w:val="16"/>
          <w:szCs w:val="16"/>
        </w:rPr>
        <w:t xml:space="preserve">KONZEPTDOKUMENT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8191C"/>
          <w:sz w:val="72"/>
          <w:szCs w:val="72"/>
        </w:rPr>
        <w:t xml:space="preserve">Brand Hub</w:t>
      </w:r>
    </w:p>
    <w:p>
      <w:pPr>
        <w:spacing w:after="80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Single Source of Truth für Brand Design Systems</w:t>
      </w:r>
    </w:p>
    <w:p>
      <w:pPr>
        <w:spacing w:before="600" w:after="0"/>
      </w:pPr>
    </w:p>
    <w:p>
      <w:pPr>
        <w:pBdr>
          <w:top w:val="single" w:color="D4D4D0" w:sz="2"/>
        </w:pBdr>
        <w:spacing w:before="200" w:after="80"/>
      </w:pPr>
    </w:p>
    <w:p>
      <w:pPr>
        <w:spacing w:after="160" w:line="320"/>
      </w:pPr>
      <w:r>
        <w:rPr>
          <w:rFonts w:ascii="Arial" w:cs="Arial" w:eastAsia="Arial" w:hAnsi="Arial"/>
          <w:b/>
          <w:bCs/>
          <w:color w:val="18191C"/>
          <w:sz w:val="22"/>
          <w:szCs w:val="22"/>
        </w:rPr>
        <w:t xml:space="preserve">Architektur, Token-Pipeline &amp; Figma-Sync</w:t>
      </w:r>
    </w:p>
    <w:p>
      <w:pPr>
        <w:spacing w:after="160" w:line="3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— März 2026</w:t>
      </w:r>
    </w:p>
    <w:p>
      <w:pPr>
        <w:spacing w:after="160" w:line="3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eschnell.design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after="160" w:line="32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Der Brand Hub ist eine zentrale Plattform, die Brand-Identitäten als lebendige, interaktive Systeme zugänglich macht. Im Gegensatz zu statischen Brand Guidelines (PDF, Notion) propagiert der Hub Design-Entscheidungen automatisch in alle Touchpoints: Website-Code, Figma Design System, Dokument-Templates und interaktive Generatoren.</w:t>
      </w:r>
    </w:p>
    <w:p>
      <w:pPr>
        <w:spacing w:after="160" w:line="32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Das Kernprinzip: Eine kanonische Token-Datei definiert die visuelle Identität einer Marke. Änderungen an dieser Datei fließen automatisch in alle Outputs. Kein manuelles Abgleichen, keine Drift, eine einzige Wahrheit.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D6A4F" w:sz="12"/>
              <w:bottom w:val="none"/>
              <w:right w:val="none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Kern-These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i/>
                <w:iCs/>
                <w:color w:val="18191C"/>
                <w:sz w:val="22"/>
                <w:szCs w:val="22"/>
              </w:rPr>
              <w:t xml:space="preserve">Ein Brand Guide, der nicht dokumentiert, sondern arbeitet. Nicht statisch, sondern lebendig. Nicht eine Kopie der Wahrheit, sondern ein Fenster auf sie.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888888"/>
          <w:spacing w:val="80"/>
          <w:sz w:val="16"/>
          <w:szCs w:val="16"/>
        </w:rPr>
        <w:t xml:space="preserve">FÜR WEN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8191C"/>
          <w:sz w:val="22"/>
          <w:szCs w:val="22"/>
        </w:rPr>
        <w:t xml:space="preserve">Interne Teams: </w:t>
      </w:r>
      <w:r>
        <w:rPr>
          <w:rFonts w:ascii="Arial" w:cs="Arial" w:eastAsia="Arial" w:hAnsi="Arial"/>
          <w:color w:val="18191C"/>
          <w:sz w:val="22"/>
          <w:szCs w:val="22"/>
        </w:rPr>
        <w:t xml:space="preserve">Schneller Zugriff auf on-brand Assets, Farben, Templates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8191C"/>
          <w:sz w:val="22"/>
          <w:szCs w:val="22"/>
        </w:rPr>
        <w:t xml:space="preserve">Externe Partner &amp; Agenturen: </w:t>
      </w:r>
      <w:r>
        <w:rPr>
          <w:rFonts w:ascii="Arial" w:cs="Arial" w:eastAsia="Arial" w:hAnsi="Arial"/>
          <w:color w:val="18191C"/>
          <w:sz w:val="22"/>
          <w:szCs w:val="22"/>
        </w:rPr>
        <w:t xml:space="preserve">Self-Service statt endlose Rückfragen zu Hex-Werten und Logo-Varianten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8191C"/>
          <w:sz w:val="22"/>
          <w:szCs w:val="22"/>
        </w:rPr>
        <w:t xml:space="preserve">Das Studio selbst: </w:t>
      </w:r>
      <w:r>
        <w:rPr>
          <w:rFonts w:ascii="Arial" w:cs="Arial" w:eastAsia="Arial" w:hAnsi="Arial"/>
          <w:color w:val="18191C"/>
          <w:sz w:val="22"/>
          <w:szCs w:val="22"/>
        </w:rPr>
        <w:t xml:space="preserve">Skalierbare Infrastruktur für jeden neuen Client, Portfolio-Piece, potenzielles Produkt</w:t>
      </w:r>
    </w:p>
    <w:p>
      <w:r>
        <w:br/>
      </w:r>
    </w:p>
    <w:p>
      <w:pPr>
        <w:pStyle w:val="Heading1"/>
      </w:pPr>
      <w:r>
        <w:t xml:space="preserve">Architekturübersicht</w:t>
      </w:r>
    </w:p>
    <w:p>
      <w:pPr>
        <w:spacing w:after="160" w:line="32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Die Architektur besteht aus vier Layern, die aufeinander aufbauen. Jeder Layer kann inkrementell implementiert werden.</w:t>
      </w:r>
    </w:p>
    <w:p>
      <w:pPr>
        <w:pStyle w:val="Heading2"/>
      </w:pPr>
      <w:r>
        <w:t xml:space="preserve">Layer 1: Token-Dateien (Single Source of Truth)</w:t>
      </w:r>
    </w:p>
    <w:p>
      <w:pPr>
        <w:spacing w:after="160" w:line="32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Jede Brand wird durch zwei Dateien definiert, die in einem Git-Repository leben: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626"/>
      </w:tblGrid>
      <w:tr>
        <w:tc>
          <w:tcPr>
            <w:tcW w:type="dxa" w:w="24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shd w:fill="1819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Datei</w:t>
            </w:r>
          </w:p>
        </w:tc>
        <w:tc>
          <w:tcPr>
            <w:tcW w:type="dxa" w:w="40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shd w:fill="1819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  <w:tc>
          <w:tcPr>
            <w:tcW w:type="dxa" w:w="2626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shd w:fill="1819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4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brand-tokens.json</w:t>
            </w:r>
          </w:p>
        </w:tc>
        <w:tc>
          <w:tcPr>
            <w:tcW w:type="dxa" w:w="40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Farben, Typografie, Spacing, Radii, Shadows, Motion</w:t>
            </w:r>
          </w:p>
        </w:tc>
        <w:tc>
          <w:tcPr>
            <w:tcW w:type="dxa" w:w="2626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W3C Design Tokens (DTCG)</w:t>
            </w:r>
          </w:p>
        </w:tc>
      </w:tr>
      <w:tr>
        <w:tc>
          <w:tcPr>
            <w:tcW w:type="dxa" w:w="24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brand-meta.json</w:t>
            </w:r>
          </w:p>
        </w:tc>
        <w:tc>
          <w:tcPr>
            <w:tcW w:type="dxa" w:w="40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Name, Claim, Tagline, Values, Team, Assets, Tone of Voice</w:t>
            </w:r>
          </w:p>
        </w:tc>
        <w:tc>
          <w:tcPr>
            <w:tcW w:type="dxa" w:w="2626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Custom JSON Schema</w:t>
            </w:r>
          </w:p>
        </w:tc>
      </w:tr>
    </w:tbl>
    <w:p>
      <w:pPr>
        <w:spacing w:before="80" w:after="0"/>
      </w:pPr>
    </w:p>
    <w:p>
      <w:pPr>
        <w:spacing w:after="160" w:line="32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Das W3C Design Tokens Format (DTCG) ist der emerging Standard, den Figma, Style Dictionary und Tokens Studio unterstützen. Beispielstruktur: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D6A4F" w:sz="12"/>
              <w:bottom w:val="none"/>
              <w:right w:val="none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brand-tokens.json (Auszug)</w:t>
            </w:r>
          </w:p>
          <w:p>
            <w:pPr>
              <w:spacing w:before="80" w:after="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 "color": { "dark": { "$value": "#0D0E10", "$type": "color",
  "$description": "Header, Hero, Footer" },
  "cream": { "$value": "#F5F5F0", "$type": "color" },
  "primary-text": { "$value": "#18191C", "$type": "color" } },
  "font": { "family": { "base": { "$value": "Inter", "$type": "fontFamily" } },
  "weight": { "regular": { "$value": 400 }, "bold": { "$value": 700 } } } }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888888"/>
          <w:spacing w:val="80"/>
          <w:sz w:val="16"/>
          <w:szCs w:val="16"/>
        </w:rPr>
        <w:t xml:space="preserve">WARUM W3C FORMAT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Vendor-unabhängig: Kein Lock-in an Figma, Style Dictionary oder ein spezifisches Tool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Maschinenlesbar: Jedes Tool kann die Datei parsen und transformieren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Versionierbar: Git-Diff zeigt exakt, welche Farbe sich geändert hat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Erweiterbar: Custom Properties für brand-spezifische Tokens möglich</w:t>
      </w:r>
    </w:p>
    <w:p>
      <w:pPr>
        <w:pStyle w:val="Heading2"/>
      </w:pPr>
      <w:r>
        <w:t xml:space="preserve">Layer 2: Style Dictionary (Transform Layer)</w:t>
      </w:r>
    </w:p>
    <w:p>
      <w:pPr>
        <w:spacing w:after="160" w:line="32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Style Dictionary (Open Source, Amazon) ist der Transform-Layer zwischen der Token-Datei und allen Outputs. Es liest die JSON-Datei und generiert plattformspezifische Formate: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c>
          <w:tcPr>
            <w:tcW w:type="dxa" w:w="22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shd w:fill="1819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36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shd w:fill="1819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226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shd w:fill="1819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</w:t>
            </w:r>
          </w:p>
        </w:tc>
      </w:tr>
      <w:tr>
        <w:tc>
          <w:tcPr>
            <w:tcW w:type="dxa" w:w="22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CSS Custom Properties</w:t>
            </w:r>
          </w:p>
        </w:tc>
        <w:tc>
          <w:tcPr>
            <w:tcW w:type="dxa" w:w="36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:root { --color-dark: #0D0E10; }</w:t>
            </w:r>
          </w:p>
        </w:tc>
        <w:tc>
          <w:tcPr>
            <w:tcW w:type="dxa" w:w="3226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Next.js / React Website</w:t>
            </w:r>
          </w:p>
        </w:tc>
      </w:tr>
      <w:tr>
        <w:tc>
          <w:tcPr>
            <w:tcW w:type="dxa" w:w="22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SCSS Variables</w:t>
            </w:r>
          </w:p>
        </w:tc>
        <w:tc>
          <w:tcPr>
            <w:tcW w:type="dxa" w:w="36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$color-dark: #0D0E10;</w:t>
            </w:r>
          </w:p>
        </w:tc>
        <w:tc>
          <w:tcPr>
            <w:tcW w:type="dxa" w:w="3226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Legacy Bootstrap / Parcel</w:t>
            </w:r>
          </w:p>
        </w:tc>
      </w:tr>
      <w:tr>
        <w:tc>
          <w:tcPr>
            <w:tcW w:type="dxa" w:w="22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JSON (flat)</w:t>
            </w:r>
          </w:p>
        </w:tc>
        <w:tc>
          <w:tcPr>
            <w:tcW w:type="dxa" w:w="36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{ "color-dark": "#0D0E10" }</w:t>
            </w:r>
          </w:p>
        </w:tc>
        <w:tc>
          <w:tcPr>
            <w:tcW w:type="dxa" w:w="3226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Brand Hub Runtime</w:t>
            </w:r>
          </w:p>
        </w:tc>
      </w:tr>
      <w:tr>
        <w:tc>
          <w:tcPr>
            <w:tcW w:type="dxa" w:w="22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Figma-kompatibel</w:t>
            </w:r>
          </w:p>
        </w:tc>
        <w:tc>
          <w:tcPr>
            <w:tcW w:type="dxa" w:w="36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Figma Variables REST API Payload</w:t>
            </w:r>
          </w:p>
        </w:tc>
        <w:tc>
          <w:tcPr>
            <w:tcW w:type="dxa" w:w="3226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Design System Sync</w:t>
            </w:r>
          </w:p>
        </w:tc>
      </w:tr>
      <w:tr>
        <w:tc>
          <w:tcPr>
            <w:tcW w:type="dxa" w:w="22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Template Variables</w:t>
            </w:r>
          </w:p>
        </w:tc>
        <w:tc>
          <w:tcPr>
            <w:tcW w:type="dxa" w:w="36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Key-Value Pairs</w:t>
            </w:r>
          </w:p>
        </w:tc>
        <w:tc>
          <w:tcPr>
            <w:tcW w:type="dxa" w:w="3226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PPTX, DOCX, PDF Generierung</w:t>
            </w:r>
          </w:p>
        </w:tc>
      </w:tr>
    </w:tbl>
    <w:p>
      <w:pPr>
        <w:spacing w:before="80" w:after="0"/>
      </w:pPr>
    </w:p>
    <w:p>
      <w:pPr>
        <w:spacing w:after="160" w:line="32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Der Build-Prozess läuft als npm-Script oder GitHub Action. Bei jedem Push auf die Token-Datei werden automatisch alle Outputs regeneriert und committed.</w:t>
      </w:r>
    </w:p>
    <w:p>
      <w:pPr>
        <w:pStyle w:val="Heading2"/>
      </w:pPr>
      <w:r>
        <w:t xml:space="preserve">Layer 3: Figma-Synchronisation</w:t>
      </w:r>
    </w:p>
    <w:p>
      <w:pPr>
        <w:spacing w:after="160" w:line="32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Die Figma Variables REST API ermöglicht bidirektionalen Sync zwischen der Token-Datei und Figma Variables. Wir bauen ein Custom Script mit voller Kontrolle über den Prozess.</w:t>
      </w:r>
    </w:p>
    <w:p>
      <w:pPr>
        <w:spacing w:before="40" w:after="0"/>
      </w:pPr>
    </w:p>
    <w:p>
      <w:pPr>
        <w:pStyle w:val="Heading3"/>
      </w:pPr>
      <w:r>
        <w:t xml:space="preserve">Code → Figma (Push)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Token-Datei wird geändert (manuell oder via Claude)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GitHub Action triggert ein Node.js-Script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Script liest brand-tokens.json, transformiert in Figma-API-Format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PUT-Request an Figma Variables REST API aktualisiert alle Variable Collections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Figma-File reflektiert sofort die neuen Werte</w:t>
      </w:r>
    </w:p>
    <w:p>
      <w:pPr>
        <w:spacing w:before="40" w:after="0"/>
      </w:pPr>
    </w:p>
    <w:p>
      <w:pPr>
        <w:pStyle w:val="Heading3"/>
      </w:pPr>
      <w:r>
        <w:t xml:space="preserve">Figma → Code (Pull)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Figma MCP-Connector oder Figma REST API liest aktuelle Variables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Script transformiert zurück ins W3C-Format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Erstellt einen Pull Request mit den Änderungen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Review und Merge propagiert die Änderungen in alle Outputs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D6A4F" w:sz="12"/>
              <w:bottom w:val="none"/>
              <w:right w:val="none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Warum Custom Script statt Tokens Studio?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18191C"/>
                <w:sz w:val="22"/>
                <w:szCs w:val="22"/>
              </w:rPr>
              <w:t xml:space="preserve">Tokens Studio ist ein Figma-Plugin mit eigenem Sync-Mechanismus. Die Figma Variables REST API gibt uns volle Kontrolle: Wir bestimmen das Mapping, das Format, und die Konfliktlösung. Außerdem keine Plugin-Abhängigkeit für Team-Mitglieder — der Sync passiert serverseitig.</w:t>
            </w:r>
          </w:p>
        </w:tc>
      </w:tr>
    </w:tbl>
    <w:p>
      <w:pPr>
        <w:pStyle w:val="Heading2"/>
      </w:pPr>
      <w:r>
        <w:t xml:space="preserve">Layer 4: Brand Hub (Frontend)</w:t>
      </w:r>
    </w:p>
    <w:p>
      <w:pPr>
        <w:spacing w:after="160" w:line="32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Der Brand Hub ist eine Next.js Multi-Tenant App, die per Subdomain oder URL-Parameter den richtigen Brand-Ordner lädt. Keine hardcoded Werte — alles wird zur Runtime aus den Token-Dateien gelesen.</w:t>
      </w:r>
    </w:p>
    <w:p>
      <w:pPr>
        <w:spacing w:before="40" w:after="0"/>
      </w:pPr>
    </w:p>
    <w:p>
      <w:pPr>
        <w:pStyle w:val="Heading3"/>
      </w:pPr>
      <w:r>
        <w:t xml:space="preserve">Core Features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8191C"/>
          <w:sz w:val="22"/>
          <w:szCs w:val="22"/>
        </w:rPr>
        <w:t xml:space="preserve">Brand Übersicht: </w:t>
      </w:r>
      <w:r>
        <w:rPr>
          <w:rFonts w:ascii="Arial" w:cs="Arial" w:eastAsia="Arial" w:hAnsi="Arial"/>
          <w:color w:val="18191C"/>
          <w:sz w:val="22"/>
          <w:szCs w:val="22"/>
        </w:rPr>
        <w:t xml:space="preserve">Identity, Values, Typografie, Geschäftsfelder — generiert aus brand-meta.json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8191C"/>
          <w:sz w:val="22"/>
          <w:szCs w:val="22"/>
        </w:rPr>
        <w:t xml:space="preserve">Color Palette Explorer: </w:t>
      </w:r>
      <w:r>
        <w:rPr>
          <w:rFonts w:ascii="Arial" w:cs="Arial" w:eastAsia="Arial" w:hAnsi="Arial"/>
          <w:color w:val="18191C"/>
          <w:sz w:val="22"/>
          <w:szCs w:val="22"/>
        </w:rPr>
        <w:t xml:space="preserve">Alle Farben mit Abstufungen, WCAG-Kontrast-Checker, Copy-to-Clipboard — generiert aus brand-tokens.json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8191C"/>
          <w:sz w:val="22"/>
          <w:szCs w:val="22"/>
        </w:rPr>
        <w:t xml:space="preserve">Asset Finder: </w:t>
      </w:r>
      <w:r>
        <w:rPr>
          <w:rFonts w:ascii="Arial" w:cs="Arial" w:eastAsia="Arial" w:hAnsi="Arial"/>
          <w:color w:val="18191C"/>
          <w:sz w:val="22"/>
          <w:szCs w:val="22"/>
        </w:rPr>
        <w:t xml:space="preserve">Smart Search mit Tags, Kategorie-Filter, Quick-Suggestions — Asset-Katalog aus brand-meta.json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8191C"/>
          <w:sz w:val="22"/>
          <w:szCs w:val="22"/>
        </w:rPr>
        <w:t xml:space="preserve">Social Template Generator: </w:t>
      </w:r>
      <w:r>
        <w:rPr>
          <w:rFonts w:ascii="Arial" w:cs="Arial" w:eastAsia="Arial" w:hAnsi="Arial"/>
          <w:color w:val="18191C"/>
          <w:sz w:val="22"/>
          <w:szCs w:val="22"/>
        </w:rPr>
        <w:t xml:space="preserve">LinkedIn, Instagram, Story-Formate mit Live-Vorschau in Brand-Farben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8191C"/>
          <w:sz w:val="22"/>
          <w:szCs w:val="22"/>
        </w:rPr>
        <w:t xml:space="preserve">E-Mail Signatur Generator: </w:t>
      </w:r>
      <w:r>
        <w:rPr>
          <w:rFonts w:ascii="Arial" w:cs="Arial" w:eastAsia="Arial" w:hAnsi="Arial"/>
          <w:color w:val="18191C"/>
          <w:sz w:val="22"/>
          <w:szCs w:val="22"/>
        </w:rPr>
        <w:t xml:space="preserve">Pro Teammitglied, konfigurierbar, HTML-Copy für Mail-Clients</w:t>
      </w:r>
    </w:p>
    <w:p>
      <w:pPr>
        <w:spacing w:before="40" w:after="0"/>
      </w:pPr>
    </w:p>
    <w:p>
      <w:pPr>
        <w:pStyle w:val="Heading3"/>
      </w:pPr>
      <w:r>
        <w:t xml:space="preserve">Geplante Features (v2+)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8191C"/>
          <w:sz w:val="22"/>
          <w:szCs w:val="22"/>
        </w:rPr>
        <w:t xml:space="preserve">AI Copy Generator: </w:t>
      </w:r>
      <w:r>
        <w:rPr>
          <w:rFonts w:ascii="Arial" w:cs="Arial" w:eastAsia="Arial" w:hAnsi="Arial"/>
          <w:color w:val="18191C"/>
          <w:sz w:val="22"/>
          <w:szCs w:val="22"/>
        </w:rPr>
        <w:t xml:space="preserve">Tone of Voice Rules + Claude API → on-brand Textvorschläge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8191C"/>
          <w:sz w:val="22"/>
          <w:szCs w:val="22"/>
        </w:rPr>
        <w:t xml:space="preserve">Brand Voice Scorer: </w:t>
      </w:r>
      <w:r>
        <w:rPr>
          <w:rFonts w:ascii="Arial" w:cs="Arial" w:eastAsia="Arial" w:hAnsi="Arial"/>
          <w:color w:val="18191C"/>
          <w:sz w:val="22"/>
          <w:szCs w:val="22"/>
        </w:rPr>
        <w:t xml:space="preserve">Text reinkopieren → Bewertung wie on-brand der Text ist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8191C"/>
          <w:sz w:val="22"/>
          <w:szCs w:val="22"/>
        </w:rPr>
        <w:t xml:space="preserve">Logo Placement Checker: </w:t>
      </w:r>
      <w:r>
        <w:rPr>
          <w:rFonts w:ascii="Arial" w:cs="Arial" w:eastAsia="Arial" w:hAnsi="Arial"/>
          <w:color w:val="18191C"/>
          <w:sz w:val="22"/>
          <w:szCs w:val="22"/>
        </w:rPr>
        <w:t xml:space="preserve">Bild hochladen → Check ob Logo-Freiraum stimmt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8191C"/>
          <w:sz w:val="22"/>
          <w:szCs w:val="22"/>
        </w:rPr>
        <w:t xml:space="preserve">Visual Token Editor: </w:t>
      </w:r>
      <w:r>
        <w:rPr>
          <w:rFonts w:ascii="Arial" w:cs="Arial" w:eastAsia="Arial" w:hAnsi="Arial"/>
          <w:color w:val="18191C"/>
          <w:sz w:val="22"/>
          <w:szCs w:val="22"/>
        </w:rPr>
        <w:t xml:space="preserve">Farben und Typo direkt im Hub ändern → Push nach Git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8191C"/>
          <w:sz w:val="22"/>
          <w:szCs w:val="22"/>
        </w:rPr>
        <w:t xml:space="preserve">Document Generator: </w:t>
      </w:r>
      <w:r>
        <w:rPr>
          <w:rFonts w:ascii="Arial" w:cs="Arial" w:eastAsia="Arial" w:hAnsi="Arial"/>
          <w:color w:val="18191C"/>
          <w:sz w:val="22"/>
          <w:szCs w:val="22"/>
        </w:rPr>
        <w:t xml:space="preserve">PPTX, DOCX, PDF aus Templates + Tokens generieren</w:t>
      </w:r>
    </w:p>
    <w:p>
      <w:r>
        <w:br/>
      </w:r>
    </w:p>
    <w:p>
      <w:pPr>
        <w:pStyle w:val="Heading1"/>
      </w:pPr>
      <w:r>
        <w:t xml:space="preserve">Multi-Tenant &amp; Domain-Strategie</w:t>
      </w:r>
    </w:p>
    <w:p>
      <w:pPr>
        <w:spacing w:after="160" w:line="32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Der Brand Hub dient mehreren Brands aus einer einzigen Codebase. Jede Brand wird durch ihren Token- und Meta-Ordner definiert.</w:t>
      </w:r>
    </w:p>
    <w:p>
      <w:pPr>
        <w:spacing w:before="40" w:after="0"/>
      </w:pPr>
    </w:p>
    <w:p>
      <w:pPr>
        <w:pStyle w:val="Heading2"/>
      </w:pPr>
      <w:r>
        <w:t xml:space="preserve">Repository-Struktur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D6A4F" w:sz="12"/>
              <w:bottom w:val="none"/>
              <w:right w:val="none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studio-brands/
├── brands/
│   ├── casago/
│   │   ├── brand-tokens.json
│   │   ├── brand-meta.json
│   │   └── assets/
│   ├── zerolabs/
│   │   ├── brand-tokens.json
│   │   ├── brand-meta.json
│   │   └── assets/
│   └── _template/
│       ├── brand-tokens.json
│       └── brand-meta.json
├── hub/  (Next.js App)
├── scripts/
│   ├── build-tokens.js  (Style Dictionary)
│   ├── figma-push.js
│   └── figma-pull.js
└── .github/workflows/
    └── token-pipeline.yml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t xml:space="preserve">Domain-Optionen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026"/>
      </w:tblGrid>
      <w:tr>
        <w:tc>
          <w:tcPr>
            <w:tcW w:type="dxa" w:w="18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shd w:fill="1819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Modell</w:t>
            </w:r>
          </w:p>
        </w:tc>
        <w:tc>
          <w:tcPr>
            <w:tcW w:type="dxa" w:w="28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shd w:fill="1819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  <w:tc>
          <w:tcPr>
            <w:tcW w:type="dxa" w:w="24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shd w:fill="1819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Vorteil</w:t>
            </w:r>
          </w:p>
        </w:tc>
        <w:tc>
          <w:tcPr>
            <w:tcW w:type="dxa" w:w="2026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shd w:fill="1819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</w:tr>
      <w:tr>
        <w:tc>
          <w:tcPr>
            <w:tcW w:type="dxa" w:w="18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Studio-Subdomain</w:t>
            </w:r>
          </w:p>
        </w:tc>
        <w:tc>
          <w:tcPr>
            <w:tcW w:type="dxa" w:w="28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casago.brands.eschnell.design</w:t>
            </w:r>
          </w:p>
        </w:tc>
        <w:tc>
          <w:tcPr>
            <w:tcW w:type="dxa" w:w="24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Portfolio-Piece, Studio als Plattform</w:t>
            </w:r>
          </w:p>
        </w:tc>
        <w:tc>
          <w:tcPr>
            <w:tcW w:type="dxa" w:w="2026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Wildcard DNS + Vercel</w:t>
            </w:r>
          </w:p>
        </w:tc>
      </w:tr>
      <w:tr>
        <w:tc>
          <w:tcPr>
            <w:tcW w:type="dxa" w:w="18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Client-Subdomain</w:t>
            </w:r>
          </w:p>
        </w:tc>
        <w:tc>
          <w:tcPr>
            <w:tcW w:type="dxa" w:w="28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brand.casago.de</w:t>
            </w:r>
          </w:p>
        </w:tc>
        <w:tc>
          <w:tcPr>
            <w:tcW w:type="dxa" w:w="24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Professionell, Client-owned</w:t>
            </w:r>
          </w:p>
        </w:tc>
        <w:tc>
          <w:tcPr>
            <w:tcW w:type="dxa" w:w="2026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CNAME auf Hub + Vercel Custom Domain</w:t>
            </w:r>
          </w:p>
        </w:tc>
      </w:tr>
      <w:tr>
        <w:tc>
          <w:tcPr>
            <w:tcW w:type="dxa" w:w="18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Hybrid</w:t>
            </w:r>
          </w:p>
        </w:tc>
        <w:tc>
          <w:tcPr>
            <w:tcW w:type="dxa" w:w="28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Beides parallel</w:t>
            </w:r>
          </w:p>
        </w:tc>
        <w:tc>
          <w:tcPr>
            <w:tcW w:type="dxa" w:w="24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Maximale Flexibilität</w:t>
            </w:r>
          </w:p>
        </w:tc>
        <w:tc>
          <w:tcPr>
            <w:tcW w:type="dxa" w:w="2026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Beide DNS-Einträge, Hub erkennt Brand</w:t>
            </w:r>
          </w:p>
        </w:tc>
      </w:tr>
    </w:tbl>
    <w:p>
      <w:pPr>
        <w:spacing w:before="80" w:after="0"/>
      </w:pPr>
    </w:p>
    <w:p>
      <w:pPr>
        <w:spacing w:after="160" w:line="32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Empfehlung: Start mit Studio-Subdomains für schnelles Onboarding. Client-Subdomains als optionaler Upsell, konfiguriert per CNAME-Eintrag, den der Client bei seinem DNS-Provider setzt.</w:t>
      </w:r>
    </w:p>
    <w:p>
      <w:r>
        <w:br/>
      </w:r>
    </w:p>
    <w:p>
      <w:pPr>
        <w:pStyle w:val="Heading1"/>
      </w:pPr>
      <w:r>
        <w:t xml:space="preserve">Token-Pipeline im Detail</w:t>
      </w:r>
    </w:p>
    <w:p>
      <w:pPr>
        <w:spacing w:after="160" w:line="32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Der konkrete Datenfluss von einer Änderung bis zur Propagierung in alle Systeme.</w:t>
      </w:r>
    </w:p>
    <w:p>
      <w:pPr>
        <w:pStyle w:val="Heading2"/>
      </w:pPr>
      <w:r>
        <w:t xml:space="preserve">Szenario A: Designer ändert Farbe in Figma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Designer ändert Variable </w:t>
      </w:r>
      <w:r>
        <w:rPr>
          <w:rFonts w:ascii="Courier New" w:cs="Courier New" w:eastAsia="Courier New" w:hAnsi="Courier New"/>
          <w:color w:val="2D6A4F"/>
          <w:sz w:val="20"/>
          <w:szCs w:val="20"/>
        </w:rPr>
        <w:t xml:space="preserve">color/accent</w:t>
      </w:r>
      <w:r>
        <w:rPr>
          <w:rFonts w:ascii="Arial" w:cs="Arial" w:eastAsia="Arial" w:hAnsi="Arial"/>
          <w:color w:val="18191C"/>
          <w:sz w:val="22"/>
          <w:szCs w:val="22"/>
        </w:rPr>
        <w:t xml:space="preserve"> in Figma von #2D6A4F auf #1B4332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color w:val="18191C"/>
          <w:sz w:val="22"/>
          <w:szCs w:val="22"/>
        </w:rPr>
        <w:t xml:space="preserve">Manueller Trigger: </w:t>
      </w:r>
      <w:r>
        <w:rPr>
          <w:rFonts w:ascii="Arial" w:cs="Arial" w:eastAsia="Arial" w:hAnsi="Arial"/>
          <w:color w:val="18191C"/>
          <w:sz w:val="22"/>
          <w:szCs w:val="22"/>
        </w:rPr>
        <w:t xml:space="preserve">figma-pull.js wird ausgeführt (CLI oder GitHub Action Dispatch)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Script liest Figma Variables via REST API, vergleicht mit brand-tokens.json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Diff wird als Pull Request erstellt mit Beschreibung der Änderung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Nach Merge: Style Dictionary regeneriert alle Outputs (CSS, SCSS, JSON)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Brand Hub, Website und Templates reflektieren die neue Farbe</w:t>
      </w:r>
    </w:p>
    <w:p>
      <w:pPr>
        <w:spacing w:before="80" w:after="0"/>
      </w:pPr>
    </w:p>
    <w:p>
      <w:pPr>
        <w:pStyle w:val="Heading2"/>
      </w:pPr>
      <w:r>
        <w:t xml:space="preserve">Szenario B: Developer ändert Token im Code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Developer (oder Claude) editiert brand-tokens.json direkt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Push/PR auf Main Branch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GitHub Action: Style Dictionary baut alle Outputs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GitHub Action: figma-push.js synchronisiert nach Figma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Alle Systeme sind synchron</w:t>
      </w:r>
    </w:p>
    <w:p>
      <w:pPr>
        <w:spacing w:before="80" w:after="0"/>
      </w:pPr>
    </w:p>
    <w:p>
      <w:pPr>
        <w:pStyle w:val="Heading2"/>
      </w:pPr>
      <w:r>
        <w:t xml:space="preserve">Szenario C: Arbeit mit Claude</w:t>
      </w:r>
    </w:p>
    <w:p>
      <w:pPr>
        <w:spacing w:after="160" w:line="32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Claude kann direkt gegen die Token-Datei arbeiten, statt Hex-Werte aus dem Gedächtnis zu verwenden. Zwei Wege: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8191C"/>
          <w:sz w:val="22"/>
          <w:szCs w:val="22"/>
        </w:rPr>
        <w:t xml:space="preserve">Claude Code: </w:t>
      </w:r>
      <w:r>
        <w:rPr>
          <w:rFonts w:ascii="Arial" w:cs="Arial" w:eastAsia="Arial" w:hAnsi="Arial"/>
          <w:color w:val="18191C"/>
          <w:sz w:val="22"/>
          <w:szCs w:val="22"/>
        </w:rPr>
        <w:t xml:space="preserve">Liest brand-tokens.json im Repo, arbeitet mit echten Werten, committed Änderungen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8191C"/>
          <w:sz w:val="22"/>
          <w:szCs w:val="22"/>
        </w:rPr>
        <w:t xml:space="preserve">Claude Chat + Figma MCP: </w:t>
      </w:r>
      <w:r>
        <w:rPr>
          <w:rFonts w:ascii="Arial" w:cs="Arial" w:eastAsia="Arial" w:hAnsi="Arial"/>
          <w:color w:val="18191C"/>
          <w:sz w:val="22"/>
          <w:szCs w:val="22"/>
        </w:rPr>
        <w:t xml:space="preserve">Liest Figma Variables via MCP-Connector, kann als Brücke zwischen Gespräch und Design System dienen</w:t>
      </w:r>
    </w:p>
    <w:p>
      <w:pPr>
        <w:spacing w:after="160" w:line="32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Dies eliminiert das Problem, das wir im Brand Hub Prototyp hatten: geraten statt gewusste Farbwerte.</w:t>
      </w:r>
    </w:p>
    <w:p>
      <w:r>
        <w:br/>
      </w:r>
    </w:p>
    <w:p>
      <w:pPr>
        <w:pStyle w:val="Heading1"/>
      </w:pPr>
      <w:r>
        <w:t xml:space="preserve">Figma Variables REST API — Technische Details</w:t>
      </w:r>
    </w:p>
    <w:p>
      <w:pPr>
        <w:spacing w:after="160" w:line="32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Die Figma REST API (v1) unterstützt seit 2023 das Lesen und Schreiben von Variables. Wir nutzen zwei Endpoints: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026"/>
      </w:tblGrid>
      <w:tr>
        <w:tc>
          <w:tcPr>
            <w:tcW w:type="dxa" w:w="38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shd w:fill="1819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shd w:fill="1819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4026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shd w:fill="1819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38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GET /v1/files/:key/variables/local</w:t>
            </w:r>
          </w:p>
        </w:tc>
        <w:tc>
          <w:tcPr>
            <w:tcW w:type="dxa" w:w="12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GET</w:t>
            </w:r>
          </w:p>
        </w:tc>
        <w:tc>
          <w:tcPr>
            <w:tcW w:type="dxa" w:w="4026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Alle lokalen Variable Collections und Variables lesen</w:t>
            </w:r>
          </w:p>
        </w:tc>
      </w:tr>
      <w:tr>
        <w:tc>
          <w:tcPr>
            <w:tcW w:type="dxa" w:w="38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POST /v1/files/:key/variables</w:t>
            </w:r>
          </w:p>
        </w:tc>
        <w:tc>
          <w:tcPr>
            <w:tcW w:type="dxa" w:w="12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POST</w:t>
            </w:r>
          </w:p>
        </w:tc>
        <w:tc>
          <w:tcPr>
            <w:tcW w:type="dxa" w:w="4026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Variables erstellen, aktualisieren oder löschen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t xml:space="preserve">Voraussetzungen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Figma Enterprise oder Professional Plan (Variables API nicht im Free Plan)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Personal Access Token mit Scope: file_variables:read und file_variables:write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Die Figma-File-ID des Design Systems pro Brand</w:t>
      </w:r>
    </w:p>
    <w:p>
      <w:pPr>
        <w:spacing w:before="40" w:after="0"/>
      </w:pPr>
    </w:p>
    <w:p>
      <w:pPr>
        <w:pStyle w:val="Heading2"/>
      </w:pPr>
      <w:r>
        <w:t xml:space="preserve">Mapping-Strategie</w:t>
      </w:r>
    </w:p>
    <w:p>
      <w:pPr>
        <w:spacing w:after="160" w:line="32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Die Token-Datei nutzt eine hierarchische Struktur (color.dark, font.weight.bold). Figma Variables nutzen Collections mit Slash-Namenskonvention (color/dark, font/weight/bold). Das Script muss zwischen beiden Formaten konvertieren.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shd w:fill="1819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W3C Token Path</w:t>
            </w:r>
          </w:p>
        </w:tc>
        <w:tc>
          <w:tcPr>
            <w:tcW w:type="dxa" w:w="30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shd w:fill="1819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Figma Variable Name</w:t>
            </w:r>
          </w:p>
        </w:tc>
        <w:tc>
          <w:tcPr>
            <w:tcW w:type="dxa" w:w="3026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shd w:fill="1819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Figma Collection</w:t>
            </w:r>
          </w:p>
        </w:tc>
      </w:tr>
      <w:tr>
        <w:tc>
          <w:tcPr>
            <w:tcW w:type="dxa" w:w="30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color.dark</w:t>
            </w:r>
          </w:p>
        </w:tc>
        <w:tc>
          <w:tcPr>
            <w:tcW w:type="dxa" w:w="30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color/dark</w:t>
            </w:r>
          </w:p>
        </w:tc>
        <w:tc>
          <w:tcPr>
            <w:tcW w:type="dxa" w:w="3026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Colors</w:t>
            </w:r>
          </w:p>
        </w:tc>
      </w:tr>
      <w:tr>
        <w:tc>
          <w:tcPr>
            <w:tcW w:type="dxa" w:w="30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color.cream</w:t>
            </w:r>
          </w:p>
        </w:tc>
        <w:tc>
          <w:tcPr>
            <w:tcW w:type="dxa" w:w="30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color/cream</w:t>
            </w:r>
          </w:p>
        </w:tc>
        <w:tc>
          <w:tcPr>
            <w:tcW w:type="dxa" w:w="3026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Colors</w:t>
            </w:r>
          </w:p>
        </w:tc>
      </w:tr>
      <w:tr>
        <w:tc>
          <w:tcPr>
            <w:tcW w:type="dxa" w:w="30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font.family.base</w:t>
            </w:r>
          </w:p>
        </w:tc>
        <w:tc>
          <w:tcPr>
            <w:tcW w:type="dxa" w:w="30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font/family/base</w:t>
            </w:r>
          </w:p>
        </w:tc>
        <w:tc>
          <w:tcPr>
            <w:tcW w:type="dxa" w:w="3026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Typography</w:t>
            </w:r>
          </w:p>
        </w:tc>
      </w:tr>
      <w:tr>
        <w:tc>
          <w:tcPr>
            <w:tcW w:type="dxa" w:w="30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font.weight.bold</w:t>
            </w:r>
          </w:p>
        </w:tc>
        <w:tc>
          <w:tcPr>
            <w:tcW w:type="dxa" w:w="30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font/weight/bold</w:t>
            </w:r>
          </w:p>
        </w:tc>
        <w:tc>
          <w:tcPr>
            <w:tcW w:type="dxa" w:w="3026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Typography</w:t>
            </w:r>
          </w:p>
        </w:tc>
      </w:tr>
      <w:tr>
        <w:tc>
          <w:tcPr>
            <w:tcW w:type="dxa" w:w="30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spacing.page-x</w:t>
            </w:r>
          </w:p>
        </w:tc>
        <w:tc>
          <w:tcPr>
            <w:tcW w:type="dxa" w:w="30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spacing/page-x</w:t>
            </w:r>
          </w:p>
        </w:tc>
        <w:tc>
          <w:tcPr>
            <w:tcW w:type="dxa" w:w="3026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Spacing</w:t>
            </w:r>
          </w:p>
        </w:tc>
      </w:tr>
      <w:tr>
        <w:tc>
          <w:tcPr>
            <w:tcW w:type="dxa" w:w="30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radius.card</w:t>
            </w:r>
          </w:p>
        </w:tc>
        <w:tc>
          <w:tcPr>
            <w:tcW w:type="dxa" w:w="30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radius/card</w:t>
            </w:r>
          </w:p>
        </w:tc>
        <w:tc>
          <w:tcPr>
            <w:tcW w:type="dxa" w:w="3026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Components</w:t>
            </w:r>
          </w:p>
        </w:tc>
      </w:tr>
    </w:tbl>
    <w:p>
      <w:r>
        <w:br/>
      </w:r>
    </w:p>
    <w:p>
      <w:pPr>
        <w:pStyle w:val="Heading1"/>
      </w:pPr>
      <w:r>
        <w:t xml:space="preserve">Tech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c>
          <w:tcPr>
            <w:tcW w:type="dxa" w:w="24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shd w:fill="1819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32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shd w:fill="1819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426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shd w:fill="1819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24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Hub Frontend</w:t>
            </w:r>
          </w:p>
        </w:tc>
        <w:tc>
          <w:tcPr>
            <w:tcW w:type="dxa" w:w="32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Next.js 14+ (App Router)</w:t>
            </w:r>
          </w:p>
        </w:tc>
        <w:tc>
          <w:tcPr>
            <w:tcW w:type="dxa" w:w="3426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React-Basis, SSR/ISR, Vercel-Hosting, bekannter Stack</w:t>
            </w:r>
          </w:p>
        </w:tc>
      </w:tr>
      <w:tr>
        <w:tc>
          <w:tcPr>
            <w:tcW w:type="dxa" w:w="24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Tailwind CSS + CSS Custom Properties</w:t>
            </w:r>
          </w:p>
        </w:tc>
        <w:tc>
          <w:tcPr>
            <w:tcW w:type="dxa" w:w="3426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Tokens werden zu CSS Variables, Tailwind für Utility-Klassen</w:t>
            </w:r>
          </w:p>
        </w:tc>
      </w:tr>
      <w:tr>
        <w:tc>
          <w:tcPr>
            <w:tcW w:type="dxa" w:w="24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Token Transform</w:t>
            </w:r>
          </w:p>
        </w:tc>
        <w:tc>
          <w:tcPr>
            <w:tcW w:type="dxa" w:w="32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Style Dictionary 4.x</w:t>
            </w:r>
          </w:p>
        </w:tc>
        <w:tc>
          <w:tcPr>
            <w:tcW w:type="dxa" w:w="3426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Industry Standard, extensible, W3C-kompatibel</w:t>
            </w:r>
          </w:p>
        </w:tc>
      </w:tr>
      <w:tr>
        <w:tc>
          <w:tcPr>
            <w:tcW w:type="dxa" w:w="24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Figma Sync</w:t>
            </w:r>
          </w:p>
        </w:tc>
        <w:tc>
          <w:tcPr>
            <w:tcW w:type="dxa" w:w="32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Custom Node.js Script</w:t>
            </w:r>
          </w:p>
        </w:tc>
        <w:tc>
          <w:tcPr>
            <w:tcW w:type="dxa" w:w="3426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Figma Variables REST API, volle Kontrolle</w:t>
            </w:r>
          </w:p>
        </w:tc>
      </w:tr>
      <w:tr>
        <w:tc>
          <w:tcPr>
            <w:tcW w:type="dxa" w:w="24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Vercel</w:t>
            </w:r>
          </w:p>
        </w:tc>
        <w:tc>
          <w:tcPr>
            <w:tcW w:type="dxa" w:w="3426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Custom Domains, Edge Functions, GitHub Integration</w:t>
            </w:r>
          </w:p>
        </w:tc>
      </w:tr>
      <w:tr>
        <w:tc>
          <w:tcPr>
            <w:tcW w:type="dxa" w:w="24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Repository</w:t>
            </w:r>
          </w:p>
        </w:tc>
        <w:tc>
          <w:tcPr>
            <w:tcW w:type="dxa" w:w="32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GitHub</w:t>
            </w:r>
          </w:p>
        </w:tc>
        <w:tc>
          <w:tcPr>
            <w:tcW w:type="dxa" w:w="3426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Actions für Pipeline, PRs für Review-Flow</w:t>
            </w:r>
          </w:p>
        </w:tc>
      </w:tr>
      <w:tr>
        <w:tc>
          <w:tcPr>
            <w:tcW w:type="dxa" w:w="24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AI Features (v2)</w:t>
            </w:r>
          </w:p>
        </w:tc>
        <w:tc>
          <w:tcPr>
            <w:tcW w:type="dxa" w:w="32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3426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Brand Voice Generator, Copy Scorer</w:t>
            </w:r>
          </w:p>
        </w:tc>
      </w:tr>
      <w:tr>
        <w:tc>
          <w:tcPr>
            <w:tcW w:type="dxa" w:w="24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Asset Storage</w:t>
            </w:r>
          </w:p>
        </w:tc>
        <w:tc>
          <w:tcPr>
            <w:tcW w:type="dxa" w:w="32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Vercel Blob / GitHub LFS</w:t>
            </w:r>
          </w:p>
        </w:tc>
        <w:tc>
          <w:tcPr>
            <w:tcW w:type="dxa" w:w="3426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Logos, Templates, Dokumente</w:t>
            </w:r>
          </w:p>
        </w:tc>
      </w:tr>
    </w:tbl>
    <w:p>
      <w:r>
        <w:br/>
      </w:r>
    </w:p>
    <w:p>
      <w:pPr>
        <w:pStyle w:val="Heading1"/>
      </w:pPr>
      <w:r>
        <w:t xml:space="preserve">Implementierungs-Roadmap</w:t>
      </w:r>
    </w:p>
    <w:p>
      <w:pPr>
        <w:spacing w:after="160" w:line="32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Die Implementierung ist bewusst inkrementell. Jede Phase liefert einen eigenständigen Mehrwert.</w:t>
      </w:r>
    </w:p>
    <w:p>
      <w:pPr>
        <w:spacing w:before="80" w:after="0"/>
      </w:pPr>
    </w:p>
    <w:p>
      <w:pPr>
        <w:pStyle w:val="Heading2"/>
      </w:pPr>
      <w:r>
        <w:t xml:space="preserve">Phase 1: Foundation (Woche 1–2)</w:t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888888"/>
          <w:spacing w:val="80"/>
          <w:sz w:val="16"/>
          <w:szCs w:val="16"/>
        </w:rPr>
        <w:t xml:space="preserve">ZIEL: TOKEN-DATEI + ERSTE OUTPUTS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CASAGO brand-tokens.json im W3C-Format aufsetzen (echte Werte aus der Codebase extrahieren)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CASAGO brand-meta.json definieren (Claim, Values, Team, Asset-Katalog)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Style Dictionary konfigurieren: CSS, SCSS und JSON Outputs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GitHub Repository mit CI/CD Pipeline (Token Build bei Push)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Validierungs-Script: Token-Datei gegen JSON-Schema prüfen</w:t>
      </w:r>
    </w:p>
    <w:p>
      <w:pPr>
        <w:spacing w:before="80" w:after="0"/>
      </w:pPr>
    </w:p>
    <w:p>
      <w:pPr>
        <w:pStyle w:val="Heading2"/>
      </w:pPr>
      <w:r>
        <w:t xml:space="preserve">Phase 2: Brand Hub v1 (Woche 3–4)</w:t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888888"/>
          <w:spacing w:val="80"/>
          <w:sz w:val="16"/>
          <w:szCs w:val="16"/>
        </w:rPr>
        <w:t xml:space="preserve">ZIEL: FUNKTIONIERENDER HUB FÜR CASAGO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Next.js App mit Token-Import zur Runtime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Brand Übersicht, Color Explorer, Asset Finder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Social Template Generator mit Live-Vorschau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E-Mail Signatur Generator mit HTML-Export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Deployment auf Vercel mit casago.brands.eschnell.design</w:t>
      </w:r>
    </w:p>
    <w:p>
      <w:pPr>
        <w:spacing w:before="80" w:after="0"/>
      </w:pPr>
    </w:p>
    <w:p>
      <w:pPr>
        <w:pStyle w:val="Heading2"/>
      </w:pPr>
      <w:r>
        <w:t xml:space="preserve">Phase 3: Figma Sync (Woche 5–6)</w:t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888888"/>
          <w:spacing w:val="80"/>
          <w:sz w:val="16"/>
          <w:szCs w:val="16"/>
        </w:rPr>
        <w:t xml:space="preserve">ZIEL: BIDIREKTIONALER FIGMA-LOOP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figma-push.js: Tokens → Figma Variables via REST API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figma-pull.js: Figma Variables → Token-Datei via PR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GitHub Action für automatischen Sync bei Token-Änderungen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CASAGO Figma Design System mit Variable Collections aufsetzen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End-to-End Test: Farbe in Figma ändern → Hub zeigt neuen Wert</w:t>
      </w:r>
    </w:p>
    <w:p>
      <w:pPr>
        <w:spacing w:before="80" w:after="0"/>
      </w:pPr>
    </w:p>
    <w:p>
      <w:pPr>
        <w:pStyle w:val="Heading2"/>
      </w:pPr>
      <w:r>
        <w:t xml:space="preserve">Phase 4: Multi-Tenant + Polish (Woche 7–8)</w:t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888888"/>
          <w:spacing w:val="80"/>
          <w:sz w:val="16"/>
          <w:szCs w:val="16"/>
        </w:rPr>
        <w:t xml:space="preserve">ZIEL: ZWEITE BRAND + PRODUCTION-READY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zeroLabs als zweite Brand onboarden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Multi-Tenant Routing (Subdomain → Brand-Ordner)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Custom Domain Support (CNAME-basiert)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Passwortschutz für Client-Hubs (optional)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Template-Ordner für schnelles Brand-Onboarding</w:t>
      </w:r>
    </w:p>
    <w:p>
      <w:pPr>
        <w:spacing w:before="80" w:after="0"/>
      </w:pPr>
    </w:p>
    <w:p>
      <w:pPr>
        <w:pStyle w:val="Heading2"/>
      </w:pPr>
      <w:r>
        <w:t xml:space="preserve">Phase 5: AI &amp; Generatoren (Woche 9+)</w:t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888888"/>
          <w:spacing w:val="80"/>
          <w:sz w:val="16"/>
          <w:szCs w:val="16"/>
        </w:rPr>
        <w:t xml:space="preserve">ZIEL: DER HUB WIRD ZUM ARBEITS-TOOL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AI Copy Generator (Claude API + Brand Voice Rules)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Brand Voice Scorer (Text-Analyse gegen Tone-of-Voice-Regeln)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Document Generator (PPTX, DOCX aus Tokens + Templates)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Visual Token Editor im Hub (Farben direkt ändern → Git Push)</w:t>
      </w:r>
    </w:p>
    <w:p>
      <w:r>
        <w:br/>
      </w:r>
    </w:p>
    <w:p>
      <w:pPr>
        <w:pStyle w:val="Heading1"/>
      </w:pPr>
      <w:r>
        <w:t xml:space="preserve">Geschäftsmodell-Potenzial</w:t>
      </w:r>
    </w:p>
    <w:p>
      <w:pPr>
        <w:spacing w:after="160" w:line="32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Der Brand Hub ist zunächst ein internes Tool für das Studio. Er hat aber Potenzial als eigenständiges Produkt oder als Upsell im Client-Geschäft.</w:t>
      </w:r>
    </w:p>
    <w:p>
      <w:pPr>
        <w:spacing w:before="40" w:after="0"/>
      </w:pPr>
    </w:p>
    <w:p>
      <w:pPr>
        <w:pStyle w:val="Heading2"/>
      </w:pPr>
      <w:r>
        <w:t xml:space="preserve">Monetarisierungs-Optionen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426"/>
      </w:tblGrid>
      <w:tr>
        <w:tc>
          <w:tcPr>
            <w:tcW w:type="dxa" w:w="26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shd w:fill="1819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Modell</w:t>
            </w:r>
          </w:p>
        </w:tc>
        <w:tc>
          <w:tcPr>
            <w:tcW w:type="dxa" w:w="40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shd w:fill="1819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2426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shd w:fill="1819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Preisrange</w:t>
            </w:r>
          </w:p>
        </w:tc>
      </w:tr>
      <w:tr>
        <w:tc>
          <w:tcPr>
            <w:tcW w:type="dxa" w:w="26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Inkludiert im Brand-Projekt</w:t>
            </w:r>
          </w:p>
        </w:tc>
        <w:tc>
          <w:tcPr>
            <w:tcW w:type="dxa" w:w="40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Hub-Setup als Teil des Brand-Design-Pakets</w:t>
            </w:r>
          </w:p>
        </w:tc>
        <w:tc>
          <w:tcPr>
            <w:tcW w:type="dxa" w:w="2426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Eingepreist in Projektkosten</w:t>
            </w:r>
          </w:p>
        </w:tc>
      </w:tr>
      <w:tr>
        <w:tc>
          <w:tcPr>
            <w:tcW w:type="dxa" w:w="26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Monatliches Hosting</w:t>
            </w:r>
          </w:p>
        </w:tc>
        <w:tc>
          <w:tcPr>
            <w:tcW w:type="dxa" w:w="40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Hub-Hosting + Updates + Figma-Sync als laufender Service</w:t>
            </w:r>
          </w:p>
        </w:tc>
        <w:tc>
          <w:tcPr>
            <w:tcW w:type="dxa" w:w="2426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49–149 €/Monat pro Brand</w:t>
            </w:r>
          </w:p>
        </w:tc>
      </w:tr>
      <w:tr>
        <w:tc>
          <w:tcPr>
            <w:tcW w:type="dxa" w:w="26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Setup-Fee + Hosting</w:t>
            </w:r>
          </w:p>
        </w:tc>
        <w:tc>
          <w:tcPr>
            <w:tcW w:type="dxa" w:w="40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Einmaliges Setup + günstiges monatliches Hosting</w:t>
            </w:r>
          </w:p>
        </w:tc>
        <w:tc>
          <w:tcPr>
            <w:tcW w:type="dxa" w:w="2426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500–1.500 € Setup + 29–79 €/Monat</w:t>
            </w:r>
          </w:p>
        </w:tc>
      </w:tr>
      <w:tr>
        <w:tc>
          <w:tcPr>
            <w:tcW w:type="dxa" w:w="26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White-Label SaaS (langfristig)</w:t>
            </w:r>
          </w:p>
        </w:tc>
        <w:tc>
          <w:tcPr>
            <w:tcW w:type="dxa" w:w="40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Platform für andere Studios/Agenturen</w:t>
            </w:r>
          </w:p>
        </w:tc>
        <w:tc>
          <w:tcPr>
            <w:tcW w:type="dxa" w:w="2426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Subscription-basiert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D6A4F" w:sz="12"/>
              <w:bottom w:val="none"/>
              <w:right w:val="none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Positionierung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18191C"/>
                <w:sz w:val="22"/>
                <w:szCs w:val="22"/>
              </w:rPr>
              <w:t xml:space="preserve">Der Brand Hub positioniert das Studio nicht als reinen Design-Dienstleister, sondern als Brand-Infrastruktur-Partner. Das ändert das Gespräch von „Was kostet ein Logo?“ zu „Wie bleibt unsere Brand konsistent über alle Touchpoints?“</w:t>
            </w:r>
          </w:p>
        </w:tc>
      </w:tr>
    </w:tbl>
    <w:p>
      <w:r>
        <w:br/>
      </w:r>
    </w:p>
    <w:p>
      <w:pPr>
        <w:pStyle w:val="Heading1"/>
      </w:pPr>
      <w:r>
        <w:t xml:space="preserve">Risiken &amp; Mitigationen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826"/>
      </w:tblGrid>
      <w:tr>
        <w:tc>
          <w:tcPr>
            <w:tcW w:type="dxa" w:w="26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shd w:fill="1819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16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shd w:fill="1819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826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shd w:fill="1819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Figma Variables API ändert sich</w:t>
            </w:r>
          </w:p>
        </w:tc>
        <w:tc>
          <w:tcPr>
            <w:tcW w:type="dxa" w:w="16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Sync bricht</w:t>
            </w:r>
          </w:p>
        </w:tc>
        <w:tc>
          <w:tcPr>
            <w:tcW w:type="dxa" w:w="4826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Abstraktion im Script, API-Version pinnen, Monitoring</w:t>
            </w:r>
          </w:p>
        </w:tc>
      </w:tr>
      <w:tr>
        <w:tc>
          <w:tcPr>
            <w:tcW w:type="dxa" w:w="26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Over-Engineering für wenige Brands</w:t>
            </w:r>
          </w:p>
        </w:tc>
        <w:tc>
          <w:tcPr>
            <w:tcW w:type="dxa" w:w="16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Zeitverlust</w:t>
            </w:r>
          </w:p>
        </w:tc>
        <w:tc>
          <w:tcPr>
            <w:tcW w:type="dxa" w:w="4826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Inkrementeller Ansatz: Jede Phase liefert eigenständigen Wert</w:t>
            </w:r>
          </w:p>
        </w:tc>
      </w:tr>
      <w:tr>
        <w:tc>
          <w:tcPr>
            <w:tcW w:type="dxa" w:w="26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Client will keinen technischen Workflow</w:t>
            </w:r>
          </w:p>
        </w:tc>
        <w:tc>
          <w:tcPr>
            <w:tcW w:type="dxa" w:w="16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Adoption gering</w:t>
            </w:r>
          </w:p>
        </w:tc>
        <w:tc>
          <w:tcPr>
            <w:tcW w:type="dxa" w:w="4826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Hub als reiner Viewer ist Fallback, kein Sync nötig</w:t>
            </w:r>
          </w:p>
        </w:tc>
      </w:tr>
      <w:tr>
        <w:tc>
          <w:tcPr>
            <w:tcW w:type="dxa" w:w="26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Token-Format-Fragmentierung</w:t>
            </w:r>
          </w:p>
        </w:tc>
        <w:tc>
          <w:tcPr>
            <w:tcW w:type="dxa" w:w="16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Inkompatibilitäten</w:t>
            </w:r>
          </w:p>
        </w:tc>
        <w:tc>
          <w:tcPr>
            <w:tcW w:type="dxa" w:w="4826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W3C Standard als Basis, Style Dictionary als Adapter</w:t>
            </w:r>
          </w:p>
        </w:tc>
      </w:tr>
      <w:tr>
        <w:tc>
          <w:tcPr>
            <w:tcW w:type="dxa" w:w="26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Figma Enterprise Plan nötig für API</w:t>
            </w:r>
          </w:p>
        </w:tc>
        <w:tc>
          <w:tcPr>
            <w:tcW w:type="dxa" w:w="1600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Kosten</w:t>
            </w:r>
          </w:p>
        </w:tc>
        <w:tc>
          <w:tcPr>
            <w:tcW w:type="dxa" w:w="4826"/>
            <w:tcBorders>
              <w:top w:val="single" w:color="D4D4D0" w:sz="1"/>
              <w:left w:val="single" w:color="D4D4D0" w:sz="1"/>
              <w:bottom w:val="single" w:color="D4D4D0" w:sz="1"/>
              <w:right w:val="single" w:color="D4D4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91C"/>
                <w:sz w:val="20"/>
                <w:szCs w:val="20"/>
              </w:rPr>
              <w:t xml:space="preserve">Free Tier: manueller Export, API nur für zahlende Clients</w:t>
            </w:r>
          </w:p>
        </w:tc>
      </w:tr>
    </w:tbl>
    <w:p>
      <w:r>
        <w:br/>
      </w:r>
    </w:p>
    <w:p>
      <w:pPr>
        <w:pStyle w:val="Heading1"/>
      </w:pPr>
      <w:r>
        <w:t xml:space="preserve">Nächste Schritte</w:t>
      </w:r>
    </w:p>
    <w:p>
      <w:pPr>
        <w:spacing w:after="160" w:line="32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Folgende Schritte sind die unmittelbar nächsten Aktionen, um Phase 1 zu starten:</w:t>
      </w:r>
    </w:p>
    <w:p>
      <w:pPr>
        <w:spacing w:before="40" w:after="0"/>
      </w:pP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CASAGO Design Tokens aus der bestehenden Codebase extrahieren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(Farben, Fonts, Spacing, Radii aus _variables-custom.scss und den Komponenten-SCSS-Dateien)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brand-tokens.json und brand-meta.json für CASAGO aufsetzen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(W3C Format, validiert gegen Schema)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GitHub Repository anlegen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(studio-brands Monorepo oder brand-spezifisches Repo)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Style Dictionary konfigurieren und erste Outputs generieren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(CSS + SCSS + JSON)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Figma Variables REST API evaluieren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(Plan-Level prüfen, Proof of Concept mit einer Variable Collection)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color w:val="18191C"/>
          <w:sz w:val="22"/>
          <w:szCs w:val="22"/>
        </w:rPr>
        <w:t xml:space="preserve">Brand Hub Next.js Scaffold mit Token-Import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(Proof of Concept: eine Seite, die Tokens live liest)</w:t>
      </w:r>
    </w:p>
    <w:p>
      <w:pPr>
        <w:spacing w:before="200" w:after="0"/>
      </w:pPr>
    </w:p>
    <w:p>
      <w:pPr>
        <w:pBdr>
          <w:top w:val="single" w:color="D4D4D0" w:sz="2"/>
        </w:pBdr>
        <w:spacing w:before="200" w:after="0"/>
      </w:pPr>
    </w:p>
    <w:p>
      <w:pPr>
        <w:spacing w:before="40" w:after="0"/>
      </w:pPr>
    </w:p>
    <w:p>
      <w:pPr>
        <w:spacing w:after="160" w:line="3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Dieses Dokument ist ein lebendes Konzept und wird mit jeder Phase aktualisiert.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eschnell.design</w:t>
    </w:r>
    <w:r>
      <w:rPr>
        <w:rFonts w:ascii="Arial" w:cs="Arial" w:eastAsia="Arial" w:hAnsi="Arial"/>
        <w:color w:val="888888"/>
        <w:sz w:val="16"/>
        <w:szCs w:val="16"/>
      </w:rPr>
      <w:t xml:space="preserve">  —  Seite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Brand Hub — Konzept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819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8191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18191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2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2026-03-11T20:15:42.482Z</dcterms:created>
  <dcterms:modified xsi:type="dcterms:W3CDTF">2026-03-11T20:15:42.483Z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