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D85A3" w14:textId="77777777" w:rsidR="00E12712" w:rsidRDefault="00761090" w:rsidP="00481BEB">
      <w:pPr>
        <w:pStyle w:val="Titre1"/>
        <w:numPr>
          <w:ilvl w:val="0"/>
          <w:numId w:val="0"/>
        </w:numPr>
      </w:pPr>
      <w:r>
        <w:rPr>
          <w:noProof/>
          <w:lang w:val="fr-FR"/>
        </w:rPr>
        <w:pict w14:anchorId="22C50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35pt;margin-top:-9.7pt;width:168pt;height:35.25pt;z-index:-251658752" fillcolor="window">
            <v:imagedata r:id="rId7" o:title="logo U de S couleur"/>
          </v:shape>
        </w:pict>
      </w:r>
    </w:p>
    <w:p w14:paraId="3ADC8A91" w14:textId="77777777" w:rsidR="00E12712" w:rsidRDefault="00E12712">
      <w:pPr>
        <w:rPr>
          <w:rFonts w:cs="Arial"/>
          <w:sz w:val="20"/>
        </w:rPr>
      </w:pPr>
      <w:r>
        <w:rPr>
          <w:rFonts w:cs="Arial"/>
          <w:sz w:val="20"/>
        </w:rPr>
        <w:t xml:space="preserve">Faculté des sciences </w:t>
      </w:r>
    </w:p>
    <w:p w14:paraId="39BCBA0A" w14:textId="77777777" w:rsidR="00E12712" w:rsidRDefault="00E12712">
      <w:pPr>
        <w:rPr>
          <w:rFonts w:cs="Arial"/>
          <w:sz w:val="20"/>
        </w:rPr>
      </w:pPr>
      <w:r>
        <w:rPr>
          <w:rFonts w:cs="Arial"/>
          <w:sz w:val="20"/>
        </w:rPr>
        <w:t>Centre de formation en technologies de l’information</w:t>
      </w:r>
    </w:p>
    <w:p w14:paraId="1839D18D" w14:textId="77777777" w:rsidR="00E12712" w:rsidRPr="007F1B45" w:rsidRDefault="00E12712" w:rsidP="007F1B45"/>
    <w:p w14:paraId="7D28BF5F" w14:textId="77777777" w:rsidR="00E12712" w:rsidRDefault="00E127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7633"/>
      </w:tblGrid>
      <w:tr w:rsidR="00E12712" w14:paraId="439B05AE" w14:textId="77777777">
        <w:tc>
          <w:tcPr>
            <w:tcW w:w="1870" w:type="dxa"/>
          </w:tcPr>
          <w:p w14:paraId="1F42A5B6" w14:textId="77777777" w:rsidR="00E12712" w:rsidRDefault="00E12712">
            <w:r>
              <w:t>Cours :</w:t>
            </w:r>
          </w:p>
        </w:tc>
        <w:tc>
          <w:tcPr>
            <w:tcW w:w="7633" w:type="dxa"/>
          </w:tcPr>
          <w:p w14:paraId="5ADBF6E1" w14:textId="77777777" w:rsidR="00E12712" w:rsidRPr="009C7D59" w:rsidRDefault="00E12712">
            <w:r>
              <w:t xml:space="preserve">INF </w:t>
            </w:r>
            <w:r w:rsidR="009C7D59">
              <w:t>786</w:t>
            </w:r>
            <w:r>
              <w:t xml:space="preserve"> – </w:t>
            </w:r>
            <w:r w:rsidR="009C7D59" w:rsidRPr="009C7D59">
              <w:t>Gestion du changement dans un contexte TI</w:t>
            </w:r>
          </w:p>
        </w:tc>
      </w:tr>
      <w:tr w:rsidR="00E12712" w14:paraId="674BF54E" w14:textId="77777777">
        <w:tc>
          <w:tcPr>
            <w:tcW w:w="1870" w:type="dxa"/>
          </w:tcPr>
          <w:p w14:paraId="2D35CC4A" w14:textId="77777777" w:rsidR="00E12712" w:rsidRDefault="00E12712">
            <w:r>
              <w:t>Trimestre :</w:t>
            </w:r>
          </w:p>
        </w:tc>
        <w:tc>
          <w:tcPr>
            <w:tcW w:w="7633" w:type="dxa"/>
          </w:tcPr>
          <w:p w14:paraId="03EAF1D4" w14:textId="0EF8AEC9" w:rsidR="00E12712" w:rsidRDefault="002C71BB" w:rsidP="009E163B">
            <w:r>
              <w:t>Automne </w:t>
            </w:r>
            <w:r w:rsidR="00B715F2">
              <w:t>20</w:t>
            </w:r>
            <w:r w:rsidR="0025450A">
              <w:t>1</w:t>
            </w:r>
            <w:r w:rsidR="00CE14B7">
              <w:t>7</w:t>
            </w:r>
          </w:p>
        </w:tc>
      </w:tr>
      <w:tr w:rsidR="00E12712" w14:paraId="656A1B43" w14:textId="77777777">
        <w:tc>
          <w:tcPr>
            <w:tcW w:w="1870" w:type="dxa"/>
          </w:tcPr>
          <w:p w14:paraId="680EA061" w14:textId="77777777" w:rsidR="00E12712" w:rsidRDefault="00E12712">
            <w:r>
              <w:t>Enseignant</w:t>
            </w:r>
            <w:r w:rsidR="009C7D59">
              <w:t>s</w:t>
            </w:r>
            <w:r>
              <w:t> :</w:t>
            </w:r>
          </w:p>
        </w:tc>
        <w:tc>
          <w:tcPr>
            <w:tcW w:w="7633" w:type="dxa"/>
          </w:tcPr>
          <w:p w14:paraId="142B8A6C" w14:textId="277677A3" w:rsidR="00E12712" w:rsidRDefault="00452910" w:rsidP="00452910">
            <w:r>
              <w:t>Pierre-Martin Tardif</w:t>
            </w:r>
          </w:p>
        </w:tc>
      </w:tr>
    </w:tbl>
    <w:p w14:paraId="32A4C4DD" w14:textId="77777777" w:rsidR="00E12712" w:rsidRDefault="00E12712" w:rsidP="00481BEB">
      <w:pPr>
        <w:pStyle w:val="Titre1"/>
        <w:numPr>
          <w:ilvl w:val="0"/>
          <w:numId w:val="0"/>
        </w:numPr>
      </w:pPr>
    </w:p>
    <w:p w14:paraId="76211EDC" w14:textId="77777777" w:rsidR="00E12712" w:rsidRDefault="00E12712" w:rsidP="00481BEB">
      <w:pPr>
        <w:pStyle w:val="Titre1"/>
      </w:pPr>
      <w:r>
        <w:t>Mise en contexte</w:t>
      </w:r>
      <w:r w:rsidR="002D5400">
        <w:t xml:space="preserve"> </w:t>
      </w:r>
    </w:p>
    <w:p w14:paraId="6FA9D02F" w14:textId="77777777" w:rsidR="00E12712" w:rsidRDefault="00C8065E" w:rsidP="00481BEB">
      <w:pPr>
        <w:pStyle w:val="Texte"/>
      </w:pPr>
      <w:r>
        <w:t>Dans chaque organisation, i</w:t>
      </w:r>
      <w:r w:rsidR="00224440">
        <w:t>l exi</w:t>
      </w:r>
      <w:r>
        <w:t>ste une multitude de projets en technologies de l’information. Chaque projet amène son lot de changements, que ce soit au niveau des technologies utilisées, des processus, de l’information colligée ou des personnes qui doivent réaliser leur travail en utilisant un système d’information.</w:t>
      </w:r>
    </w:p>
    <w:p w14:paraId="60A49B6D" w14:textId="77777777" w:rsidR="00E12712" w:rsidRDefault="00E12712" w:rsidP="00481BEB">
      <w:pPr>
        <w:pStyle w:val="Titre1"/>
      </w:pPr>
      <w:r>
        <w:t>Place du cours dans le programme</w:t>
      </w:r>
    </w:p>
    <w:p w14:paraId="25EB8448" w14:textId="77777777" w:rsidR="00E12712" w:rsidRDefault="00224440" w:rsidP="00224440">
      <w:pPr>
        <w:pStyle w:val="Texte"/>
      </w:pPr>
      <w:r>
        <w:t xml:space="preserve">Ce cours n’exige aucun </w:t>
      </w:r>
      <w:r w:rsidR="009D170C">
        <w:t xml:space="preserve">cours </w:t>
      </w:r>
      <w:r>
        <w:t>préalable, ni concomitant.</w:t>
      </w:r>
    </w:p>
    <w:p w14:paraId="573E9645" w14:textId="77777777" w:rsidR="00E12712" w:rsidRDefault="00E12712" w:rsidP="00481BEB">
      <w:pPr>
        <w:pStyle w:val="Titre1"/>
      </w:pPr>
      <w:r>
        <w:t>Objectifs généraux</w:t>
      </w:r>
    </w:p>
    <w:p w14:paraId="1717C649" w14:textId="77777777" w:rsidR="00E12712" w:rsidRDefault="009C7D59" w:rsidP="00224440">
      <w:pPr>
        <w:pStyle w:val="Texte"/>
      </w:pPr>
      <w:r w:rsidRPr="009C7D59">
        <w:t>Connaître, comprendre et appliquer les meilleures pratiques en gestion du changement au niveau de</w:t>
      </w:r>
      <w:r w:rsidR="00224440">
        <w:t xml:space="preserve">s technologies de l'information. </w:t>
      </w:r>
      <w:r w:rsidR="00E12712">
        <w:t xml:space="preserve">Ce cours propose </w:t>
      </w:r>
      <w:r w:rsidR="00224440">
        <w:t xml:space="preserve">donc </w:t>
      </w:r>
      <w:r w:rsidR="00E12712">
        <w:t>de donner</w:t>
      </w:r>
      <w:r w:rsidR="00224440">
        <w:t xml:space="preserve"> à l’</w:t>
      </w:r>
      <w:r w:rsidR="002C71BB">
        <w:t xml:space="preserve">étudiante </w:t>
      </w:r>
      <w:r w:rsidR="00224440">
        <w:t xml:space="preserve">ou l’étudiant un coffre à outils lui permettant de comprendre les changements technologiques au niveau de leurs impacts </w:t>
      </w:r>
      <w:r w:rsidR="00224440" w:rsidRPr="00D37522">
        <w:rPr>
          <w:rStyle w:val="Titredulivre"/>
        </w:rPr>
        <w:t>organisationnels</w:t>
      </w:r>
      <w:r w:rsidR="00224440">
        <w:t xml:space="preserve"> et humains.</w:t>
      </w:r>
    </w:p>
    <w:p w14:paraId="061EA39B" w14:textId="77777777" w:rsidR="00E12712" w:rsidRDefault="00E12712" w:rsidP="00481BEB">
      <w:pPr>
        <w:pStyle w:val="Titre1"/>
      </w:pPr>
      <w:r>
        <w:t>Objectifs spécifiques</w:t>
      </w:r>
    </w:p>
    <w:p w14:paraId="607736EA" w14:textId="77777777" w:rsidR="00E12712" w:rsidRDefault="00E12712" w:rsidP="00481BEB">
      <w:pPr>
        <w:pStyle w:val="Texte"/>
      </w:pPr>
      <w:r>
        <w:t>À la fin de cette activité pédagogique, l’étudiante ou l’étudiant sera capable de :</w:t>
      </w:r>
    </w:p>
    <w:p w14:paraId="5882A565" w14:textId="205B2249" w:rsidR="00224440" w:rsidRDefault="0062064F" w:rsidP="003A0A43">
      <w:pPr>
        <w:pStyle w:val="Objectif"/>
      </w:pPr>
      <w:r>
        <w:t>OS1.</w:t>
      </w:r>
      <w:r>
        <w:tab/>
      </w:r>
      <w:r w:rsidR="00224440">
        <w:t xml:space="preserve">Comprendre le comportement d’un individu </w:t>
      </w:r>
      <w:r w:rsidR="002C71BB">
        <w:t>envers</w:t>
      </w:r>
      <w:r w:rsidR="00224440">
        <w:t xml:space="preserve"> l’incertitude</w:t>
      </w:r>
      <w:r>
        <w:t xml:space="preserve"> </w:t>
      </w:r>
      <w:r w:rsidR="002C71BB">
        <w:t>;</w:t>
      </w:r>
    </w:p>
    <w:p w14:paraId="270FED3C" w14:textId="44541FFC" w:rsidR="00224440" w:rsidRDefault="0062064F" w:rsidP="003A0A43">
      <w:pPr>
        <w:pStyle w:val="Objectif"/>
      </w:pPr>
      <w:r>
        <w:t>OS2.</w:t>
      </w:r>
      <w:r>
        <w:tab/>
      </w:r>
      <w:r w:rsidR="00224440">
        <w:t>De s’améliorer comme agent de changement</w:t>
      </w:r>
      <w:r>
        <w:t xml:space="preserve"> </w:t>
      </w:r>
      <w:r w:rsidR="002C71BB">
        <w:t>;</w:t>
      </w:r>
    </w:p>
    <w:p w14:paraId="290CCC99" w14:textId="61357E86" w:rsidR="00224440" w:rsidRDefault="0062064F" w:rsidP="003A0A43">
      <w:pPr>
        <w:pStyle w:val="Objectif"/>
      </w:pPr>
      <w:r>
        <w:t>OS3.</w:t>
      </w:r>
      <w:r>
        <w:tab/>
      </w:r>
      <w:r w:rsidR="00224440">
        <w:t>D’identifier et de catégoriser un changement technologique</w:t>
      </w:r>
      <w:r>
        <w:t xml:space="preserve"> </w:t>
      </w:r>
      <w:r w:rsidR="002C71BB">
        <w:t>;</w:t>
      </w:r>
    </w:p>
    <w:p w14:paraId="6B11CD17" w14:textId="790F20CE" w:rsidR="00E12712" w:rsidRDefault="0062064F" w:rsidP="003A0A43">
      <w:pPr>
        <w:pStyle w:val="Objectif"/>
      </w:pPr>
      <w:r>
        <w:t>OS4.</w:t>
      </w:r>
      <w:r>
        <w:tab/>
      </w:r>
      <w:r w:rsidR="00224440">
        <w:t>Réviser les processus en se basant sur leur performance, tout en tenant compte des aspects humains.</w:t>
      </w:r>
    </w:p>
    <w:p w14:paraId="24F5DE73" w14:textId="77777777" w:rsidR="00E12712" w:rsidRDefault="00E12712" w:rsidP="00481BEB">
      <w:pPr>
        <w:pStyle w:val="Titre1"/>
      </w:pPr>
      <w:r>
        <w:t>Planification hebdomadaire</w:t>
      </w:r>
    </w:p>
    <w:p w14:paraId="07639542" w14:textId="59B33D7D" w:rsidR="00840EEC" w:rsidRPr="00D45936" w:rsidRDefault="002C71BB" w:rsidP="003A0A43">
      <w:pPr>
        <w:pStyle w:val="Sance"/>
      </w:pPr>
      <w:r>
        <w:t>Séance </w:t>
      </w:r>
      <w:r w:rsidR="00840EEC" w:rsidRPr="008F5D6E">
        <w:t>1</w:t>
      </w:r>
      <w:r w:rsidR="005337A7">
        <w:t xml:space="preserve"> – Présentation du cours</w:t>
      </w:r>
      <w:r w:rsidR="009E163B">
        <w:t xml:space="preserve"> et </w:t>
      </w:r>
      <w:r w:rsidR="00D37522">
        <w:t xml:space="preserve">MODULE 1 </w:t>
      </w:r>
      <w:r w:rsidR="003A0A43">
        <w:t>préalables</w:t>
      </w:r>
      <w:r w:rsidR="000428D3">
        <w:t xml:space="preserve"> </w:t>
      </w:r>
      <w:r w:rsidR="000428D3" w:rsidRPr="00D45936">
        <w:t>(</w:t>
      </w:r>
      <w:r w:rsidR="00CE14B7">
        <w:t>30</w:t>
      </w:r>
      <w:r w:rsidR="009E163B">
        <w:t xml:space="preserve"> </w:t>
      </w:r>
      <w:r w:rsidR="003A0A43">
        <w:t>août</w:t>
      </w:r>
      <w:r w:rsidR="000428D3" w:rsidRPr="00D45936">
        <w:t>)</w:t>
      </w:r>
    </w:p>
    <w:p w14:paraId="1261B04A" w14:textId="743E09E6" w:rsidR="00043ADB" w:rsidRDefault="00043ADB" w:rsidP="008F5D6E">
      <w:pPr>
        <w:pStyle w:val="Enum"/>
      </w:pPr>
      <w:r>
        <w:t>Présentation d</w:t>
      </w:r>
      <w:r w:rsidR="009E163B">
        <w:t>u cours</w:t>
      </w:r>
    </w:p>
    <w:p w14:paraId="0B0EB438" w14:textId="49AFFD84" w:rsidR="003A0A43" w:rsidRDefault="003A0A43" w:rsidP="008F5D6E">
      <w:pPr>
        <w:pStyle w:val="Enum"/>
      </w:pPr>
      <w:r>
        <w:t>Définition</w:t>
      </w:r>
    </w:p>
    <w:p w14:paraId="7F9D96DA" w14:textId="72970D08" w:rsidR="003A0A43" w:rsidRDefault="003A0A43" w:rsidP="008F5D6E">
      <w:pPr>
        <w:pStyle w:val="Enum"/>
      </w:pPr>
      <w:r>
        <w:t>Autonomie vs réseau de soutien</w:t>
      </w:r>
    </w:p>
    <w:p w14:paraId="27DBF2EE" w14:textId="28166E03" w:rsidR="003A0A43" w:rsidRDefault="003A0A43" w:rsidP="008F5D6E">
      <w:pPr>
        <w:pStyle w:val="Enum"/>
      </w:pPr>
      <w:r>
        <w:t>Ampleur du changement</w:t>
      </w:r>
    </w:p>
    <w:p w14:paraId="7F873477" w14:textId="4365B5CB" w:rsidR="000459AA" w:rsidRDefault="000459AA" w:rsidP="008F5D6E">
      <w:pPr>
        <w:pStyle w:val="Enum"/>
      </w:pPr>
      <w:r>
        <w:t>Pyramide organisationnelle</w:t>
      </w:r>
    </w:p>
    <w:p w14:paraId="76FDDE45" w14:textId="05ABA19F" w:rsidR="000459AA" w:rsidRDefault="000459AA" w:rsidP="008F5D6E">
      <w:pPr>
        <w:pStyle w:val="Enum"/>
      </w:pPr>
      <w:r>
        <w:t>Véhicules structurels : ITIL, LEAN, Six sigma, réingénierie des processus, gestion de programme, gestion de projet, veille, escalade, plan de gestion de crise, startup</w:t>
      </w:r>
    </w:p>
    <w:p w14:paraId="24640BA8" w14:textId="269AC86F" w:rsidR="00A94EEE" w:rsidRDefault="00A94EEE" w:rsidP="00A94EEE">
      <w:pPr>
        <w:pStyle w:val="Enum"/>
      </w:pPr>
      <w:r>
        <w:t>World Café</w:t>
      </w:r>
    </w:p>
    <w:p w14:paraId="057F5AA0" w14:textId="729DB635" w:rsidR="003A0A43" w:rsidRDefault="000459AA" w:rsidP="008C54D8">
      <w:pPr>
        <w:pStyle w:val="Sance"/>
      </w:pPr>
      <w:r>
        <w:br w:type="page"/>
      </w:r>
      <w:r w:rsidR="003A0A43">
        <w:lastRenderedPageBreak/>
        <w:t>Séance </w:t>
      </w:r>
      <w:r w:rsidR="00D37522">
        <w:t>2</w:t>
      </w:r>
      <w:r w:rsidR="003A0A43">
        <w:t xml:space="preserve"> – </w:t>
      </w:r>
      <w:r w:rsidR="00D37522">
        <w:t>MODULE 2 L’analyse préliminaire</w:t>
      </w:r>
      <w:r w:rsidR="003A0A43">
        <w:t xml:space="preserve"> </w:t>
      </w:r>
      <w:r w:rsidR="003A0A43" w:rsidRPr="00D45936">
        <w:t>(</w:t>
      </w:r>
      <w:r w:rsidR="00CE14B7">
        <w:t>6 sept.</w:t>
      </w:r>
      <w:r w:rsidR="003A0A43" w:rsidRPr="00D45936">
        <w:t>)</w:t>
      </w:r>
    </w:p>
    <w:p w14:paraId="584CEDDE" w14:textId="30697D41" w:rsidR="00D45936" w:rsidRDefault="00D37522" w:rsidP="00D45936">
      <w:pPr>
        <w:pStyle w:val="Enum"/>
      </w:pPr>
      <w:r>
        <w:t>Identification du changement</w:t>
      </w:r>
    </w:p>
    <w:p w14:paraId="59F704A6" w14:textId="4FCEF21F" w:rsidR="00D37522" w:rsidRDefault="00D37522" w:rsidP="00D45936">
      <w:pPr>
        <w:pStyle w:val="Enum"/>
      </w:pPr>
      <w:r>
        <w:t>Identification des parties prenantes</w:t>
      </w:r>
    </w:p>
    <w:p w14:paraId="512B784F" w14:textId="46D9711C" w:rsidR="00D37522" w:rsidRDefault="00D37522" w:rsidP="00D45936">
      <w:pPr>
        <w:pStyle w:val="Enum"/>
      </w:pPr>
      <w:r>
        <w:t>Matrice influence / intérêt</w:t>
      </w:r>
    </w:p>
    <w:p w14:paraId="1ED5083B" w14:textId="0496EDC0" w:rsidR="00D37522" w:rsidRDefault="00D37522" w:rsidP="00D45936">
      <w:pPr>
        <w:pStyle w:val="Enum"/>
      </w:pPr>
      <w:r>
        <w:t>Registre des parties prenantes</w:t>
      </w:r>
    </w:p>
    <w:p w14:paraId="2D2B8B09" w14:textId="4303BE3B" w:rsidR="00D37522" w:rsidRDefault="00D37522" w:rsidP="00D45936">
      <w:pPr>
        <w:pStyle w:val="Enum"/>
      </w:pPr>
      <w:r>
        <w:t>Pertinence</w:t>
      </w:r>
    </w:p>
    <w:p w14:paraId="01A5C789" w14:textId="1AD82683" w:rsidR="004011BB" w:rsidRDefault="004011BB" w:rsidP="00D45936">
      <w:pPr>
        <w:pStyle w:val="Enum"/>
      </w:pPr>
      <w:r>
        <w:t>Évaluation rapide #1</w:t>
      </w:r>
    </w:p>
    <w:p w14:paraId="5CB831C0" w14:textId="0FCE50D6" w:rsidR="003A20B4" w:rsidRPr="00481BEB" w:rsidRDefault="003A20B4" w:rsidP="008C54D8">
      <w:pPr>
        <w:pStyle w:val="Sance"/>
      </w:pPr>
      <w:r>
        <w:t>Séance </w:t>
      </w:r>
      <w:r w:rsidR="009E163B">
        <w:t>3</w:t>
      </w:r>
      <w:r>
        <w:t xml:space="preserve"> – </w:t>
      </w:r>
      <w:r w:rsidR="007E3A00">
        <w:t xml:space="preserve">MODULE 3 L’analyse stratégique </w:t>
      </w:r>
      <w:r w:rsidRPr="00A45998">
        <w:t>(</w:t>
      </w:r>
      <w:r w:rsidR="00CE14B7">
        <w:t>13</w:t>
      </w:r>
      <w:r>
        <w:t xml:space="preserve"> sept.</w:t>
      </w:r>
      <w:r w:rsidRPr="00A45998">
        <w:t>)</w:t>
      </w:r>
    </w:p>
    <w:p w14:paraId="21598997" w14:textId="33D63304" w:rsidR="003A20B4" w:rsidRDefault="007E3A00" w:rsidP="003A20B4">
      <w:pPr>
        <w:pStyle w:val="Enum"/>
      </w:pPr>
      <w:r>
        <w:t>Analyse FFOM</w:t>
      </w:r>
    </w:p>
    <w:p w14:paraId="3F1D7971" w14:textId="24041025" w:rsidR="007E3A00" w:rsidRDefault="007E3A00" w:rsidP="007E3A00">
      <w:pPr>
        <w:pStyle w:val="Enum"/>
      </w:pPr>
      <w:r>
        <w:t>Catégories PESTEL</w:t>
      </w:r>
    </w:p>
    <w:p w14:paraId="36515E1F" w14:textId="51A67454" w:rsidR="00452910" w:rsidRDefault="00452910" w:rsidP="003A20B4">
      <w:pPr>
        <w:pStyle w:val="Enum"/>
      </w:pPr>
      <w:r>
        <w:t>Le contenu du changement</w:t>
      </w:r>
    </w:p>
    <w:p w14:paraId="79C98B6F" w14:textId="7255C273" w:rsidR="007E3A00" w:rsidRDefault="007E3A00" w:rsidP="003A20B4">
      <w:pPr>
        <w:pStyle w:val="Enum"/>
      </w:pPr>
      <w:r>
        <w:t>La réingénierie des processus</w:t>
      </w:r>
    </w:p>
    <w:p w14:paraId="048FFDE4" w14:textId="7A2FC00F" w:rsidR="0074649A" w:rsidRDefault="002C71BB" w:rsidP="008C54D8">
      <w:pPr>
        <w:pStyle w:val="Sance"/>
      </w:pPr>
      <w:r>
        <w:t>Séance</w:t>
      </w:r>
      <w:r w:rsidR="009E163B">
        <w:t>s</w:t>
      </w:r>
      <w:r>
        <w:t> </w:t>
      </w:r>
      <w:r w:rsidR="0053445F">
        <w:t>4</w:t>
      </w:r>
      <w:r w:rsidR="0074649A">
        <w:t xml:space="preserve"> – </w:t>
      </w:r>
      <w:r w:rsidR="007E3A00">
        <w:t xml:space="preserve">MODULE 4 Stratégies associées </w:t>
      </w:r>
      <w:r w:rsidR="0074649A" w:rsidRPr="00D45936">
        <w:t>(</w:t>
      </w:r>
      <w:r w:rsidR="00761090">
        <w:t>20</w:t>
      </w:r>
      <w:r w:rsidR="009E163B">
        <w:t xml:space="preserve"> </w:t>
      </w:r>
      <w:r w:rsidR="003A0A43">
        <w:t>sept</w:t>
      </w:r>
      <w:r w:rsidR="0074649A" w:rsidRPr="00D45936">
        <w:t>.)</w:t>
      </w:r>
    </w:p>
    <w:p w14:paraId="122107A1" w14:textId="57A21F06" w:rsidR="000459AA" w:rsidRDefault="000459AA" w:rsidP="000459AA">
      <w:pPr>
        <w:pStyle w:val="Enum"/>
      </w:pPr>
      <w:r>
        <w:t>Les profils organisationnels</w:t>
      </w:r>
    </w:p>
    <w:p w14:paraId="018D086B" w14:textId="4652F123" w:rsidR="000459AA" w:rsidRDefault="000459AA" w:rsidP="000459AA">
      <w:pPr>
        <w:pStyle w:val="Enum"/>
      </w:pPr>
      <w:r>
        <w:t>Les défis de gestion</w:t>
      </w:r>
    </w:p>
    <w:p w14:paraId="76F99584" w14:textId="0664FE57" w:rsidR="008C54D8" w:rsidRDefault="008C54D8" w:rsidP="000459AA">
      <w:pPr>
        <w:pStyle w:val="Enum"/>
      </w:pPr>
      <w:r>
        <w:t>Les tableaux de bord prospectifs</w:t>
      </w:r>
    </w:p>
    <w:p w14:paraId="6B7DF6F1" w14:textId="2AA0AA37" w:rsidR="001171F5" w:rsidRDefault="001171F5" w:rsidP="000459AA">
      <w:pPr>
        <w:pStyle w:val="Enum"/>
      </w:pPr>
      <w:r>
        <w:t>Évaluation discussion #1</w:t>
      </w:r>
    </w:p>
    <w:p w14:paraId="179C79D7" w14:textId="505BD7B6" w:rsidR="0074649A" w:rsidRDefault="002C71BB" w:rsidP="00481BEB">
      <w:pPr>
        <w:pStyle w:val="Sance"/>
      </w:pPr>
      <w:r>
        <w:t>Séance </w:t>
      </w:r>
      <w:r w:rsidR="0053445F">
        <w:t>5</w:t>
      </w:r>
      <w:r w:rsidR="0074649A">
        <w:t xml:space="preserve"> – </w:t>
      </w:r>
      <w:r w:rsidR="000459AA">
        <w:t>MODULE 5 Les enjeux humains (</w:t>
      </w:r>
      <w:r w:rsidR="00761090">
        <w:t>27</w:t>
      </w:r>
      <w:r w:rsidR="000459AA">
        <w:t xml:space="preserve"> sept.</w:t>
      </w:r>
      <w:r w:rsidR="0074649A" w:rsidRPr="00D45936">
        <w:t>)</w:t>
      </w:r>
    </w:p>
    <w:p w14:paraId="13D9D412" w14:textId="77777777" w:rsidR="008C54D8" w:rsidRDefault="008C54D8" w:rsidP="000459AA">
      <w:pPr>
        <w:pStyle w:val="Enum"/>
      </w:pPr>
      <w:r>
        <w:t>Le comportement organisationnel</w:t>
      </w:r>
    </w:p>
    <w:p w14:paraId="3FED4761" w14:textId="77777777" w:rsidR="0068459F" w:rsidRDefault="0068459F" w:rsidP="0068459F">
      <w:pPr>
        <w:pStyle w:val="Enum"/>
      </w:pPr>
      <w:r>
        <w:t>La psychologie du groupe</w:t>
      </w:r>
    </w:p>
    <w:p w14:paraId="19260EA8" w14:textId="1E8DAA61" w:rsidR="000459AA" w:rsidRDefault="000459AA" w:rsidP="000459AA">
      <w:pPr>
        <w:pStyle w:val="Enum"/>
      </w:pPr>
      <w:r>
        <w:t>La psychologie de l’individu</w:t>
      </w:r>
    </w:p>
    <w:p w14:paraId="3BCE2082" w14:textId="55F2D9CE" w:rsidR="0068459F" w:rsidRDefault="0068459F" w:rsidP="000459AA">
      <w:pPr>
        <w:pStyle w:val="Enum"/>
      </w:pPr>
      <w:r>
        <w:t>Modèles de motivation</w:t>
      </w:r>
    </w:p>
    <w:p w14:paraId="609AA43A" w14:textId="5253ED73" w:rsidR="004011BB" w:rsidRDefault="004011BB" w:rsidP="004011BB">
      <w:pPr>
        <w:pStyle w:val="Enum"/>
      </w:pPr>
      <w:r>
        <w:t>Évaluation rapide #2</w:t>
      </w:r>
    </w:p>
    <w:p w14:paraId="2AB0C845" w14:textId="3AF23C12" w:rsidR="008C54D8" w:rsidRDefault="002C71BB" w:rsidP="00481BEB">
      <w:pPr>
        <w:pStyle w:val="Sance"/>
      </w:pPr>
      <w:r>
        <w:t>Séance </w:t>
      </w:r>
      <w:r w:rsidR="009E163B">
        <w:t>6</w:t>
      </w:r>
      <w:r w:rsidR="00C27C63">
        <w:t xml:space="preserve"> – </w:t>
      </w:r>
      <w:r w:rsidR="008C54D8">
        <w:t>MODULE 6 Les leviers et obstacles (</w:t>
      </w:r>
      <w:r w:rsidR="00761090">
        <w:t>4 oct</w:t>
      </w:r>
      <w:r w:rsidR="008C54D8">
        <w:t>.)</w:t>
      </w:r>
    </w:p>
    <w:p w14:paraId="1E5E3860" w14:textId="77777777" w:rsidR="008C54D8" w:rsidRPr="00D45936" w:rsidRDefault="008C54D8" w:rsidP="008C54D8">
      <w:pPr>
        <w:pStyle w:val="Enum"/>
      </w:pPr>
      <w:r>
        <w:t>L’approche de Kurt Lewin</w:t>
      </w:r>
    </w:p>
    <w:p w14:paraId="2299BB4E" w14:textId="1E7DAE5D" w:rsidR="008C54D8" w:rsidRDefault="008C54D8" w:rsidP="008C54D8">
      <w:pPr>
        <w:pStyle w:val="Enum"/>
      </w:pPr>
      <w:r>
        <w:t>Identification des leviers et obstacles</w:t>
      </w:r>
    </w:p>
    <w:p w14:paraId="5696FAAE" w14:textId="2F9140E3" w:rsidR="0068459F" w:rsidRDefault="0068459F" w:rsidP="008C54D8">
      <w:pPr>
        <w:pStyle w:val="Enum"/>
      </w:pPr>
      <w:r>
        <w:t>Sentiment d’urgence</w:t>
      </w:r>
    </w:p>
    <w:p w14:paraId="727313D0" w14:textId="3185FA90" w:rsidR="004011BB" w:rsidRDefault="004011BB" w:rsidP="004011BB">
      <w:pPr>
        <w:pStyle w:val="Enum"/>
      </w:pPr>
      <w:r>
        <w:t>Évaluation rapide #3</w:t>
      </w:r>
    </w:p>
    <w:p w14:paraId="1B1806E7" w14:textId="53911EC4" w:rsidR="0068459F" w:rsidRDefault="0068459F" w:rsidP="0068459F">
      <w:pPr>
        <w:pStyle w:val="Sance"/>
      </w:pPr>
      <w:r>
        <w:t>Séance 7 – MODULE 7 La prévention (</w:t>
      </w:r>
      <w:r w:rsidR="00761090">
        <w:t xml:space="preserve">11 </w:t>
      </w:r>
      <w:r>
        <w:t>oct.)</w:t>
      </w:r>
    </w:p>
    <w:p w14:paraId="2067F35B" w14:textId="191E24B3" w:rsidR="0068459F" w:rsidRPr="00D45936" w:rsidRDefault="0068459F" w:rsidP="0068459F">
      <w:pPr>
        <w:pStyle w:val="Enum"/>
      </w:pPr>
      <w:r>
        <w:t>L’inertie et la résistance</w:t>
      </w:r>
    </w:p>
    <w:p w14:paraId="0082B600" w14:textId="0CE3DF60" w:rsidR="0068459F" w:rsidRDefault="0068459F" w:rsidP="0068459F">
      <w:pPr>
        <w:pStyle w:val="Enum"/>
      </w:pPr>
      <w:r>
        <w:t>Les facteurs de résistance</w:t>
      </w:r>
    </w:p>
    <w:p w14:paraId="1932FB00" w14:textId="62EE0C44" w:rsidR="004D1D81" w:rsidRDefault="004D1D81" w:rsidP="004D1D81">
      <w:pPr>
        <w:pStyle w:val="Enum"/>
      </w:pPr>
      <w:r>
        <w:t>Carte de l’engagement</w:t>
      </w:r>
    </w:p>
    <w:p w14:paraId="113FD262" w14:textId="4FC981EA" w:rsidR="004D1D81" w:rsidRDefault="004D1D81" w:rsidP="004D1D81">
      <w:pPr>
        <w:pStyle w:val="Sance"/>
      </w:pPr>
      <w:r>
        <w:t>Séance 8 – MODULE 8 Les acteurs et MODULE 9 Approche (1</w:t>
      </w:r>
      <w:r w:rsidR="00761090">
        <w:t>8</w:t>
      </w:r>
      <w:r>
        <w:t xml:space="preserve"> oct.)</w:t>
      </w:r>
    </w:p>
    <w:p w14:paraId="5876B792" w14:textId="214AD795" w:rsidR="004D1D81" w:rsidRDefault="004D1D81" w:rsidP="004D1D81">
      <w:pPr>
        <w:pStyle w:val="Enum"/>
      </w:pPr>
      <w:r>
        <w:t>Choix des personnes à influencer</w:t>
      </w:r>
    </w:p>
    <w:p w14:paraId="4F3D23CE" w14:textId="6766456B" w:rsidR="004D1D81" w:rsidRDefault="004D1D81" w:rsidP="004D1D81">
      <w:pPr>
        <w:pStyle w:val="Enum"/>
      </w:pPr>
      <w:r>
        <w:t>Leadership</w:t>
      </w:r>
    </w:p>
    <w:p w14:paraId="598201CC" w14:textId="3BA732E2" w:rsidR="004D1D81" w:rsidRDefault="004D1D81" w:rsidP="004D1D81">
      <w:pPr>
        <w:pStyle w:val="Enum"/>
      </w:pPr>
      <w:r>
        <w:t>Approche de gestion</w:t>
      </w:r>
    </w:p>
    <w:p w14:paraId="1857E28B" w14:textId="6DACFDB2" w:rsidR="009D1BDF" w:rsidRDefault="009D1BDF" w:rsidP="004D1D81">
      <w:pPr>
        <w:pStyle w:val="Enum"/>
      </w:pPr>
      <w:r>
        <w:t>Autonomisation, coordination, imposition</w:t>
      </w:r>
    </w:p>
    <w:p w14:paraId="699826F8" w14:textId="265D0136" w:rsidR="004D1D81" w:rsidRDefault="004D1D81" w:rsidP="004D1D81">
      <w:pPr>
        <w:pStyle w:val="Enum"/>
      </w:pPr>
      <w:r>
        <w:t>Rythme</w:t>
      </w:r>
    </w:p>
    <w:p w14:paraId="59042FCF" w14:textId="26A10F0B" w:rsidR="00A94EEE" w:rsidRDefault="00A94EEE" w:rsidP="004D1D81">
      <w:pPr>
        <w:pStyle w:val="Enum"/>
      </w:pPr>
      <w:r>
        <w:t>Dialogue</w:t>
      </w:r>
    </w:p>
    <w:p w14:paraId="0BCAD76A" w14:textId="706C0C85" w:rsidR="004011BB" w:rsidRPr="00D45936" w:rsidRDefault="004011BB" w:rsidP="004011BB">
      <w:pPr>
        <w:pStyle w:val="Enum"/>
      </w:pPr>
      <w:r>
        <w:t>Évaluation rapide #4</w:t>
      </w:r>
    </w:p>
    <w:p w14:paraId="09CBBBE2" w14:textId="4E6765D8" w:rsidR="004D1D81" w:rsidRDefault="004D1D81" w:rsidP="004D1D81">
      <w:pPr>
        <w:pStyle w:val="Sance"/>
      </w:pPr>
      <w:r>
        <w:t>Séance 9 – MODULE 10 Le plan d’action (</w:t>
      </w:r>
      <w:r w:rsidR="00761090">
        <w:t>25</w:t>
      </w:r>
      <w:r>
        <w:t xml:space="preserve"> oct.)</w:t>
      </w:r>
    </w:p>
    <w:p w14:paraId="67F383DF" w14:textId="3F1A7E97" w:rsidR="004D1D81" w:rsidRDefault="004D1D81" w:rsidP="004D1D81">
      <w:pPr>
        <w:pStyle w:val="Enum"/>
      </w:pPr>
      <w:r>
        <w:t>Programme vs Projet</w:t>
      </w:r>
      <w:r w:rsidR="001B4B84">
        <w:t xml:space="preserve"> vs Réingénierie des processus</w:t>
      </w:r>
    </w:p>
    <w:p w14:paraId="4F990B92" w14:textId="43447219" w:rsidR="004D1D81" w:rsidRDefault="004D1D81" w:rsidP="004D1D81">
      <w:pPr>
        <w:pStyle w:val="Enum"/>
      </w:pPr>
      <w:r>
        <w:t>Plan de communication</w:t>
      </w:r>
    </w:p>
    <w:p w14:paraId="33D9FD4D" w14:textId="073433CE" w:rsidR="004D1D81" w:rsidRDefault="004D1D81" w:rsidP="004D1D81">
      <w:pPr>
        <w:pStyle w:val="Enum"/>
      </w:pPr>
      <w:r>
        <w:t>Informer</w:t>
      </w:r>
    </w:p>
    <w:p w14:paraId="78B41C61" w14:textId="4D2653B1" w:rsidR="004D1D81" w:rsidRDefault="004D1D81" w:rsidP="004D1D81">
      <w:pPr>
        <w:pStyle w:val="Enum"/>
      </w:pPr>
      <w:r>
        <w:t>Former</w:t>
      </w:r>
    </w:p>
    <w:p w14:paraId="0416F9C0" w14:textId="3DF589FF" w:rsidR="004D1D81" w:rsidRDefault="004D1D81" w:rsidP="004D1D81">
      <w:pPr>
        <w:pStyle w:val="Enum"/>
      </w:pPr>
      <w:r>
        <w:lastRenderedPageBreak/>
        <w:t>Impliquer</w:t>
      </w:r>
    </w:p>
    <w:p w14:paraId="0FBBC691" w14:textId="36E12DB0" w:rsidR="001171F5" w:rsidRDefault="001171F5" w:rsidP="004D1D81">
      <w:pPr>
        <w:pStyle w:val="Enum"/>
      </w:pPr>
      <w:r>
        <w:t>Évaluation discussion #2</w:t>
      </w:r>
    </w:p>
    <w:p w14:paraId="7248D45C" w14:textId="603026C3" w:rsidR="009D1BDF" w:rsidRDefault="009D1BDF" w:rsidP="009D1BDF">
      <w:pPr>
        <w:pStyle w:val="Sance"/>
      </w:pPr>
      <w:r>
        <w:t>Séance 10 – MODULE 11 Transition (</w:t>
      </w:r>
      <w:r w:rsidR="00761090">
        <w:t>1</w:t>
      </w:r>
      <w:r w:rsidR="00761090" w:rsidRPr="00761090">
        <w:rPr>
          <w:vertAlign w:val="superscript"/>
        </w:rPr>
        <w:t>er</w:t>
      </w:r>
      <w:r w:rsidR="00761090">
        <w:t xml:space="preserve"> nov</w:t>
      </w:r>
      <w:r>
        <w:t>.)</w:t>
      </w:r>
    </w:p>
    <w:p w14:paraId="6F07BBB7" w14:textId="383C9530" w:rsidR="009D1BDF" w:rsidRDefault="00FF4D7E" w:rsidP="009D1BDF">
      <w:pPr>
        <w:pStyle w:val="Enum"/>
      </w:pPr>
      <w:r>
        <w:t>Réactions</w:t>
      </w:r>
    </w:p>
    <w:p w14:paraId="07343619" w14:textId="08D6024D" w:rsidR="00FF4D7E" w:rsidRDefault="00FF4D7E" w:rsidP="009D1BDF">
      <w:pPr>
        <w:pStyle w:val="Enum"/>
      </w:pPr>
      <w:r>
        <w:t>Structures de suivi</w:t>
      </w:r>
    </w:p>
    <w:p w14:paraId="16B943B5" w14:textId="4B90F032" w:rsidR="009D1BDF" w:rsidRDefault="00FF4D7E" w:rsidP="009D1BDF">
      <w:pPr>
        <w:pStyle w:val="Enum"/>
      </w:pPr>
      <w:r>
        <w:t>Approche centrée sur le destinataire</w:t>
      </w:r>
    </w:p>
    <w:p w14:paraId="125B9B6A" w14:textId="380F9A16" w:rsidR="009D75F5" w:rsidRDefault="009D75F5" w:rsidP="009D1BDF">
      <w:pPr>
        <w:pStyle w:val="Enum"/>
      </w:pPr>
      <w:r>
        <w:t>Vision ITIL et PMBOK</w:t>
      </w:r>
    </w:p>
    <w:p w14:paraId="4996FE81" w14:textId="6AA64F01" w:rsidR="004011BB" w:rsidRDefault="004011BB" w:rsidP="004011BB">
      <w:pPr>
        <w:pStyle w:val="Enum"/>
      </w:pPr>
      <w:r>
        <w:t>Évaluation rapide #5</w:t>
      </w:r>
    </w:p>
    <w:p w14:paraId="4887FA3D" w14:textId="0D619A92" w:rsidR="00FF4D7E" w:rsidRDefault="00FF4D7E" w:rsidP="00FF4D7E">
      <w:pPr>
        <w:pStyle w:val="Sance"/>
      </w:pPr>
      <w:r>
        <w:t>Séa</w:t>
      </w:r>
      <w:r w:rsidR="00761090">
        <w:t>nce 11 – MODULE 12 Monitorage (8</w:t>
      </w:r>
      <w:r>
        <w:t xml:space="preserve"> nov.)</w:t>
      </w:r>
    </w:p>
    <w:p w14:paraId="174DE5E1" w14:textId="08974205" w:rsidR="00FF4D7E" w:rsidRDefault="00FF4D7E" w:rsidP="00FF4D7E">
      <w:pPr>
        <w:pStyle w:val="Enum"/>
      </w:pPr>
      <w:r>
        <w:t>Dimension</w:t>
      </w:r>
    </w:p>
    <w:p w14:paraId="2397D6F8" w14:textId="57F619F0" w:rsidR="00FF4D7E" w:rsidRDefault="00FF4D7E" w:rsidP="00FF4D7E">
      <w:pPr>
        <w:pStyle w:val="Enum"/>
      </w:pPr>
      <w:r>
        <w:t>Indicateurs</w:t>
      </w:r>
    </w:p>
    <w:p w14:paraId="512DF2DC" w14:textId="74E8284E" w:rsidR="00FF4D7E" w:rsidRDefault="00FF4D7E" w:rsidP="00FF4D7E">
      <w:pPr>
        <w:pStyle w:val="Enum"/>
      </w:pPr>
      <w:r>
        <w:t>Types d’opposition</w:t>
      </w:r>
    </w:p>
    <w:p w14:paraId="19B2A6E7" w14:textId="21118EBC" w:rsidR="00FF4D7E" w:rsidRPr="00481BEB" w:rsidRDefault="00FF4D7E" w:rsidP="00FF4D7E">
      <w:pPr>
        <w:pStyle w:val="Sance"/>
      </w:pPr>
      <w:r>
        <w:t>Séance 12 – MODULE 13 La communication</w:t>
      </w:r>
      <w:r w:rsidR="00A94EEE">
        <w:t xml:space="preserve"> et MODULE 14 Crise</w:t>
      </w:r>
      <w:r w:rsidRPr="00A45998">
        <w:t xml:space="preserve"> (</w:t>
      </w:r>
      <w:r w:rsidR="00761090">
        <w:t>15</w:t>
      </w:r>
      <w:r>
        <w:t xml:space="preserve"> nov.</w:t>
      </w:r>
      <w:r w:rsidRPr="00A45998">
        <w:t>)</w:t>
      </w:r>
    </w:p>
    <w:p w14:paraId="75B99B58" w14:textId="35FF994B" w:rsidR="00FF4D7E" w:rsidRDefault="00FF4D7E" w:rsidP="00FF4D7E">
      <w:pPr>
        <w:pStyle w:val="Enum"/>
      </w:pPr>
      <w:r>
        <w:t>Modèle</w:t>
      </w:r>
    </w:p>
    <w:p w14:paraId="29A89F46" w14:textId="5EA30ABC" w:rsidR="00FF4D7E" w:rsidRDefault="00FF4D7E" w:rsidP="00FF4D7E">
      <w:pPr>
        <w:pStyle w:val="Enum"/>
      </w:pPr>
      <w:r>
        <w:t>Messages clés</w:t>
      </w:r>
    </w:p>
    <w:p w14:paraId="4D5F0DAC" w14:textId="239647BB" w:rsidR="00FF4D7E" w:rsidRDefault="00FF4D7E" w:rsidP="00FF4D7E">
      <w:pPr>
        <w:pStyle w:val="Enum"/>
      </w:pPr>
      <w:r>
        <w:t>Moyens</w:t>
      </w:r>
    </w:p>
    <w:p w14:paraId="574A9651" w14:textId="2EDED471" w:rsidR="00FF4D7E" w:rsidRDefault="00FF4D7E" w:rsidP="00FF4D7E">
      <w:pPr>
        <w:pStyle w:val="Enum"/>
      </w:pPr>
      <w:r>
        <w:t>Suivi</w:t>
      </w:r>
    </w:p>
    <w:p w14:paraId="3588C9BE" w14:textId="7E1DA945" w:rsidR="00A94EEE" w:rsidRDefault="00A94EEE" w:rsidP="00FF4D7E">
      <w:pPr>
        <w:pStyle w:val="Enum"/>
      </w:pPr>
      <w:r>
        <w:t>Urgence vs crise</w:t>
      </w:r>
    </w:p>
    <w:p w14:paraId="52F3C39C" w14:textId="507E16FC" w:rsidR="004011BB" w:rsidRDefault="004011BB" w:rsidP="004011BB">
      <w:pPr>
        <w:pStyle w:val="Enum"/>
      </w:pPr>
      <w:r>
        <w:t>Évaluation rapide #6</w:t>
      </w:r>
    </w:p>
    <w:p w14:paraId="3F177000" w14:textId="0CF78412" w:rsidR="00FF4D7E" w:rsidRPr="00481BEB" w:rsidRDefault="00FF4D7E" w:rsidP="00FF4D7E">
      <w:pPr>
        <w:pStyle w:val="Sance"/>
      </w:pPr>
      <w:r>
        <w:t>Séance 13 – MODULE 15 Évaluation</w:t>
      </w:r>
      <w:r w:rsidRPr="00A45998">
        <w:t xml:space="preserve"> (</w:t>
      </w:r>
      <w:r w:rsidR="00761090">
        <w:t>22</w:t>
      </w:r>
      <w:r>
        <w:t xml:space="preserve"> nov.</w:t>
      </w:r>
      <w:r w:rsidRPr="00A45998">
        <w:t>)</w:t>
      </w:r>
    </w:p>
    <w:p w14:paraId="3D478486" w14:textId="61FE4A56" w:rsidR="00FF4D7E" w:rsidRDefault="00FF4D7E" w:rsidP="00FF4D7E">
      <w:pPr>
        <w:pStyle w:val="Enum"/>
      </w:pPr>
      <w:r>
        <w:t>Évaluation</w:t>
      </w:r>
    </w:p>
    <w:p w14:paraId="7376A90B" w14:textId="343D35B1" w:rsidR="00FF4D7E" w:rsidRDefault="00A94EEE" w:rsidP="00FF4D7E">
      <w:pPr>
        <w:pStyle w:val="Enum"/>
      </w:pPr>
      <w:r>
        <w:t>Apprentissage</w:t>
      </w:r>
    </w:p>
    <w:p w14:paraId="2B41A736" w14:textId="28F4E2C2" w:rsidR="001171F5" w:rsidRDefault="001171F5" w:rsidP="00FF4D7E">
      <w:pPr>
        <w:pStyle w:val="Enum"/>
      </w:pPr>
      <w:r>
        <w:t>Révision de la matière</w:t>
      </w:r>
    </w:p>
    <w:p w14:paraId="295417F2" w14:textId="45A2CD73" w:rsidR="00A94EEE" w:rsidRPr="00481BEB" w:rsidRDefault="00A94EEE" w:rsidP="00A94EEE">
      <w:pPr>
        <w:pStyle w:val="Sance"/>
      </w:pPr>
      <w:r>
        <w:t>Séance 14 – Présentations en classe</w:t>
      </w:r>
      <w:r w:rsidRPr="00A45998">
        <w:t xml:space="preserve"> (</w:t>
      </w:r>
      <w:r w:rsidR="00761090">
        <w:t>29</w:t>
      </w:r>
      <w:r>
        <w:t xml:space="preserve"> nov.</w:t>
      </w:r>
      <w:r w:rsidRPr="00A45998">
        <w:t>)</w:t>
      </w:r>
    </w:p>
    <w:p w14:paraId="5A07D136" w14:textId="02C182EF" w:rsidR="004D1D81" w:rsidRDefault="001171F5" w:rsidP="00A94EEE">
      <w:pPr>
        <w:pStyle w:val="Enum"/>
      </w:pPr>
      <w:r>
        <w:t>7 équipes de 2 personnes x 20 minutes = 140 minutes</w:t>
      </w:r>
    </w:p>
    <w:p w14:paraId="13253206" w14:textId="58908E7E" w:rsidR="00161321" w:rsidRPr="000428D3" w:rsidRDefault="002C71BB" w:rsidP="00481BEB">
      <w:pPr>
        <w:pStyle w:val="Sance"/>
      </w:pPr>
      <w:r>
        <w:t>Séance </w:t>
      </w:r>
      <w:r w:rsidR="00161321">
        <w:t>1</w:t>
      </w:r>
      <w:r w:rsidR="00A94EEE">
        <w:t>5</w:t>
      </w:r>
      <w:r w:rsidR="000428D3">
        <w:t xml:space="preserve"> </w:t>
      </w:r>
      <w:r w:rsidR="00A94EEE">
        <w:t>–</w:t>
      </w:r>
      <w:r w:rsidR="00D97083">
        <w:t xml:space="preserve"> </w:t>
      </w:r>
      <w:r w:rsidR="00A94EEE">
        <w:t>Examen final (</w:t>
      </w:r>
      <w:r w:rsidR="00761090">
        <w:t>6</w:t>
      </w:r>
      <w:r w:rsidR="00A94EEE">
        <w:t xml:space="preserve"> </w:t>
      </w:r>
      <w:r w:rsidR="00761090">
        <w:t>déc</w:t>
      </w:r>
      <w:r w:rsidR="00A94EEE">
        <w:t>.</w:t>
      </w:r>
      <w:r w:rsidR="000428D3" w:rsidRPr="005A6D4D">
        <w:t>)</w:t>
      </w:r>
    </w:p>
    <w:p w14:paraId="14FCB8B8" w14:textId="7C49C6E0" w:rsidR="00E12712" w:rsidRDefault="00A94EEE" w:rsidP="001C55EE">
      <w:pPr>
        <w:pStyle w:val="Enum"/>
      </w:pPr>
      <w:r>
        <w:t>Livres ouverts</w:t>
      </w:r>
    </w:p>
    <w:p w14:paraId="355F89EB" w14:textId="12AF2273" w:rsidR="00A94EEE" w:rsidRDefault="00A94EEE" w:rsidP="001C55EE">
      <w:pPr>
        <w:pStyle w:val="Enum"/>
      </w:pPr>
      <w:r>
        <w:t>À faire chez-soi sur Moodle</w:t>
      </w:r>
    </w:p>
    <w:p w14:paraId="63C9437B" w14:textId="282E8669" w:rsidR="00A94EEE" w:rsidRDefault="00A94EEE" w:rsidP="001C55EE">
      <w:pPr>
        <w:pStyle w:val="Enum"/>
      </w:pPr>
      <w:r>
        <w:t>Basé sur une étude de cas</w:t>
      </w:r>
    </w:p>
    <w:p w14:paraId="3E472896" w14:textId="77777777" w:rsidR="00E12712" w:rsidRDefault="00E12712" w:rsidP="00481BEB">
      <w:pPr>
        <w:pStyle w:val="Titre1"/>
      </w:pPr>
      <w:r>
        <w:t>Approche pédagogique préconisée</w:t>
      </w:r>
    </w:p>
    <w:p w14:paraId="4AECCFBE" w14:textId="12051D74" w:rsidR="00AF51EC" w:rsidRDefault="00AF51EC" w:rsidP="00AF51EC">
      <w:pPr>
        <w:pStyle w:val="Enum"/>
        <w:tabs>
          <w:tab w:val="clear" w:pos="1429"/>
          <w:tab w:val="num" w:pos="1069"/>
        </w:tabs>
        <w:ind w:left="1069"/>
      </w:pPr>
      <w:r w:rsidRPr="000B29FF">
        <w:t>Expos</w:t>
      </w:r>
      <w:r>
        <w:t>és magistraux</w:t>
      </w:r>
    </w:p>
    <w:p w14:paraId="0C7BC676" w14:textId="77777777" w:rsidR="009D75F5" w:rsidRDefault="009D75F5" w:rsidP="009D75F5">
      <w:pPr>
        <w:pStyle w:val="Enum"/>
        <w:tabs>
          <w:tab w:val="clear" w:pos="1429"/>
          <w:tab w:val="num" w:pos="1069"/>
        </w:tabs>
        <w:ind w:left="1069"/>
      </w:pPr>
      <w:r>
        <w:t>Discussions</w:t>
      </w:r>
    </w:p>
    <w:p w14:paraId="6947AEF3" w14:textId="59A825FF" w:rsidR="00323AC4" w:rsidRDefault="00323AC4" w:rsidP="00AF51EC">
      <w:pPr>
        <w:pStyle w:val="Enum"/>
        <w:tabs>
          <w:tab w:val="clear" w:pos="1429"/>
          <w:tab w:val="num" w:pos="1069"/>
        </w:tabs>
        <w:ind w:left="1069"/>
      </w:pPr>
      <w:r>
        <w:t>Exercices en classe</w:t>
      </w:r>
    </w:p>
    <w:p w14:paraId="79EA9046" w14:textId="77777777" w:rsidR="00B61F98" w:rsidRDefault="00B61F98" w:rsidP="00AF51EC">
      <w:pPr>
        <w:pStyle w:val="Enum"/>
        <w:tabs>
          <w:tab w:val="clear" w:pos="1429"/>
          <w:tab w:val="num" w:pos="1069"/>
        </w:tabs>
        <w:ind w:left="1069"/>
      </w:pPr>
      <w:r>
        <w:t>Ateliers de travail</w:t>
      </w:r>
    </w:p>
    <w:p w14:paraId="0454DE2D" w14:textId="47F59C6D" w:rsidR="009D75F5" w:rsidRDefault="001F407D" w:rsidP="00193598">
      <w:pPr>
        <w:pStyle w:val="Enum"/>
        <w:tabs>
          <w:tab w:val="clear" w:pos="1429"/>
          <w:tab w:val="num" w:pos="1069"/>
        </w:tabs>
        <w:ind w:left="1069"/>
      </w:pPr>
      <w:r w:rsidRPr="001F407D">
        <w:t>P</w:t>
      </w:r>
      <w:r w:rsidR="009D75F5">
        <w:t>résentations</w:t>
      </w:r>
    </w:p>
    <w:p w14:paraId="347EEA33" w14:textId="3E341F85" w:rsidR="001171F5" w:rsidRDefault="001171F5" w:rsidP="00193598">
      <w:pPr>
        <w:pStyle w:val="Enum"/>
        <w:tabs>
          <w:tab w:val="clear" w:pos="1429"/>
          <w:tab w:val="num" w:pos="1069"/>
        </w:tabs>
        <w:ind w:left="1069"/>
      </w:pPr>
      <w:r>
        <w:t>Sondages</w:t>
      </w:r>
    </w:p>
    <w:p w14:paraId="529B795C" w14:textId="633BB328" w:rsidR="009D75F5" w:rsidRPr="003A13AD" w:rsidRDefault="009D75F5" w:rsidP="009D75F5">
      <w:pPr>
        <w:pStyle w:val="Sance"/>
      </w:pPr>
      <w:r w:rsidRPr="003A13AD">
        <w:t>Présence active en classe</w:t>
      </w:r>
    </w:p>
    <w:p w14:paraId="25F6604C" w14:textId="116D8256" w:rsidR="009D75F5" w:rsidRPr="000B29FF" w:rsidRDefault="009D75F5" w:rsidP="009D75F5">
      <w:pPr>
        <w:pStyle w:val="Texte"/>
      </w:pPr>
      <w:r w:rsidRPr="003A13AD">
        <w:t>La présence active des étudiants permet les échanges, le partage d’expérience, la résolution de problèmes concrets, de même que la précision et l’intégration d’éléments d’ap</w:t>
      </w:r>
      <w:r>
        <w:t xml:space="preserve">prentissage. L’expert en gestion du changement </w:t>
      </w:r>
      <w:r w:rsidRPr="003A13AD">
        <w:t>passe plus de 80% du temps à communiquer. Il est donc primordial que chaque étudiant développe cette habileté en classe.</w:t>
      </w:r>
    </w:p>
    <w:p w14:paraId="6E62DD4D" w14:textId="38D4164A" w:rsidR="00E12712" w:rsidRDefault="00E12712" w:rsidP="003A0A43">
      <w:pPr>
        <w:pStyle w:val="Titre1"/>
        <w:numPr>
          <w:ilvl w:val="0"/>
          <w:numId w:val="0"/>
        </w:numPr>
      </w:pPr>
      <w:r>
        <w:t>Évaluation de l’apprentissage</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77"/>
        <w:gridCol w:w="2114"/>
        <w:gridCol w:w="1930"/>
        <w:gridCol w:w="2373"/>
      </w:tblGrid>
      <w:tr w:rsidR="00AF51EC" w:rsidRPr="000B29FF" w14:paraId="1DB0C42A" w14:textId="77777777">
        <w:tc>
          <w:tcPr>
            <w:tcW w:w="2377" w:type="dxa"/>
          </w:tcPr>
          <w:p w14:paraId="61D0D2E0" w14:textId="77777777" w:rsidR="00AF51EC" w:rsidRPr="000B29FF" w:rsidRDefault="00AF51EC" w:rsidP="00E12712">
            <w:pPr>
              <w:jc w:val="center"/>
              <w:rPr>
                <w:b/>
                <w:bCs/>
              </w:rPr>
            </w:pPr>
            <w:r w:rsidRPr="000B29FF">
              <w:rPr>
                <w:b/>
                <w:bCs/>
              </w:rPr>
              <w:t>Description sommaire</w:t>
            </w:r>
          </w:p>
        </w:tc>
        <w:tc>
          <w:tcPr>
            <w:tcW w:w="2114" w:type="dxa"/>
          </w:tcPr>
          <w:p w14:paraId="2336B79D" w14:textId="77777777" w:rsidR="00AF51EC" w:rsidRPr="000B29FF" w:rsidRDefault="00AF51EC" w:rsidP="00E12712">
            <w:pPr>
              <w:jc w:val="center"/>
              <w:rPr>
                <w:b/>
                <w:bCs/>
              </w:rPr>
            </w:pPr>
            <w:r w:rsidRPr="000B29FF">
              <w:rPr>
                <w:b/>
                <w:bCs/>
              </w:rPr>
              <w:t>Pondération</w:t>
            </w:r>
          </w:p>
        </w:tc>
        <w:tc>
          <w:tcPr>
            <w:tcW w:w="1930" w:type="dxa"/>
          </w:tcPr>
          <w:p w14:paraId="052ECC85" w14:textId="77777777" w:rsidR="00AF51EC" w:rsidRPr="000B29FF" w:rsidRDefault="00AF51EC" w:rsidP="00E12712">
            <w:pPr>
              <w:jc w:val="center"/>
              <w:rPr>
                <w:b/>
                <w:bCs/>
              </w:rPr>
            </w:pPr>
            <w:r w:rsidRPr="000B29FF">
              <w:rPr>
                <w:b/>
                <w:bCs/>
              </w:rPr>
              <w:t>Pondération individuelle</w:t>
            </w:r>
          </w:p>
        </w:tc>
        <w:tc>
          <w:tcPr>
            <w:tcW w:w="2373" w:type="dxa"/>
          </w:tcPr>
          <w:p w14:paraId="6F68AC8E" w14:textId="77777777" w:rsidR="00AF51EC" w:rsidRPr="000B29FF" w:rsidRDefault="00AF51EC" w:rsidP="00E12712">
            <w:pPr>
              <w:jc w:val="center"/>
              <w:rPr>
                <w:b/>
                <w:bCs/>
              </w:rPr>
            </w:pPr>
            <w:r w:rsidRPr="000B29FF">
              <w:rPr>
                <w:b/>
                <w:bCs/>
              </w:rPr>
              <w:t>Pondération de groupe</w:t>
            </w:r>
          </w:p>
        </w:tc>
      </w:tr>
      <w:tr w:rsidR="00A07C68" w:rsidRPr="000B29FF" w14:paraId="7114DD8B" w14:textId="77777777" w:rsidTr="00875073">
        <w:tc>
          <w:tcPr>
            <w:tcW w:w="2377" w:type="dxa"/>
          </w:tcPr>
          <w:p w14:paraId="21624D69" w14:textId="1662B61B" w:rsidR="00A07C68" w:rsidRPr="00A07C68" w:rsidRDefault="001B4B84" w:rsidP="00870D2E">
            <w:pPr>
              <w:rPr>
                <w:bCs/>
              </w:rPr>
            </w:pPr>
            <w:r>
              <w:rPr>
                <w:bCs/>
              </w:rPr>
              <w:t>Évaluations rapides (6)</w:t>
            </w:r>
          </w:p>
        </w:tc>
        <w:tc>
          <w:tcPr>
            <w:tcW w:w="2114" w:type="dxa"/>
            <w:vAlign w:val="center"/>
          </w:tcPr>
          <w:p w14:paraId="534079EE" w14:textId="46A19567" w:rsidR="00A07C68" w:rsidRDefault="001B4B84" w:rsidP="00870D2E">
            <w:pPr>
              <w:jc w:val="center"/>
            </w:pPr>
            <w:r>
              <w:t>3</w:t>
            </w:r>
            <w:r w:rsidR="00680E09">
              <w:t>0%</w:t>
            </w:r>
          </w:p>
        </w:tc>
        <w:tc>
          <w:tcPr>
            <w:tcW w:w="1930" w:type="dxa"/>
          </w:tcPr>
          <w:p w14:paraId="6B926F8F" w14:textId="77777777" w:rsidR="00A07C68" w:rsidRDefault="00A07C68" w:rsidP="00A07C68">
            <w:pPr>
              <w:jc w:val="center"/>
            </w:pPr>
            <w:r w:rsidRPr="00454EE7">
              <w:fldChar w:fldCharType="begin">
                <w:ffData>
                  <w:name w:val=""/>
                  <w:enabled/>
                  <w:calcOnExit w:val="0"/>
                  <w:checkBox>
                    <w:sizeAuto/>
                    <w:default w:val="1"/>
                  </w:checkBox>
                </w:ffData>
              </w:fldChar>
            </w:r>
            <w:r w:rsidRPr="00454EE7">
              <w:instrText xml:space="preserve"> FORMCHECKBOX </w:instrText>
            </w:r>
            <w:r w:rsidR="00761090">
              <w:fldChar w:fldCharType="separate"/>
            </w:r>
            <w:r w:rsidRPr="00454EE7">
              <w:fldChar w:fldCharType="end"/>
            </w:r>
            <w:r w:rsidRPr="00454EE7">
              <w:t xml:space="preserve"> 100%</w:t>
            </w:r>
          </w:p>
        </w:tc>
        <w:tc>
          <w:tcPr>
            <w:tcW w:w="2373" w:type="dxa"/>
          </w:tcPr>
          <w:p w14:paraId="6BCEA174" w14:textId="68A69FE5" w:rsidR="00A07C68" w:rsidRDefault="00A07C68" w:rsidP="00A07C68">
            <w:pPr>
              <w:jc w:val="center"/>
            </w:pPr>
            <w:r w:rsidRPr="00296297">
              <w:fldChar w:fldCharType="begin">
                <w:ffData>
                  <w:name w:val="CaseACocher2"/>
                  <w:enabled/>
                  <w:calcOnExit w:val="0"/>
                  <w:checkBox>
                    <w:sizeAuto/>
                    <w:default w:val="0"/>
                  </w:checkBox>
                </w:ffData>
              </w:fldChar>
            </w:r>
            <w:r w:rsidRPr="00296297">
              <w:instrText xml:space="preserve"> FORMCHECKBOX </w:instrText>
            </w:r>
            <w:r w:rsidR="00761090">
              <w:fldChar w:fldCharType="separate"/>
            </w:r>
            <w:r w:rsidRPr="00296297">
              <w:fldChar w:fldCharType="end"/>
            </w:r>
            <w:r w:rsidRPr="00296297">
              <w:t xml:space="preserve">   </w:t>
            </w:r>
            <w:r w:rsidR="001B4B84">
              <w:t xml:space="preserve"> </w:t>
            </w:r>
            <w:r w:rsidRPr="00296297">
              <w:t xml:space="preserve"> 0%</w:t>
            </w:r>
          </w:p>
        </w:tc>
      </w:tr>
      <w:tr w:rsidR="001B4B84" w:rsidRPr="000B29FF" w14:paraId="196594D6" w14:textId="77777777" w:rsidTr="0092406C">
        <w:tc>
          <w:tcPr>
            <w:tcW w:w="2377" w:type="dxa"/>
          </w:tcPr>
          <w:p w14:paraId="269FB6CE" w14:textId="55AEEA91" w:rsidR="001B4B84" w:rsidRPr="00A07C68" w:rsidRDefault="001B4B84" w:rsidP="0092406C">
            <w:pPr>
              <w:rPr>
                <w:bCs/>
              </w:rPr>
            </w:pPr>
            <w:r>
              <w:rPr>
                <w:bCs/>
              </w:rPr>
              <w:t>Discussions</w:t>
            </w:r>
          </w:p>
        </w:tc>
        <w:tc>
          <w:tcPr>
            <w:tcW w:w="2114" w:type="dxa"/>
            <w:vAlign w:val="center"/>
          </w:tcPr>
          <w:p w14:paraId="5834CDB8" w14:textId="06A3CBB5" w:rsidR="001B4B84" w:rsidRDefault="001B4B84" w:rsidP="0092406C">
            <w:pPr>
              <w:jc w:val="center"/>
            </w:pPr>
            <w:r>
              <w:t>10%</w:t>
            </w:r>
          </w:p>
        </w:tc>
        <w:tc>
          <w:tcPr>
            <w:tcW w:w="1930" w:type="dxa"/>
          </w:tcPr>
          <w:p w14:paraId="7CC4FBF8" w14:textId="77777777" w:rsidR="001B4B84" w:rsidRDefault="001B4B84" w:rsidP="0092406C">
            <w:pPr>
              <w:jc w:val="center"/>
            </w:pPr>
            <w:r>
              <w:fldChar w:fldCharType="begin">
                <w:ffData>
                  <w:name w:val=""/>
                  <w:enabled/>
                  <w:calcOnExit w:val="0"/>
                  <w:checkBox>
                    <w:sizeAuto/>
                    <w:default w:val="0"/>
                  </w:checkBox>
                </w:ffData>
              </w:fldChar>
            </w:r>
            <w:r>
              <w:instrText xml:space="preserve"> FORMCHECKBOX </w:instrText>
            </w:r>
            <w:r w:rsidR="00761090">
              <w:fldChar w:fldCharType="separate"/>
            </w:r>
            <w:r>
              <w:fldChar w:fldCharType="end"/>
            </w:r>
            <w:r>
              <w:t xml:space="preserve">     </w:t>
            </w:r>
            <w:r w:rsidRPr="00454EE7">
              <w:t>0%</w:t>
            </w:r>
          </w:p>
        </w:tc>
        <w:tc>
          <w:tcPr>
            <w:tcW w:w="2373" w:type="dxa"/>
          </w:tcPr>
          <w:p w14:paraId="2C0365D0" w14:textId="77777777" w:rsidR="001B4B84" w:rsidRDefault="001B4B84" w:rsidP="0092406C">
            <w:pPr>
              <w:jc w:val="center"/>
            </w:pPr>
            <w:r>
              <w:fldChar w:fldCharType="begin">
                <w:ffData>
                  <w:name w:val="CaseACocher2"/>
                  <w:enabled/>
                  <w:calcOnExit w:val="0"/>
                  <w:checkBox>
                    <w:sizeAuto/>
                    <w:default w:val="1"/>
                  </w:checkBox>
                </w:ffData>
              </w:fldChar>
            </w:r>
            <w:r>
              <w:instrText xml:space="preserve"> FORMCHECKBOX </w:instrText>
            </w:r>
            <w:r w:rsidR="00761090">
              <w:fldChar w:fldCharType="separate"/>
            </w:r>
            <w:r>
              <w:fldChar w:fldCharType="end"/>
            </w:r>
            <w:r>
              <w:t xml:space="preserve"> 10</w:t>
            </w:r>
            <w:r w:rsidRPr="00296297">
              <w:t>0%</w:t>
            </w:r>
          </w:p>
        </w:tc>
      </w:tr>
      <w:tr w:rsidR="00A07C68" w:rsidRPr="000B29FF" w14:paraId="47DA3B4A" w14:textId="77777777" w:rsidTr="00875073">
        <w:tc>
          <w:tcPr>
            <w:tcW w:w="2377" w:type="dxa"/>
          </w:tcPr>
          <w:p w14:paraId="488407D2" w14:textId="4EB7B424" w:rsidR="00A07C68" w:rsidRPr="00A07C68" w:rsidRDefault="001B4B84" w:rsidP="00E12712">
            <w:pPr>
              <w:rPr>
                <w:bCs/>
              </w:rPr>
            </w:pPr>
            <w:r>
              <w:rPr>
                <w:bCs/>
              </w:rPr>
              <w:t>Présentation en équipe</w:t>
            </w:r>
          </w:p>
        </w:tc>
        <w:tc>
          <w:tcPr>
            <w:tcW w:w="2114" w:type="dxa"/>
            <w:vAlign w:val="center"/>
          </w:tcPr>
          <w:p w14:paraId="0C2CD38A" w14:textId="0A8381FA" w:rsidR="00A07C68" w:rsidRDefault="001B4B84" w:rsidP="00E12712">
            <w:pPr>
              <w:jc w:val="center"/>
            </w:pPr>
            <w:r>
              <w:t>3</w:t>
            </w:r>
            <w:r w:rsidR="00680E09">
              <w:t>0%</w:t>
            </w:r>
          </w:p>
        </w:tc>
        <w:tc>
          <w:tcPr>
            <w:tcW w:w="1930" w:type="dxa"/>
          </w:tcPr>
          <w:p w14:paraId="2EBC1D37" w14:textId="7382ED17" w:rsidR="00A07C68" w:rsidRDefault="001B4B84" w:rsidP="00A07C68">
            <w:pPr>
              <w:jc w:val="center"/>
            </w:pPr>
            <w:r>
              <w:fldChar w:fldCharType="begin">
                <w:ffData>
                  <w:name w:val=""/>
                  <w:enabled/>
                  <w:calcOnExit w:val="0"/>
                  <w:checkBox>
                    <w:sizeAuto/>
                    <w:default w:val="0"/>
                  </w:checkBox>
                </w:ffData>
              </w:fldChar>
            </w:r>
            <w:r>
              <w:instrText xml:space="preserve"> FORMCHECKBOX </w:instrText>
            </w:r>
            <w:r w:rsidR="00761090">
              <w:fldChar w:fldCharType="separate"/>
            </w:r>
            <w:r>
              <w:fldChar w:fldCharType="end"/>
            </w:r>
            <w:r>
              <w:t xml:space="preserve">     </w:t>
            </w:r>
            <w:r w:rsidR="00A07C68" w:rsidRPr="00454EE7">
              <w:t>0%</w:t>
            </w:r>
          </w:p>
        </w:tc>
        <w:tc>
          <w:tcPr>
            <w:tcW w:w="2373" w:type="dxa"/>
          </w:tcPr>
          <w:p w14:paraId="01B996C9" w14:textId="0F797AE8" w:rsidR="00A07C68" w:rsidRDefault="001B4B84" w:rsidP="00A07C68">
            <w:pPr>
              <w:jc w:val="center"/>
            </w:pPr>
            <w:r>
              <w:fldChar w:fldCharType="begin">
                <w:ffData>
                  <w:name w:val="CaseACocher2"/>
                  <w:enabled/>
                  <w:calcOnExit w:val="0"/>
                  <w:checkBox>
                    <w:sizeAuto/>
                    <w:default w:val="1"/>
                  </w:checkBox>
                </w:ffData>
              </w:fldChar>
            </w:r>
            <w:bookmarkStart w:id="0" w:name="CaseACocher2"/>
            <w:r>
              <w:instrText xml:space="preserve"> FORMCHECKBOX </w:instrText>
            </w:r>
            <w:r w:rsidR="00761090">
              <w:fldChar w:fldCharType="separate"/>
            </w:r>
            <w:r>
              <w:fldChar w:fldCharType="end"/>
            </w:r>
            <w:bookmarkEnd w:id="0"/>
            <w:r>
              <w:t xml:space="preserve"> 10</w:t>
            </w:r>
            <w:r w:rsidR="00A07C68" w:rsidRPr="00296297">
              <w:t>0%</w:t>
            </w:r>
          </w:p>
        </w:tc>
      </w:tr>
      <w:tr w:rsidR="00AF51EC" w:rsidRPr="000B29FF" w14:paraId="165FF662" w14:textId="77777777">
        <w:tc>
          <w:tcPr>
            <w:tcW w:w="2377" w:type="dxa"/>
          </w:tcPr>
          <w:p w14:paraId="1A216E6A" w14:textId="77777777" w:rsidR="00AF51EC" w:rsidRPr="000B29FF" w:rsidRDefault="00AF51EC" w:rsidP="00E12712">
            <w:pPr>
              <w:rPr>
                <w:b/>
                <w:bCs/>
              </w:rPr>
            </w:pPr>
            <w:r w:rsidRPr="000B29FF">
              <w:rPr>
                <w:b/>
                <w:bCs/>
              </w:rPr>
              <w:t>Examen final</w:t>
            </w:r>
          </w:p>
        </w:tc>
        <w:tc>
          <w:tcPr>
            <w:tcW w:w="2114" w:type="dxa"/>
            <w:vAlign w:val="center"/>
          </w:tcPr>
          <w:p w14:paraId="0F958B8A" w14:textId="77777777" w:rsidR="00AF51EC" w:rsidRPr="000B29FF" w:rsidRDefault="00936A10" w:rsidP="00680E09">
            <w:pPr>
              <w:jc w:val="center"/>
            </w:pPr>
            <w:r>
              <w:t>3</w:t>
            </w:r>
            <w:r w:rsidR="00680E09">
              <w:t>0</w:t>
            </w:r>
            <w:r w:rsidR="00AF51EC" w:rsidRPr="000B29FF">
              <w:t>%</w:t>
            </w:r>
          </w:p>
        </w:tc>
        <w:tc>
          <w:tcPr>
            <w:tcW w:w="1930" w:type="dxa"/>
            <w:vAlign w:val="center"/>
          </w:tcPr>
          <w:p w14:paraId="7716D4FE" w14:textId="77777777" w:rsidR="00AF51EC" w:rsidRPr="000B29FF" w:rsidRDefault="00AF51EC" w:rsidP="00E12712">
            <w:pPr>
              <w:jc w:val="center"/>
            </w:pPr>
            <w:r w:rsidRPr="000B29FF">
              <w:fldChar w:fldCharType="begin">
                <w:ffData>
                  <w:name w:val=""/>
                  <w:enabled/>
                  <w:calcOnExit w:val="0"/>
                  <w:checkBox>
                    <w:sizeAuto/>
                    <w:default w:val="1"/>
                  </w:checkBox>
                </w:ffData>
              </w:fldChar>
            </w:r>
            <w:r w:rsidRPr="000B29FF">
              <w:instrText xml:space="preserve"> FORMCHECKBOX </w:instrText>
            </w:r>
            <w:r w:rsidR="00761090">
              <w:fldChar w:fldCharType="separate"/>
            </w:r>
            <w:r w:rsidRPr="000B29FF">
              <w:fldChar w:fldCharType="end"/>
            </w:r>
            <w:r w:rsidRPr="000B29FF">
              <w:t xml:space="preserve"> 100%</w:t>
            </w:r>
          </w:p>
        </w:tc>
        <w:tc>
          <w:tcPr>
            <w:tcW w:w="2373" w:type="dxa"/>
            <w:vAlign w:val="center"/>
          </w:tcPr>
          <w:p w14:paraId="41F60664" w14:textId="53DDCD5A" w:rsidR="00AF51EC" w:rsidRPr="000B29FF" w:rsidRDefault="00AF51EC" w:rsidP="00E12712">
            <w:pPr>
              <w:jc w:val="center"/>
            </w:pPr>
            <w:r w:rsidRPr="000B29FF">
              <w:fldChar w:fldCharType="begin">
                <w:ffData>
                  <w:name w:val="CaseACocher2"/>
                  <w:enabled/>
                  <w:calcOnExit w:val="0"/>
                  <w:checkBox>
                    <w:sizeAuto/>
                    <w:default w:val="0"/>
                  </w:checkBox>
                </w:ffData>
              </w:fldChar>
            </w:r>
            <w:r w:rsidRPr="000B29FF">
              <w:instrText xml:space="preserve"> FORMCHECKBOX </w:instrText>
            </w:r>
            <w:r w:rsidR="00761090">
              <w:fldChar w:fldCharType="separate"/>
            </w:r>
            <w:r w:rsidRPr="000B29FF">
              <w:fldChar w:fldCharType="end"/>
            </w:r>
            <w:r w:rsidRPr="000B29FF">
              <w:t xml:space="preserve">    </w:t>
            </w:r>
            <w:r w:rsidR="001B4B84">
              <w:t xml:space="preserve"> </w:t>
            </w:r>
            <w:r w:rsidRPr="000B29FF">
              <w:t>0%</w:t>
            </w:r>
          </w:p>
        </w:tc>
      </w:tr>
    </w:tbl>
    <w:p w14:paraId="7A7BCF16" w14:textId="77777777" w:rsidR="00AF51EC" w:rsidRPr="000B29FF" w:rsidRDefault="00AF51EC" w:rsidP="00AF51EC"/>
    <w:p w14:paraId="1168E2B8" w14:textId="656EB2F5" w:rsidR="009D75F5" w:rsidRPr="003A13AD" w:rsidRDefault="009D75F5" w:rsidP="009D75F5">
      <w:pPr>
        <w:pStyle w:val="Sance"/>
      </w:pPr>
      <w:r>
        <w:t>Évaluation rapide</w:t>
      </w:r>
    </w:p>
    <w:p w14:paraId="7FCE78BE" w14:textId="146B0FED" w:rsidR="009D75F5" w:rsidRPr="003A13AD" w:rsidRDefault="009D75F5" w:rsidP="009D75F5">
      <w:pPr>
        <w:pStyle w:val="Texte"/>
      </w:pPr>
      <w:r w:rsidRPr="003A13AD">
        <w:t xml:space="preserve">De façon à valider l’apprentissage, à la fin de </w:t>
      </w:r>
      <w:r>
        <w:t>six</w:t>
      </w:r>
      <w:r w:rsidRPr="003A13AD">
        <w:t xml:space="preserve"> séance</w:t>
      </w:r>
      <w:r>
        <w:t>s</w:t>
      </w:r>
      <w:r w:rsidRPr="003A13AD">
        <w:t xml:space="preserve">, l’étudiant devra répondre à une question choisie par le professeur sur la matière vue pendant la séance. Il sera également amené à donner son avis sur la clarté de la matière apprise et l’élément le plus difficile. Ses réponses et sa participation seront évaluées sur </w:t>
      </w:r>
      <w:r>
        <w:t>5</w:t>
      </w:r>
      <w:r w:rsidR="004011BB">
        <w:t xml:space="preserve"> points, pour un total de 30 points.</w:t>
      </w:r>
    </w:p>
    <w:p w14:paraId="02C81AEC" w14:textId="1A710D6E" w:rsidR="009D75F5" w:rsidRDefault="009D75F5" w:rsidP="009D75F5">
      <w:pPr>
        <w:pStyle w:val="Sance"/>
      </w:pPr>
      <w:r>
        <w:t>Discussions</w:t>
      </w:r>
    </w:p>
    <w:p w14:paraId="7E1CFB9D" w14:textId="72CF1810" w:rsidR="009D75F5" w:rsidRDefault="004011BB" w:rsidP="009D75F5">
      <w:pPr>
        <w:pStyle w:val="Texte"/>
      </w:pPr>
      <w:r>
        <w:t>Deux</w:t>
      </w:r>
      <w:r w:rsidR="009D75F5">
        <w:t xml:space="preserve"> discussions en ligne devront être animées par les étudiants.</w:t>
      </w:r>
      <w:r>
        <w:t xml:space="preserve"> Le professeur attribuera une note à l’étudiant sur 5 pour chaque discussion, pour un total de 10 points.</w:t>
      </w:r>
    </w:p>
    <w:p w14:paraId="224F9214" w14:textId="2CF65FDB" w:rsidR="009D75F5" w:rsidRPr="003A13AD" w:rsidRDefault="009D75F5" w:rsidP="009D75F5">
      <w:pPr>
        <w:pStyle w:val="Sance"/>
      </w:pPr>
      <w:r>
        <w:t>Présentation en</w:t>
      </w:r>
      <w:r w:rsidRPr="003A13AD">
        <w:t xml:space="preserve"> équipe</w:t>
      </w:r>
    </w:p>
    <w:p w14:paraId="6DF8EC4A" w14:textId="134B3D93" w:rsidR="009D75F5" w:rsidRDefault="009D75F5" w:rsidP="009D75F5">
      <w:pPr>
        <w:pStyle w:val="Texte"/>
      </w:pPr>
      <w:r w:rsidRPr="003A13AD">
        <w:t>L</w:t>
      </w:r>
      <w:r>
        <w:t>a présentation</w:t>
      </w:r>
      <w:r w:rsidRPr="003A13AD">
        <w:t xml:space="preserve"> par une équipe</w:t>
      </w:r>
      <w:r>
        <w:t xml:space="preserve"> de deux personnes</w:t>
      </w:r>
      <w:r w:rsidRPr="003A13AD">
        <w:t xml:space="preserve"> </w:t>
      </w:r>
      <w:r>
        <w:t>doit amener sur une discussion basée sur un cas réel</w:t>
      </w:r>
      <w:r w:rsidRPr="003A13AD">
        <w:t xml:space="preserve">. Par y arriver, les étudiants doivent </w:t>
      </w:r>
      <w:r>
        <w:t>documenter le cas étudié</w:t>
      </w:r>
      <w:r w:rsidRPr="003A13AD">
        <w:t xml:space="preserve">, construire une analyse critique </w:t>
      </w:r>
      <w:r>
        <w:t>et proposer des recommandations.</w:t>
      </w:r>
      <w:r w:rsidRPr="003A13AD">
        <w:t xml:space="preserve"> </w:t>
      </w:r>
      <w:r>
        <w:t xml:space="preserve">Au total, la présentation </w:t>
      </w:r>
      <w:r w:rsidRPr="003A13AD">
        <w:t xml:space="preserve">doit durer </w:t>
      </w:r>
      <w:r>
        <w:t>20 minutes, incluant la période de questions</w:t>
      </w:r>
      <w:r w:rsidRPr="003A13AD">
        <w:t>. Elle doit faire intervenir chaque membre de l’équipe. Le contenu structuré de</w:t>
      </w:r>
      <w:r>
        <w:t>s éléments de l’animation</w:t>
      </w:r>
      <w:r w:rsidRPr="003A13AD">
        <w:t xml:space="preserve"> est à remettre en format électronique au professeur</w:t>
      </w:r>
      <w:r>
        <w:t xml:space="preserve"> au moins 1 jour</w:t>
      </w:r>
      <w:r w:rsidRPr="003A13AD">
        <w:t xml:space="preserve"> AVANT la séance.</w:t>
      </w:r>
    </w:p>
    <w:p w14:paraId="388F7618" w14:textId="57A1AF8D" w:rsidR="009D75F5" w:rsidRPr="003A13AD" w:rsidRDefault="009D75F5" w:rsidP="009D75F5">
      <w:pPr>
        <w:pStyle w:val="Sance"/>
      </w:pPr>
      <w:r>
        <w:t>Examen final</w:t>
      </w:r>
    </w:p>
    <w:p w14:paraId="4885E779" w14:textId="05F00AAE" w:rsidR="009D75F5" w:rsidRDefault="009D75F5" w:rsidP="009D75F5">
      <w:pPr>
        <w:pStyle w:val="Texte"/>
      </w:pPr>
      <w:r>
        <w:t>L’examen final est à livre ouvert, s’effectue à la maison en utilisant Moodle, durera un maximum de 3 heures et portera sur l’analyse d’un cas.</w:t>
      </w:r>
    </w:p>
    <w:p w14:paraId="4795FE1E" w14:textId="77777777" w:rsidR="00E12712" w:rsidRDefault="00E12712" w:rsidP="00481BEB">
      <w:pPr>
        <w:pStyle w:val="Titre1"/>
      </w:pPr>
      <w:r>
        <w:t>Plagiat</w:t>
      </w:r>
    </w:p>
    <w:p w14:paraId="6042A7A7" w14:textId="77777777" w:rsidR="00E12712" w:rsidRDefault="00E12712" w:rsidP="007F1B45">
      <w:pPr>
        <w:pStyle w:val="Texte"/>
      </w:pPr>
      <w:r>
        <w:t xml:space="preserve">Un document dont le texte et la structure se rapportent à des textes intégraux tirés d'un livre, d'une publication scientifique ou même d'un site </w:t>
      </w:r>
      <w:r w:rsidR="004C5C5D">
        <w:t>Internet</w:t>
      </w:r>
      <w:r>
        <w:t xml:space="preserve"> doit être référencé adéquatement. Lors de la correction de tout travail individuel ou de </w:t>
      </w:r>
      <w:r w:rsidR="004C5C5D">
        <w:t>groupe,</w:t>
      </w:r>
      <w:r>
        <w:t xml:space="preserve"> une attention spéciale sera portée au plagiat, défini dans le Règlement des études comme </w:t>
      </w:r>
      <w:r w:rsidR="004C5C5D">
        <w:t>« </w:t>
      </w:r>
      <w:r>
        <w:t>le fait, dans une activité pédagogique évaluée, de faire passer indûment pour siens des passages ou des idées tirés de l’œuvre d'autrui.</w:t>
      </w:r>
      <w:r w:rsidR="004C5C5D">
        <w:t> »</w:t>
      </w:r>
      <w:r>
        <w:t xml:space="preserve"> Le cas échéant, le plagiat est un délit qui contrevient à l'article 8.1.2 du Règlement des études</w:t>
      </w:r>
      <w:r w:rsidR="002C71BB">
        <w:t> :</w:t>
      </w:r>
      <w:r>
        <w:t xml:space="preserve"> </w:t>
      </w:r>
      <w:r w:rsidR="004C5C5D">
        <w:t>« </w:t>
      </w:r>
      <w:r>
        <w:t>tout acte ou manœuvre visant à tromper quant au rendement scolaire ou quant à la réussite d'une exigence relative à une activité pédagogique.</w:t>
      </w:r>
      <w:r w:rsidR="004C5C5D">
        <w:t> »</w:t>
      </w:r>
      <w:r>
        <w:t xml:space="preserve"> À titre de sanction disciplinaire, les mesures suivantes peuvent être imposées</w:t>
      </w:r>
      <w:r w:rsidR="004C5C5D">
        <w:t> :</w:t>
      </w:r>
      <w:r>
        <w:t xml:space="preserve"> a</w:t>
      </w:r>
      <w:r w:rsidR="004C5C5D">
        <w:t xml:space="preserve">) </w:t>
      </w:r>
      <w:r>
        <w:t xml:space="preserve">l'obligation de reprendre un travail, un examen ou une activité pédagogique et b) l'attribution de la note E ou de la </w:t>
      </w:r>
      <w:r w:rsidR="004C5C5D">
        <w:t>note </w:t>
      </w:r>
      <w:r>
        <w:t>0 pour un travail, un examen ou une activité évaluée</w:t>
      </w:r>
      <w:r w:rsidR="004C5C5D">
        <w:t xml:space="preserve">. </w:t>
      </w:r>
      <w:r>
        <w:t>Tout travail suspecté de plagiat sera référé à la vice-doyenne à l'enseignement de la Faculté des sciences.</w:t>
      </w:r>
    </w:p>
    <w:p w14:paraId="78269AF0" w14:textId="77777777" w:rsidR="00E12712" w:rsidRPr="001F407D" w:rsidRDefault="00A368F2" w:rsidP="00481BEB">
      <w:pPr>
        <w:pStyle w:val="Titre1"/>
      </w:pPr>
      <w:r w:rsidRPr="001F407D">
        <w:t>R</w:t>
      </w:r>
      <w:r w:rsidR="00E12712" w:rsidRPr="001F407D">
        <w:t>emise des travaux</w:t>
      </w:r>
    </w:p>
    <w:p w14:paraId="077A0EFD" w14:textId="7190FC51" w:rsidR="00F77ECB" w:rsidRDefault="00A94EEE" w:rsidP="00A94EEE">
      <w:pPr>
        <w:pStyle w:val="Texte"/>
      </w:pPr>
      <w:r>
        <w:t>La plateforme Moodle doit être utilisée pour remettre les travaux. I</w:t>
      </w:r>
      <w:r w:rsidR="00323AC4">
        <w:t>l y aura 2</w:t>
      </w:r>
      <w:r>
        <w:t>0% de pénalité par jour de retard</w:t>
      </w:r>
      <w:r w:rsidR="00323AC4">
        <w:t> : aucun retard (0%), retard de moins d’une journée (20%), retard entre 1 et 2 jours (40%), retard entre 2 et 3 jours (60%), retard entre 3 et 4 jours (80%), retard de plus de quatre jours avec pénalité maximale de 100%.</w:t>
      </w:r>
    </w:p>
    <w:p w14:paraId="709DAFC9" w14:textId="77777777" w:rsidR="00E12712" w:rsidRDefault="00E12712" w:rsidP="00481BEB">
      <w:pPr>
        <w:pStyle w:val="Titre1"/>
      </w:pPr>
      <w:r>
        <w:t>Bibliographie</w:t>
      </w:r>
    </w:p>
    <w:p w14:paraId="6C6DB4D8" w14:textId="77777777" w:rsidR="00AF51EC" w:rsidRPr="00AF51EC" w:rsidRDefault="00AF51EC" w:rsidP="00481BEB">
      <w:pPr>
        <w:pStyle w:val="Section"/>
      </w:pPr>
      <w:r w:rsidRPr="00AF51EC">
        <w:t>Références obligatoires</w:t>
      </w:r>
    </w:p>
    <w:p w14:paraId="52386266" w14:textId="5D6FA1E4" w:rsidR="001D559A" w:rsidRPr="0046452E" w:rsidRDefault="000A6731" w:rsidP="00D37522">
      <w:pPr>
        <w:pStyle w:val="Enum"/>
      </w:pPr>
      <w:r w:rsidRPr="000A6731">
        <w:t xml:space="preserve">Collerette, P., Lauzier M. et R. Schneider, </w:t>
      </w:r>
      <w:bookmarkStart w:id="1" w:name="_GoBack"/>
      <w:r w:rsidRPr="000A6731">
        <w:rPr>
          <w:b/>
          <w:bCs/>
        </w:rPr>
        <w:t xml:space="preserve">Le pilotage du changement </w:t>
      </w:r>
      <w:bookmarkEnd w:id="1"/>
      <w:r w:rsidRPr="000A6731">
        <w:rPr>
          <w:b/>
          <w:bCs/>
        </w:rPr>
        <w:t>– 2</w:t>
      </w:r>
      <w:r w:rsidRPr="000A6731">
        <w:rPr>
          <w:b/>
          <w:bCs/>
          <w:vertAlign w:val="superscript"/>
        </w:rPr>
        <w:t>ième</w:t>
      </w:r>
      <w:r w:rsidRPr="000A6731">
        <w:rPr>
          <w:b/>
          <w:bCs/>
        </w:rPr>
        <w:t xml:space="preserve"> édition</w:t>
      </w:r>
      <w:r w:rsidRPr="000A6731">
        <w:t>, Presses de l'Université du Québec, 2013, 293 pages, ISBN 9-782760-525337</w:t>
      </w:r>
    </w:p>
    <w:p w14:paraId="5823CA9B" w14:textId="77777777" w:rsidR="00AF51EC" w:rsidRPr="00AF51EC" w:rsidRDefault="00AF51EC" w:rsidP="00481BEB">
      <w:pPr>
        <w:pStyle w:val="Section"/>
      </w:pPr>
      <w:r w:rsidRPr="00AF51EC">
        <w:t>Référence</w:t>
      </w:r>
      <w:r>
        <w:t>s com</w:t>
      </w:r>
      <w:r w:rsidRPr="00AF51EC">
        <w:t>plémentaires</w:t>
      </w:r>
    </w:p>
    <w:p w14:paraId="17921A9D" w14:textId="0D0D14B3" w:rsidR="0046452E" w:rsidRDefault="0046452E" w:rsidP="0046452E">
      <w:pPr>
        <w:pStyle w:val="Enum"/>
        <w:rPr>
          <w:lang w:val="en-CA"/>
        </w:rPr>
      </w:pPr>
      <w:r w:rsidRPr="001D559A">
        <w:rPr>
          <w:lang w:val="en-CA"/>
        </w:rPr>
        <w:t>Cabinet Office,</w:t>
      </w:r>
      <w:r>
        <w:rPr>
          <w:b/>
          <w:lang w:val="en-CA"/>
        </w:rPr>
        <w:t xml:space="preserve"> </w:t>
      </w:r>
      <w:r w:rsidRPr="001D559A">
        <w:rPr>
          <w:b/>
          <w:lang w:val="en-CA"/>
        </w:rPr>
        <w:t>ITIL Service Transition 2011 Edition</w:t>
      </w:r>
      <w:r w:rsidRPr="008B376F">
        <w:rPr>
          <w:lang w:val="en-CA"/>
        </w:rPr>
        <w:t>, The Stationnary Office</w:t>
      </w:r>
      <w:r>
        <w:rPr>
          <w:lang w:val="en-CA"/>
        </w:rPr>
        <w:t xml:space="preserve"> books, 2007, 261 pages, ISBN: </w:t>
      </w:r>
      <w:r w:rsidRPr="001D559A">
        <w:rPr>
          <w:lang w:val="en-CA"/>
        </w:rPr>
        <w:t>978-0113313068</w:t>
      </w:r>
    </w:p>
    <w:p w14:paraId="742841B0" w14:textId="6EE3EB17" w:rsidR="0046452E" w:rsidRPr="0046452E" w:rsidRDefault="0046452E" w:rsidP="0046452E">
      <w:pPr>
        <w:pStyle w:val="Enum"/>
        <w:rPr>
          <w:lang w:val="en-CA"/>
        </w:rPr>
      </w:pPr>
      <w:r w:rsidRPr="00003857">
        <w:rPr>
          <w:lang w:val="en-CA"/>
        </w:rPr>
        <w:t xml:space="preserve">Cameron, E. et M. Green, </w:t>
      </w:r>
      <w:r w:rsidRPr="00003857">
        <w:rPr>
          <w:b/>
          <w:lang w:val="en-CA"/>
        </w:rPr>
        <w:t xml:space="preserve">Making Sense of Change Management: A Complete Guide to the Models, Tools &amp; </w:t>
      </w:r>
      <w:r w:rsidRPr="0046452E">
        <w:rPr>
          <w:b/>
          <w:lang w:val="en-CA"/>
        </w:rPr>
        <w:t>Techniques of Organizational Change, 4</w:t>
      </w:r>
      <w:r w:rsidRPr="0046452E">
        <w:rPr>
          <w:b/>
          <w:vertAlign w:val="superscript"/>
          <w:lang w:val="en-CA"/>
        </w:rPr>
        <w:t>th</w:t>
      </w:r>
      <w:r w:rsidRPr="0046452E">
        <w:rPr>
          <w:b/>
          <w:lang w:val="en-CA"/>
        </w:rPr>
        <w:t xml:space="preserve"> edition</w:t>
      </w:r>
      <w:r w:rsidRPr="0046452E">
        <w:rPr>
          <w:lang w:val="en-CA"/>
        </w:rPr>
        <w:t>, Kogan Page, 2015, 464 pages, ISBN 978-0749464356</w:t>
      </w:r>
    </w:p>
    <w:p w14:paraId="42BF292E" w14:textId="25821CD5" w:rsidR="00623BD9" w:rsidRDefault="00623BD9" w:rsidP="00AF51EC">
      <w:pPr>
        <w:pStyle w:val="Enum"/>
        <w:rPr>
          <w:lang w:val="en-CA"/>
        </w:rPr>
      </w:pPr>
      <w:r w:rsidRPr="00EF333E">
        <w:rPr>
          <w:lang w:val="en-CA"/>
        </w:rPr>
        <w:t xml:space="preserve">Harmon, P., Business Process Change: </w:t>
      </w:r>
      <w:r w:rsidRPr="00EF333E">
        <w:rPr>
          <w:b/>
          <w:lang w:val="en-CA"/>
        </w:rPr>
        <w:t>A Guide for Business Managers and BPM and Six Sigma Professionals</w:t>
      </w:r>
      <w:r w:rsidRPr="00EF333E">
        <w:rPr>
          <w:lang w:val="en-CA"/>
        </w:rPr>
        <w:t>, Morgan Kaufmann, 2007,</w:t>
      </w:r>
      <w:r w:rsidR="0046452E">
        <w:rPr>
          <w:lang w:val="en-CA"/>
        </w:rPr>
        <w:t xml:space="preserve"> 592 pages, ISBN 978-0123741523</w:t>
      </w:r>
    </w:p>
    <w:p w14:paraId="0B98E409" w14:textId="763F8EB4" w:rsidR="0046452E" w:rsidRPr="0046452E" w:rsidRDefault="0046452E" w:rsidP="0046452E">
      <w:pPr>
        <w:pStyle w:val="Enum"/>
        <w:rPr>
          <w:lang w:val="en-CA"/>
        </w:rPr>
      </w:pPr>
      <w:r w:rsidRPr="00B71526">
        <w:rPr>
          <w:lang w:val="en-CA"/>
        </w:rPr>
        <w:t xml:space="preserve">Holman, P., T. Devane et S. Cady, </w:t>
      </w:r>
      <w:r w:rsidRPr="00B71526">
        <w:rPr>
          <w:b/>
          <w:lang w:val="en-CA"/>
        </w:rPr>
        <w:t>The Change Handbook: The Definitive Resource on Today's Best Methods for Engaging Whole Systems</w:t>
      </w:r>
      <w:r w:rsidRPr="00B71526">
        <w:rPr>
          <w:lang w:val="en-CA"/>
        </w:rPr>
        <w:t xml:space="preserve">, </w:t>
      </w:r>
      <w:r w:rsidRPr="00425ED8">
        <w:rPr>
          <w:b/>
          <w:lang w:val="en-CA"/>
        </w:rPr>
        <w:t>2</w:t>
      </w:r>
      <w:r w:rsidRPr="00425ED8">
        <w:rPr>
          <w:b/>
          <w:vertAlign w:val="superscript"/>
          <w:lang w:val="en-CA"/>
        </w:rPr>
        <w:t>rd</w:t>
      </w:r>
      <w:r w:rsidRPr="00425ED8">
        <w:rPr>
          <w:b/>
          <w:lang w:val="en-CA"/>
        </w:rPr>
        <w:t xml:space="preserve"> edition</w:t>
      </w:r>
      <w:r>
        <w:rPr>
          <w:lang w:val="en-CA"/>
        </w:rPr>
        <w:t xml:space="preserve">, </w:t>
      </w:r>
      <w:r w:rsidRPr="00B71526">
        <w:rPr>
          <w:lang w:val="en-CA"/>
        </w:rPr>
        <w:t xml:space="preserve">Berrett-Koehler Publishers, 2007, </w:t>
      </w:r>
      <w:r>
        <w:rPr>
          <w:lang w:val="en-CA"/>
        </w:rPr>
        <w:t>732 pages, ISBN: 978-1576753798</w:t>
      </w:r>
    </w:p>
    <w:p w14:paraId="3E8C2DC7" w14:textId="238E0FB7" w:rsidR="007E1D51" w:rsidRPr="00A94EEE" w:rsidRDefault="00B80D76" w:rsidP="00A94EEE">
      <w:pPr>
        <w:pStyle w:val="Enum"/>
      </w:pPr>
      <w:r w:rsidRPr="009111C8">
        <w:t xml:space="preserve">Inforoute Santé du Canada – Réseau canadien de la gestion du changement : </w:t>
      </w:r>
      <w:r w:rsidRPr="009E7B11">
        <w:rPr>
          <w:b/>
        </w:rPr>
        <w:t>Un cadre et une trousse d’outils pour gérer les changements en santé électronique : personnes et processus</w:t>
      </w:r>
      <w:r w:rsidRPr="009111C8">
        <w:t xml:space="preserve">, </w:t>
      </w:r>
      <w:hyperlink r:id="rId8" w:history="1">
        <w:r w:rsidR="009E7B11" w:rsidRPr="009C5251">
          <w:t>https://www.infoway-inforoute.ca/index.php/fr/progres-au-canada/gestion-du-changement</w:t>
        </w:r>
      </w:hyperlink>
    </w:p>
    <w:sectPr w:rsidR="007E1D51" w:rsidRPr="00A94EEE">
      <w:headerReference w:type="even" r:id="rId9"/>
      <w:footerReference w:type="even" r:id="rId10"/>
      <w:footerReference w:type="default" r:id="rId11"/>
      <w:pgSz w:w="12240" w:h="15840" w:code="1"/>
      <w:pgMar w:top="1440" w:right="1080" w:bottom="1440" w:left="1797" w:header="709" w:footer="82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4A10D" w14:textId="77777777" w:rsidR="00E25D8D" w:rsidRDefault="00E25D8D">
      <w:r>
        <w:separator/>
      </w:r>
    </w:p>
    <w:p w14:paraId="5A73412B" w14:textId="77777777" w:rsidR="00E25D8D" w:rsidRDefault="00E25D8D"/>
  </w:endnote>
  <w:endnote w:type="continuationSeparator" w:id="0">
    <w:p w14:paraId="6B4A4B2E" w14:textId="77777777" w:rsidR="00E25D8D" w:rsidRDefault="00E25D8D">
      <w:r>
        <w:continuationSeparator/>
      </w:r>
    </w:p>
    <w:p w14:paraId="1C3314B5" w14:textId="77777777" w:rsidR="00E25D8D" w:rsidRDefault="00E25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498F0" w14:textId="77777777" w:rsidR="009111C8" w:rsidRDefault="009111C8">
    <w:pPr>
      <w:pStyle w:val="Pieddepage"/>
    </w:pPr>
  </w:p>
  <w:p w14:paraId="296C1D8F" w14:textId="77777777" w:rsidR="009111C8" w:rsidRDefault="009111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B0449" w14:textId="551216EC" w:rsidR="009111C8" w:rsidRDefault="00761090">
    <w:pPr>
      <w:pStyle w:val="Pieddepage"/>
      <w:pBdr>
        <w:top w:val="single" w:sz="4" w:space="1" w:color="auto"/>
      </w:pBdr>
      <w:tabs>
        <w:tab w:val="clear" w:pos="8640"/>
        <w:tab w:val="right" w:pos="9180"/>
      </w:tabs>
      <w:ind w:right="3" w:firstLine="1418"/>
      <w:rPr>
        <w:b/>
      </w:rPr>
    </w:pPr>
    <w:r>
      <w:rPr>
        <w:noProof/>
        <w:sz w:val="20"/>
        <w:lang w:val="fr-FR"/>
      </w:rPr>
      <w:pict w14:anchorId="47F48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45.6pt;margin-top:3.05pt;width:130.5pt;height:27pt;z-index:251657728;mso-wrap-edited:f" wrapcoords="-124 0 -124 21000 21600 21000 21600 0 -124 0" fillcolor="window">
          <v:imagedata r:id="rId1" o:title="logo U de S couleur"/>
        </v:shape>
      </w:pict>
    </w:r>
    <w:r w:rsidR="009111C8">
      <w:rPr>
        <w:b/>
        <w:i/>
      </w:rPr>
      <w:tab/>
      <w:t>INF 786 – Automne 201</w:t>
    </w:r>
    <w:r>
      <w:rPr>
        <w:b/>
        <w:i/>
      </w:rPr>
      <w:t>7</w:t>
    </w:r>
    <w:r w:rsidR="009111C8">
      <w:rPr>
        <w:b/>
        <w:i/>
      </w:rPr>
      <w:tab/>
      <w:t>Page</w:t>
    </w:r>
    <w:r w:rsidR="009111C8">
      <w:t xml:space="preserve"> </w:t>
    </w:r>
    <w:r w:rsidR="009111C8">
      <w:rPr>
        <w:b/>
      </w:rPr>
      <w:fldChar w:fldCharType="begin"/>
    </w:r>
    <w:r w:rsidR="009111C8">
      <w:rPr>
        <w:b/>
      </w:rPr>
      <w:instrText xml:space="preserve"> PAGE </w:instrText>
    </w:r>
    <w:r w:rsidR="009111C8">
      <w:rPr>
        <w:b/>
      </w:rPr>
      <w:fldChar w:fldCharType="separate"/>
    </w:r>
    <w:r>
      <w:rPr>
        <w:b/>
        <w:noProof/>
      </w:rPr>
      <w:t>1</w:t>
    </w:r>
    <w:r w:rsidR="009111C8">
      <w:rPr>
        <w:b/>
      </w:rPr>
      <w:fldChar w:fldCharType="end"/>
    </w:r>
  </w:p>
  <w:p w14:paraId="4710222F" w14:textId="36CC209C" w:rsidR="009111C8" w:rsidRDefault="009111C8">
    <w:pPr>
      <w:pStyle w:val="Pieddepage"/>
      <w:tabs>
        <w:tab w:val="clear" w:pos="8640"/>
        <w:tab w:val="right" w:pos="9180"/>
      </w:tabs>
      <w:ind w:right="3" w:firstLine="1418"/>
      <w:rPr>
        <w:i/>
        <w:iCs/>
      </w:rPr>
    </w:pPr>
    <w:r>
      <w:rPr>
        <w:b/>
        <w:i/>
        <w:iCs/>
      </w:rPr>
      <w:tab/>
    </w:r>
    <w:r w:rsidR="0046452E">
      <w:rPr>
        <w:b/>
        <w:i/>
        <w:iCs/>
      </w:rPr>
      <w:t>T</w:t>
    </w:r>
    <w:r w:rsidR="003E7AAA">
      <w:rPr>
        <w:b/>
        <w:i/>
        <w:iCs/>
      </w:rPr>
      <w:t>ardif</w:t>
    </w:r>
    <w:r w:rsidR="008B376F">
      <w:rPr>
        <w:b/>
        <w:i/>
        <w:iCs/>
      </w:rPr>
      <w:t>,</w:t>
    </w:r>
    <w:r w:rsidR="003E7AAA">
      <w:rPr>
        <w:b/>
        <w:i/>
        <w:iCs/>
      </w:rPr>
      <w:t xml:space="preserve"> Pierre-Martin</w:t>
    </w:r>
    <w:r>
      <w:rPr>
        <w:b/>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693C5" w14:textId="77777777" w:rsidR="00E25D8D" w:rsidRDefault="00E25D8D">
      <w:r>
        <w:separator/>
      </w:r>
    </w:p>
    <w:p w14:paraId="47FFB360" w14:textId="77777777" w:rsidR="00E25D8D" w:rsidRDefault="00E25D8D"/>
  </w:footnote>
  <w:footnote w:type="continuationSeparator" w:id="0">
    <w:p w14:paraId="58DD0C4D" w14:textId="77777777" w:rsidR="00E25D8D" w:rsidRDefault="00E25D8D">
      <w:r>
        <w:continuationSeparator/>
      </w:r>
    </w:p>
    <w:p w14:paraId="332DC821" w14:textId="77777777" w:rsidR="00E25D8D" w:rsidRDefault="00E25D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D0C94" w14:textId="77777777" w:rsidR="009111C8" w:rsidRDefault="009111C8"/>
  <w:p w14:paraId="0A4882B4" w14:textId="77777777" w:rsidR="009111C8" w:rsidRDefault="009111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3934"/>
    <w:multiLevelType w:val="hybridMultilevel"/>
    <w:tmpl w:val="D5B87594"/>
    <w:lvl w:ilvl="0" w:tplc="BB1CC628">
      <w:start w:val="1"/>
      <w:numFmt w:val="bullet"/>
      <w:lvlText w:val=""/>
      <w:lvlJc w:val="left"/>
      <w:pPr>
        <w:tabs>
          <w:tab w:val="num" w:pos="1069"/>
        </w:tabs>
        <w:ind w:left="1069" w:hanging="360"/>
      </w:pPr>
      <w:rPr>
        <w:rFonts w:ascii="Wingdings" w:hAnsi="Wingdings"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16B00C52"/>
    <w:multiLevelType w:val="hybridMultilevel"/>
    <w:tmpl w:val="28C6997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1C8269A0"/>
    <w:multiLevelType w:val="hybridMultilevel"/>
    <w:tmpl w:val="0372ADA8"/>
    <w:lvl w:ilvl="0" w:tplc="1734A970">
      <w:start w:val="1"/>
      <w:numFmt w:val="bullet"/>
      <w:pStyle w:val="Enum"/>
      <w:lvlText w:val=""/>
      <w:lvlJc w:val="left"/>
      <w:pPr>
        <w:tabs>
          <w:tab w:val="num" w:pos="1429"/>
        </w:tabs>
        <w:ind w:left="1429" w:hanging="360"/>
      </w:pPr>
      <w:rPr>
        <w:rFonts w:ascii="Symbol" w:hAnsi="Symbol" w:hint="default"/>
      </w:rPr>
    </w:lvl>
    <w:lvl w:ilvl="1" w:tplc="BAEEB6A4">
      <w:start w:val="1"/>
      <w:numFmt w:val="bullet"/>
      <w:pStyle w:val="Enum2"/>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hint="default"/>
      </w:rPr>
    </w:lvl>
    <w:lvl w:ilvl="3" w:tplc="040C000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A626ECF"/>
    <w:multiLevelType w:val="hybridMultilevel"/>
    <w:tmpl w:val="266A033C"/>
    <w:lvl w:ilvl="0" w:tplc="55284286">
      <w:start w:val="1"/>
      <w:numFmt w:val="decimal"/>
      <w:pStyle w:val="Titre1"/>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B504FCBC">
      <w:start w:val="140"/>
      <w:numFmt w:val="bullet"/>
      <w:lvlText w:val="-"/>
      <w:lvlJc w:val="left"/>
      <w:pPr>
        <w:tabs>
          <w:tab w:val="num" w:pos="2340"/>
        </w:tabs>
        <w:ind w:left="2340" w:hanging="360"/>
      </w:pPr>
      <w:rPr>
        <w:rFonts w:ascii="Times New Roman" w:eastAsia="Times New Roman" w:hAnsi="Times New Roman" w:cs="Times New Roman"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4C7F7434"/>
    <w:multiLevelType w:val="hybridMultilevel"/>
    <w:tmpl w:val="6410445A"/>
    <w:lvl w:ilvl="0" w:tplc="0C0C0001">
      <w:start w:val="1"/>
      <w:numFmt w:val="bullet"/>
      <w:lvlText w:val=""/>
      <w:lvlJc w:val="left"/>
      <w:pPr>
        <w:ind w:left="1380" w:hanging="360"/>
      </w:pPr>
      <w:rPr>
        <w:rFonts w:ascii="Symbol" w:hAnsi="Symbol" w:hint="default"/>
      </w:rPr>
    </w:lvl>
    <w:lvl w:ilvl="1" w:tplc="0C0C0003" w:tentative="1">
      <w:start w:val="1"/>
      <w:numFmt w:val="bullet"/>
      <w:lvlText w:val="o"/>
      <w:lvlJc w:val="left"/>
      <w:pPr>
        <w:ind w:left="2100" w:hanging="360"/>
      </w:pPr>
      <w:rPr>
        <w:rFonts w:ascii="Courier New" w:hAnsi="Courier New" w:cs="Courier New" w:hint="default"/>
      </w:rPr>
    </w:lvl>
    <w:lvl w:ilvl="2" w:tplc="0C0C0005" w:tentative="1">
      <w:start w:val="1"/>
      <w:numFmt w:val="bullet"/>
      <w:lvlText w:val=""/>
      <w:lvlJc w:val="left"/>
      <w:pPr>
        <w:ind w:left="2820" w:hanging="360"/>
      </w:pPr>
      <w:rPr>
        <w:rFonts w:ascii="Wingdings" w:hAnsi="Wingdings" w:hint="default"/>
      </w:rPr>
    </w:lvl>
    <w:lvl w:ilvl="3" w:tplc="0C0C0001" w:tentative="1">
      <w:start w:val="1"/>
      <w:numFmt w:val="bullet"/>
      <w:lvlText w:val=""/>
      <w:lvlJc w:val="left"/>
      <w:pPr>
        <w:ind w:left="3540" w:hanging="360"/>
      </w:pPr>
      <w:rPr>
        <w:rFonts w:ascii="Symbol" w:hAnsi="Symbol" w:hint="default"/>
      </w:rPr>
    </w:lvl>
    <w:lvl w:ilvl="4" w:tplc="0C0C0003" w:tentative="1">
      <w:start w:val="1"/>
      <w:numFmt w:val="bullet"/>
      <w:lvlText w:val="o"/>
      <w:lvlJc w:val="left"/>
      <w:pPr>
        <w:ind w:left="4260" w:hanging="360"/>
      </w:pPr>
      <w:rPr>
        <w:rFonts w:ascii="Courier New" w:hAnsi="Courier New" w:cs="Courier New" w:hint="default"/>
      </w:rPr>
    </w:lvl>
    <w:lvl w:ilvl="5" w:tplc="0C0C0005" w:tentative="1">
      <w:start w:val="1"/>
      <w:numFmt w:val="bullet"/>
      <w:lvlText w:val=""/>
      <w:lvlJc w:val="left"/>
      <w:pPr>
        <w:ind w:left="4980" w:hanging="360"/>
      </w:pPr>
      <w:rPr>
        <w:rFonts w:ascii="Wingdings" w:hAnsi="Wingdings" w:hint="default"/>
      </w:rPr>
    </w:lvl>
    <w:lvl w:ilvl="6" w:tplc="0C0C0001" w:tentative="1">
      <w:start w:val="1"/>
      <w:numFmt w:val="bullet"/>
      <w:lvlText w:val=""/>
      <w:lvlJc w:val="left"/>
      <w:pPr>
        <w:ind w:left="5700" w:hanging="360"/>
      </w:pPr>
      <w:rPr>
        <w:rFonts w:ascii="Symbol" w:hAnsi="Symbol" w:hint="default"/>
      </w:rPr>
    </w:lvl>
    <w:lvl w:ilvl="7" w:tplc="0C0C0003" w:tentative="1">
      <w:start w:val="1"/>
      <w:numFmt w:val="bullet"/>
      <w:lvlText w:val="o"/>
      <w:lvlJc w:val="left"/>
      <w:pPr>
        <w:ind w:left="6420" w:hanging="360"/>
      </w:pPr>
      <w:rPr>
        <w:rFonts w:ascii="Courier New" w:hAnsi="Courier New" w:cs="Courier New" w:hint="default"/>
      </w:rPr>
    </w:lvl>
    <w:lvl w:ilvl="8" w:tplc="0C0C0005" w:tentative="1">
      <w:start w:val="1"/>
      <w:numFmt w:val="bullet"/>
      <w:lvlText w:val=""/>
      <w:lvlJc w:val="left"/>
      <w:pPr>
        <w:ind w:left="7140" w:hanging="360"/>
      </w:pPr>
      <w:rPr>
        <w:rFonts w:ascii="Wingdings" w:hAnsi="Wingdings" w:hint="default"/>
      </w:rPr>
    </w:lvl>
  </w:abstractNum>
  <w:abstractNum w:abstractNumId="5" w15:restartNumberingAfterBreak="0">
    <w:nsid w:val="5203170D"/>
    <w:multiLevelType w:val="hybridMultilevel"/>
    <w:tmpl w:val="0A8ABA1A"/>
    <w:lvl w:ilvl="0" w:tplc="1BA60C02">
      <w:start w:val="1"/>
      <w:numFmt w:val="bullet"/>
      <w:lvlText w:val="●"/>
      <w:lvlJc w:val="left"/>
      <w:pPr>
        <w:tabs>
          <w:tab w:val="num" w:pos="720"/>
        </w:tabs>
        <w:ind w:left="720" w:hanging="360"/>
      </w:pPr>
      <w:rPr>
        <w:rFonts w:ascii="Times New Roman" w:hAnsi="Times New Roman" w:hint="default"/>
      </w:rPr>
    </w:lvl>
    <w:lvl w:ilvl="1" w:tplc="EBACB62E" w:tentative="1">
      <w:start w:val="1"/>
      <w:numFmt w:val="bullet"/>
      <w:lvlText w:val="●"/>
      <w:lvlJc w:val="left"/>
      <w:pPr>
        <w:tabs>
          <w:tab w:val="num" w:pos="1440"/>
        </w:tabs>
        <w:ind w:left="1440" w:hanging="360"/>
      </w:pPr>
      <w:rPr>
        <w:rFonts w:ascii="Times New Roman" w:hAnsi="Times New Roman" w:hint="default"/>
      </w:rPr>
    </w:lvl>
    <w:lvl w:ilvl="2" w:tplc="B86ECB50" w:tentative="1">
      <w:start w:val="1"/>
      <w:numFmt w:val="bullet"/>
      <w:lvlText w:val="●"/>
      <w:lvlJc w:val="left"/>
      <w:pPr>
        <w:tabs>
          <w:tab w:val="num" w:pos="2160"/>
        </w:tabs>
        <w:ind w:left="2160" w:hanging="360"/>
      </w:pPr>
      <w:rPr>
        <w:rFonts w:ascii="Times New Roman" w:hAnsi="Times New Roman" w:hint="default"/>
      </w:rPr>
    </w:lvl>
    <w:lvl w:ilvl="3" w:tplc="52F03482" w:tentative="1">
      <w:start w:val="1"/>
      <w:numFmt w:val="bullet"/>
      <w:lvlText w:val="●"/>
      <w:lvlJc w:val="left"/>
      <w:pPr>
        <w:tabs>
          <w:tab w:val="num" w:pos="2880"/>
        </w:tabs>
        <w:ind w:left="2880" w:hanging="360"/>
      </w:pPr>
      <w:rPr>
        <w:rFonts w:ascii="Times New Roman" w:hAnsi="Times New Roman" w:hint="default"/>
      </w:rPr>
    </w:lvl>
    <w:lvl w:ilvl="4" w:tplc="AEC652CE" w:tentative="1">
      <w:start w:val="1"/>
      <w:numFmt w:val="bullet"/>
      <w:lvlText w:val="●"/>
      <w:lvlJc w:val="left"/>
      <w:pPr>
        <w:tabs>
          <w:tab w:val="num" w:pos="3600"/>
        </w:tabs>
        <w:ind w:left="3600" w:hanging="360"/>
      </w:pPr>
      <w:rPr>
        <w:rFonts w:ascii="Times New Roman" w:hAnsi="Times New Roman" w:hint="default"/>
      </w:rPr>
    </w:lvl>
    <w:lvl w:ilvl="5" w:tplc="034CD79C" w:tentative="1">
      <w:start w:val="1"/>
      <w:numFmt w:val="bullet"/>
      <w:lvlText w:val="●"/>
      <w:lvlJc w:val="left"/>
      <w:pPr>
        <w:tabs>
          <w:tab w:val="num" w:pos="4320"/>
        </w:tabs>
        <w:ind w:left="4320" w:hanging="360"/>
      </w:pPr>
      <w:rPr>
        <w:rFonts w:ascii="Times New Roman" w:hAnsi="Times New Roman" w:hint="default"/>
      </w:rPr>
    </w:lvl>
    <w:lvl w:ilvl="6" w:tplc="217021C8" w:tentative="1">
      <w:start w:val="1"/>
      <w:numFmt w:val="bullet"/>
      <w:lvlText w:val="●"/>
      <w:lvlJc w:val="left"/>
      <w:pPr>
        <w:tabs>
          <w:tab w:val="num" w:pos="5040"/>
        </w:tabs>
        <w:ind w:left="5040" w:hanging="360"/>
      </w:pPr>
      <w:rPr>
        <w:rFonts w:ascii="Times New Roman" w:hAnsi="Times New Roman" w:hint="default"/>
      </w:rPr>
    </w:lvl>
    <w:lvl w:ilvl="7" w:tplc="4A96EB20" w:tentative="1">
      <w:start w:val="1"/>
      <w:numFmt w:val="bullet"/>
      <w:lvlText w:val="●"/>
      <w:lvlJc w:val="left"/>
      <w:pPr>
        <w:tabs>
          <w:tab w:val="num" w:pos="5760"/>
        </w:tabs>
        <w:ind w:left="5760" w:hanging="360"/>
      </w:pPr>
      <w:rPr>
        <w:rFonts w:ascii="Times New Roman" w:hAnsi="Times New Roman" w:hint="default"/>
      </w:rPr>
    </w:lvl>
    <w:lvl w:ilvl="8" w:tplc="BE38EF8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2"/>
  </w:num>
  <w:num w:numId="4">
    <w:abstractNumId w:val="4"/>
  </w:num>
  <w:num w:numId="5">
    <w:abstractNumId w:val="2"/>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7D59"/>
    <w:rsid w:val="00002061"/>
    <w:rsid w:val="00003857"/>
    <w:rsid w:val="00015487"/>
    <w:rsid w:val="0002537A"/>
    <w:rsid w:val="00041CC6"/>
    <w:rsid w:val="000428D3"/>
    <w:rsid w:val="00043ADB"/>
    <w:rsid w:val="00045454"/>
    <w:rsid w:val="000459AA"/>
    <w:rsid w:val="000468DA"/>
    <w:rsid w:val="000A1F73"/>
    <w:rsid w:val="000A6731"/>
    <w:rsid w:val="000B784D"/>
    <w:rsid w:val="000D3BDD"/>
    <w:rsid w:val="000F254A"/>
    <w:rsid w:val="001171F5"/>
    <w:rsid w:val="0011754C"/>
    <w:rsid w:val="001177E7"/>
    <w:rsid w:val="0013118A"/>
    <w:rsid w:val="00141E28"/>
    <w:rsid w:val="00143A2E"/>
    <w:rsid w:val="00144326"/>
    <w:rsid w:val="001519D9"/>
    <w:rsid w:val="00156D35"/>
    <w:rsid w:val="00161321"/>
    <w:rsid w:val="00167322"/>
    <w:rsid w:val="00194716"/>
    <w:rsid w:val="001B4B84"/>
    <w:rsid w:val="001C55EE"/>
    <w:rsid w:val="001D559A"/>
    <w:rsid w:val="001E435B"/>
    <w:rsid w:val="001E7672"/>
    <w:rsid w:val="001F1B6E"/>
    <w:rsid w:val="001F407D"/>
    <w:rsid w:val="00224440"/>
    <w:rsid w:val="00232069"/>
    <w:rsid w:val="00240260"/>
    <w:rsid w:val="0025450A"/>
    <w:rsid w:val="00272A44"/>
    <w:rsid w:val="00274478"/>
    <w:rsid w:val="002848F3"/>
    <w:rsid w:val="00296F78"/>
    <w:rsid w:val="002C09C6"/>
    <w:rsid w:val="002C71BB"/>
    <w:rsid w:val="002D5400"/>
    <w:rsid w:val="002E3235"/>
    <w:rsid w:val="002E53A4"/>
    <w:rsid w:val="002E55F3"/>
    <w:rsid w:val="00313D20"/>
    <w:rsid w:val="00323AC4"/>
    <w:rsid w:val="003305B6"/>
    <w:rsid w:val="00334ACF"/>
    <w:rsid w:val="003360E8"/>
    <w:rsid w:val="00362EE2"/>
    <w:rsid w:val="00364425"/>
    <w:rsid w:val="00392BA7"/>
    <w:rsid w:val="00393935"/>
    <w:rsid w:val="003970BC"/>
    <w:rsid w:val="003974D7"/>
    <w:rsid w:val="003A0A43"/>
    <w:rsid w:val="003A20B4"/>
    <w:rsid w:val="003A6494"/>
    <w:rsid w:val="003B3FA5"/>
    <w:rsid w:val="003C3A41"/>
    <w:rsid w:val="003E7AAA"/>
    <w:rsid w:val="004011BB"/>
    <w:rsid w:val="00420320"/>
    <w:rsid w:val="00425ED8"/>
    <w:rsid w:val="00427440"/>
    <w:rsid w:val="004300DB"/>
    <w:rsid w:val="00452910"/>
    <w:rsid w:val="0046452E"/>
    <w:rsid w:val="00464A44"/>
    <w:rsid w:val="00466A5A"/>
    <w:rsid w:val="00467A1C"/>
    <w:rsid w:val="00481BEB"/>
    <w:rsid w:val="00490A85"/>
    <w:rsid w:val="004C3AE9"/>
    <w:rsid w:val="004C50A3"/>
    <w:rsid w:val="004C5C5D"/>
    <w:rsid w:val="004D1D81"/>
    <w:rsid w:val="004F1B2D"/>
    <w:rsid w:val="005054BB"/>
    <w:rsid w:val="0050617B"/>
    <w:rsid w:val="005337A7"/>
    <w:rsid w:val="0053445F"/>
    <w:rsid w:val="00544405"/>
    <w:rsid w:val="005735DE"/>
    <w:rsid w:val="00590EE7"/>
    <w:rsid w:val="005A6D4D"/>
    <w:rsid w:val="005B426D"/>
    <w:rsid w:val="00606FC9"/>
    <w:rsid w:val="0061140E"/>
    <w:rsid w:val="0062064F"/>
    <w:rsid w:val="00622AA1"/>
    <w:rsid w:val="00623BD9"/>
    <w:rsid w:val="006259B3"/>
    <w:rsid w:val="00642506"/>
    <w:rsid w:val="00665818"/>
    <w:rsid w:val="006745B3"/>
    <w:rsid w:val="00674FEB"/>
    <w:rsid w:val="00680E09"/>
    <w:rsid w:val="0068459F"/>
    <w:rsid w:val="006A2434"/>
    <w:rsid w:val="006B4275"/>
    <w:rsid w:val="006D004F"/>
    <w:rsid w:val="006D5842"/>
    <w:rsid w:val="006E68DD"/>
    <w:rsid w:val="006F3757"/>
    <w:rsid w:val="00713F65"/>
    <w:rsid w:val="0071698F"/>
    <w:rsid w:val="00727FF7"/>
    <w:rsid w:val="00732C39"/>
    <w:rsid w:val="0074649A"/>
    <w:rsid w:val="0075514D"/>
    <w:rsid w:val="00755E25"/>
    <w:rsid w:val="007569BF"/>
    <w:rsid w:val="00761090"/>
    <w:rsid w:val="00783498"/>
    <w:rsid w:val="0079094E"/>
    <w:rsid w:val="007E1D51"/>
    <w:rsid w:val="007E3A00"/>
    <w:rsid w:val="007E686F"/>
    <w:rsid w:val="007F1B45"/>
    <w:rsid w:val="00804D0C"/>
    <w:rsid w:val="00807D68"/>
    <w:rsid w:val="008115D3"/>
    <w:rsid w:val="008208F3"/>
    <w:rsid w:val="00826A11"/>
    <w:rsid w:val="0083778F"/>
    <w:rsid w:val="00840EEC"/>
    <w:rsid w:val="00870D2E"/>
    <w:rsid w:val="00875073"/>
    <w:rsid w:val="00877663"/>
    <w:rsid w:val="008A3E5B"/>
    <w:rsid w:val="008B376F"/>
    <w:rsid w:val="008C54D8"/>
    <w:rsid w:val="008F5D6E"/>
    <w:rsid w:val="009111C8"/>
    <w:rsid w:val="00936A10"/>
    <w:rsid w:val="00950378"/>
    <w:rsid w:val="009A17CB"/>
    <w:rsid w:val="009A3E59"/>
    <w:rsid w:val="009B57CA"/>
    <w:rsid w:val="009B5B3A"/>
    <w:rsid w:val="009B6E72"/>
    <w:rsid w:val="009C7D59"/>
    <w:rsid w:val="009D170C"/>
    <w:rsid w:val="009D1BDF"/>
    <w:rsid w:val="009D5836"/>
    <w:rsid w:val="009D75F5"/>
    <w:rsid w:val="009E163B"/>
    <w:rsid w:val="009E7B11"/>
    <w:rsid w:val="00A07C68"/>
    <w:rsid w:val="00A233E3"/>
    <w:rsid w:val="00A33537"/>
    <w:rsid w:val="00A368F2"/>
    <w:rsid w:val="00A45998"/>
    <w:rsid w:val="00A74A01"/>
    <w:rsid w:val="00A77B5E"/>
    <w:rsid w:val="00A94EEE"/>
    <w:rsid w:val="00AF4B12"/>
    <w:rsid w:val="00AF51EC"/>
    <w:rsid w:val="00B126BA"/>
    <w:rsid w:val="00B13E0D"/>
    <w:rsid w:val="00B25017"/>
    <w:rsid w:val="00B37CC0"/>
    <w:rsid w:val="00B447CA"/>
    <w:rsid w:val="00B54C1B"/>
    <w:rsid w:val="00B61F98"/>
    <w:rsid w:val="00B71526"/>
    <w:rsid w:val="00B715F2"/>
    <w:rsid w:val="00B80D76"/>
    <w:rsid w:val="00B87BF6"/>
    <w:rsid w:val="00B94FE7"/>
    <w:rsid w:val="00B97155"/>
    <w:rsid w:val="00BA6E40"/>
    <w:rsid w:val="00BE6B82"/>
    <w:rsid w:val="00C27C63"/>
    <w:rsid w:val="00C73F70"/>
    <w:rsid w:val="00C766F6"/>
    <w:rsid w:val="00C8065E"/>
    <w:rsid w:val="00CA327D"/>
    <w:rsid w:val="00CA3D57"/>
    <w:rsid w:val="00CD4138"/>
    <w:rsid w:val="00CD75BF"/>
    <w:rsid w:val="00CE14B7"/>
    <w:rsid w:val="00D013F3"/>
    <w:rsid w:val="00D35928"/>
    <w:rsid w:val="00D37522"/>
    <w:rsid w:val="00D45936"/>
    <w:rsid w:val="00D97083"/>
    <w:rsid w:val="00DA4878"/>
    <w:rsid w:val="00DB6CEE"/>
    <w:rsid w:val="00DC37E2"/>
    <w:rsid w:val="00DE6349"/>
    <w:rsid w:val="00E063A2"/>
    <w:rsid w:val="00E07D0E"/>
    <w:rsid w:val="00E12712"/>
    <w:rsid w:val="00E13D25"/>
    <w:rsid w:val="00E20311"/>
    <w:rsid w:val="00E25D8D"/>
    <w:rsid w:val="00E265F8"/>
    <w:rsid w:val="00E32E4B"/>
    <w:rsid w:val="00E3320D"/>
    <w:rsid w:val="00EB10BE"/>
    <w:rsid w:val="00EF333E"/>
    <w:rsid w:val="00F356A2"/>
    <w:rsid w:val="00F57D14"/>
    <w:rsid w:val="00F77ECB"/>
    <w:rsid w:val="00FB29C1"/>
    <w:rsid w:val="00FB30DE"/>
    <w:rsid w:val="00FB4CC6"/>
    <w:rsid w:val="00FE7C3F"/>
    <w:rsid w:val="00FF4D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7D86FB5A"/>
  <w15:chartTrackingRefBased/>
  <w15:docId w15:val="{539AF97B-A74B-4621-BDEA-9E0810CB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3">
    <w:lsdException w:name="Normal" w:qFormat="1"/>
    <w:lsdException w:name="heading 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81BEB"/>
    <w:rPr>
      <w:rFonts w:ascii="Arial" w:hAnsi="Arial"/>
      <w:sz w:val="22"/>
      <w:szCs w:val="24"/>
      <w:lang w:eastAsia="fr-FR"/>
    </w:rPr>
  </w:style>
  <w:style w:type="paragraph" w:styleId="Titre1">
    <w:name w:val="heading 1"/>
    <w:basedOn w:val="Normal"/>
    <w:next w:val="Normal"/>
    <w:qFormat/>
    <w:rsid w:val="00481BEB"/>
    <w:pPr>
      <w:keepNext/>
      <w:keepLines/>
      <w:numPr>
        <w:numId w:val="1"/>
      </w:numPr>
      <w:tabs>
        <w:tab w:val="clear" w:pos="720"/>
      </w:tabs>
      <w:spacing w:before="240"/>
      <w:ind w:left="0" w:firstLine="0"/>
      <w:jc w:val="both"/>
      <w:outlineLvl w:val="0"/>
    </w:pPr>
    <w:rPr>
      <w:b/>
      <w:bCs/>
      <w:sz w:val="28"/>
    </w:rPr>
  </w:style>
  <w:style w:type="paragraph" w:styleId="Titre2">
    <w:name w:val="heading 2"/>
    <w:basedOn w:val="Normal"/>
    <w:next w:val="Normal"/>
    <w:pPr>
      <w:keepNext/>
      <w:jc w:val="center"/>
      <w:outlineLvl w:val="1"/>
    </w:pPr>
    <w:rPr>
      <w:b/>
      <w:bCs/>
    </w:rPr>
  </w:style>
  <w:style w:type="paragraph" w:styleId="Titre3">
    <w:name w:val="heading 3"/>
    <w:basedOn w:val="Normal"/>
    <w:next w:val="Normal"/>
    <w:pPr>
      <w:keepNext/>
      <w:jc w:val="center"/>
      <w:outlineLvl w:val="2"/>
    </w:pPr>
    <w:rPr>
      <w:b/>
      <w:bCs/>
      <w:sz w:val="44"/>
    </w:rPr>
  </w:style>
  <w:style w:type="paragraph" w:styleId="Titre4">
    <w:name w:val="heading 4"/>
    <w:basedOn w:val="Normal"/>
    <w:next w:val="Normal"/>
    <w:pPr>
      <w:keepNext/>
      <w:outlineLvl w:val="3"/>
    </w:pPr>
    <w:rPr>
      <w:u w:val="single"/>
    </w:rPr>
  </w:style>
  <w:style w:type="paragraph" w:styleId="Titre5">
    <w:name w:val="heading 5"/>
    <w:basedOn w:val="Normal"/>
    <w:next w:val="Normal"/>
    <w:pPr>
      <w:keepNext/>
      <w:jc w:val="right"/>
      <w:outlineLvl w:val="4"/>
    </w:pPr>
    <w:rPr>
      <w:caps/>
      <w:sz w:val="40"/>
    </w:rPr>
  </w:style>
  <w:style w:type="paragraph" w:styleId="Titre6">
    <w:name w:val="heading 6"/>
    <w:basedOn w:val="Normal"/>
    <w:next w:val="Normal"/>
    <w:pPr>
      <w:keepNext/>
      <w:jc w:val="both"/>
      <w:outlineLvl w:val="5"/>
    </w:pPr>
    <w:rPr>
      <w:u w:val="single"/>
    </w:rPr>
  </w:style>
  <w:style w:type="paragraph" w:styleId="Titre7">
    <w:name w:val="heading 7"/>
    <w:basedOn w:val="Normal"/>
    <w:next w:val="Normal"/>
    <w:pPr>
      <w:keepNext/>
      <w:jc w:val="right"/>
      <w:outlineLvl w:val="6"/>
    </w:pPr>
    <w:rPr>
      <w:sz w:val="48"/>
    </w:rPr>
  </w:style>
  <w:style w:type="paragraph" w:styleId="Titre8">
    <w:name w:val="heading 8"/>
    <w:basedOn w:val="Normal"/>
    <w:next w:val="Normal"/>
    <w:pPr>
      <w:spacing w:before="240" w:after="60"/>
      <w:outlineLvl w:val="7"/>
    </w:pPr>
    <w:rPr>
      <w:i/>
      <w:iCs/>
    </w:rPr>
  </w:style>
  <w:style w:type="paragraph" w:styleId="Titre9">
    <w:name w:val="heading 9"/>
    <w:basedOn w:val="Normal"/>
    <w:next w:val="Normal"/>
    <w:p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ction">
    <w:name w:val="Section"/>
    <w:basedOn w:val="Normal"/>
    <w:next w:val="Texte"/>
    <w:qFormat/>
    <w:rsid w:val="00481BEB"/>
    <w:pPr>
      <w:ind w:left="2833" w:hanging="2124"/>
    </w:pPr>
    <w:rPr>
      <w:b/>
    </w:rPr>
  </w:style>
  <w:style w:type="paragraph" w:customStyle="1" w:styleId="Texte">
    <w:name w:val="Texte"/>
    <w:basedOn w:val="Normal"/>
    <w:qFormat/>
    <w:rsid w:val="00224440"/>
    <w:pPr>
      <w:ind w:left="709"/>
      <w:jc w:val="both"/>
    </w:pPr>
  </w:style>
  <w:style w:type="paragraph" w:styleId="Pieddepage">
    <w:name w:val="footer"/>
    <w:basedOn w:val="Normal"/>
    <w:pPr>
      <w:tabs>
        <w:tab w:val="center" w:pos="4320"/>
        <w:tab w:val="right" w:pos="8640"/>
      </w:tabs>
    </w:pPr>
  </w:style>
  <w:style w:type="paragraph" w:styleId="En-tte">
    <w:name w:val="header"/>
    <w:basedOn w:val="Normal"/>
    <w:link w:val="En-tteCar"/>
    <w:rsid w:val="00B87BF6"/>
    <w:pPr>
      <w:tabs>
        <w:tab w:val="center" w:pos="4320"/>
        <w:tab w:val="right" w:pos="8640"/>
      </w:tabs>
    </w:pPr>
  </w:style>
  <w:style w:type="character" w:customStyle="1" w:styleId="En-tteCar">
    <w:name w:val="En-tête Car"/>
    <w:link w:val="En-tte"/>
    <w:rsid w:val="00B87BF6"/>
    <w:rPr>
      <w:rFonts w:ascii="Arial" w:hAnsi="Arial"/>
      <w:sz w:val="22"/>
      <w:szCs w:val="24"/>
      <w:lang w:eastAsia="fr-FR"/>
    </w:rPr>
  </w:style>
  <w:style w:type="character" w:styleId="Titredulivre">
    <w:name w:val="Book Title"/>
    <w:uiPriority w:val="33"/>
    <w:rsid w:val="00D37522"/>
    <w:rPr>
      <w:b/>
      <w:bCs/>
      <w:i/>
      <w:iCs/>
      <w:spacing w:val="5"/>
    </w:rPr>
  </w:style>
  <w:style w:type="paragraph" w:customStyle="1" w:styleId="Enum">
    <w:name w:val="Enum"/>
    <w:basedOn w:val="Normal"/>
    <w:qFormat/>
    <w:rsid w:val="008F5D6E"/>
    <w:pPr>
      <w:numPr>
        <w:numId w:val="3"/>
      </w:numPr>
      <w:jc w:val="both"/>
    </w:pPr>
  </w:style>
  <w:style w:type="paragraph" w:customStyle="1" w:styleId="Sance">
    <w:name w:val="Séance"/>
    <w:basedOn w:val="Normal"/>
    <w:qFormat/>
    <w:rsid w:val="00481BEB"/>
    <w:pPr>
      <w:keepNext/>
      <w:keepLines/>
      <w:spacing w:before="120"/>
      <w:ind w:left="709"/>
      <w:jc w:val="both"/>
    </w:pPr>
    <w:rPr>
      <w:b/>
    </w:rPr>
  </w:style>
  <w:style w:type="paragraph" w:customStyle="1" w:styleId="Enum2">
    <w:name w:val="Enum2"/>
    <w:basedOn w:val="Enum"/>
    <w:qFormat/>
    <w:rsid w:val="007F1B45"/>
    <w:pPr>
      <w:numPr>
        <w:ilvl w:val="1"/>
      </w:numPr>
    </w:pPr>
  </w:style>
  <w:style w:type="paragraph" w:styleId="Retraitcorpsdetexte3">
    <w:name w:val="Body Text Indent 3"/>
    <w:basedOn w:val="Normal"/>
    <w:link w:val="Retraitcorpsdetexte3Car"/>
    <w:rsid w:val="009D75F5"/>
    <w:pPr>
      <w:ind w:left="270"/>
    </w:pPr>
    <w:rPr>
      <w:rFonts w:cs="Arial"/>
      <w:szCs w:val="20"/>
    </w:rPr>
  </w:style>
  <w:style w:type="character" w:customStyle="1" w:styleId="Retraitcorpsdetexte3Car">
    <w:name w:val="Retrait corps de texte 3 Car"/>
    <w:link w:val="Retraitcorpsdetexte3"/>
    <w:rsid w:val="009D75F5"/>
    <w:rPr>
      <w:rFonts w:ascii="Arial" w:hAnsi="Arial" w:cs="Arial"/>
      <w:sz w:val="22"/>
      <w:lang w:eastAsia="fr-FR"/>
    </w:rPr>
  </w:style>
  <w:style w:type="paragraph" w:customStyle="1" w:styleId="Objectif">
    <w:name w:val="Objectif"/>
    <w:basedOn w:val="Enum"/>
    <w:qFormat/>
    <w:rsid w:val="003A0A43"/>
    <w:pPr>
      <w:numPr>
        <w:numId w:val="0"/>
      </w:numPr>
      <w:tabs>
        <w:tab w:val="left" w:pos="1560"/>
      </w:tabs>
      <w:ind w:left="1560"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3395">
      <w:bodyDiv w:val="1"/>
      <w:marLeft w:val="0"/>
      <w:marRight w:val="0"/>
      <w:marTop w:val="0"/>
      <w:marBottom w:val="0"/>
      <w:divBdr>
        <w:top w:val="none" w:sz="0" w:space="0" w:color="auto"/>
        <w:left w:val="none" w:sz="0" w:space="0" w:color="auto"/>
        <w:bottom w:val="none" w:sz="0" w:space="0" w:color="auto"/>
        <w:right w:val="none" w:sz="0" w:space="0" w:color="auto"/>
      </w:divBdr>
    </w:div>
    <w:div w:id="533882500">
      <w:bodyDiv w:val="1"/>
      <w:marLeft w:val="0"/>
      <w:marRight w:val="0"/>
      <w:marTop w:val="0"/>
      <w:marBottom w:val="0"/>
      <w:divBdr>
        <w:top w:val="none" w:sz="0" w:space="0" w:color="auto"/>
        <w:left w:val="none" w:sz="0" w:space="0" w:color="auto"/>
        <w:bottom w:val="none" w:sz="0" w:space="0" w:color="auto"/>
        <w:right w:val="none" w:sz="0" w:space="0" w:color="auto"/>
      </w:divBdr>
    </w:div>
    <w:div w:id="1019550631">
      <w:bodyDiv w:val="1"/>
      <w:marLeft w:val="0"/>
      <w:marRight w:val="0"/>
      <w:marTop w:val="0"/>
      <w:marBottom w:val="0"/>
      <w:divBdr>
        <w:top w:val="none" w:sz="0" w:space="0" w:color="auto"/>
        <w:left w:val="none" w:sz="0" w:space="0" w:color="auto"/>
        <w:bottom w:val="none" w:sz="0" w:space="0" w:color="auto"/>
        <w:right w:val="none" w:sz="0" w:space="0" w:color="auto"/>
      </w:divBdr>
      <w:divsChild>
        <w:div w:id="1399136667">
          <w:marLeft w:val="547"/>
          <w:marRight w:val="0"/>
          <w:marTop w:val="115"/>
          <w:marBottom w:val="0"/>
          <w:divBdr>
            <w:top w:val="none" w:sz="0" w:space="0" w:color="auto"/>
            <w:left w:val="none" w:sz="0" w:space="0" w:color="auto"/>
            <w:bottom w:val="none" w:sz="0" w:space="0" w:color="auto"/>
            <w:right w:val="none" w:sz="0" w:space="0" w:color="auto"/>
          </w:divBdr>
        </w:div>
      </w:divsChild>
    </w:div>
    <w:div w:id="1368022439">
      <w:bodyDiv w:val="1"/>
      <w:marLeft w:val="0"/>
      <w:marRight w:val="0"/>
      <w:marTop w:val="0"/>
      <w:marBottom w:val="0"/>
      <w:divBdr>
        <w:top w:val="none" w:sz="0" w:space="0" w:color="auto"/>
        <w:left w:val="none" w:sz="0" w:space="0" w:color="auto"/>
        <w:bottom w:val="none" w:sz="0" w:space="0" w:color="auto"/>
        <w:right w:val="none" w:sz="0" w:space="0" w:color="auto"/>
      </w:divBdr>
      <w:divsChild>
        <w:div w:id="48694464">
          <w:marLeft w:val="1800"/>
          <w:marRight w:val="0"/>
          <w:marTop w:val="67"/>
          <w:marBottom w:val="0"/>
          <w:divBdr>
            <w:top w:val="none" w:sz="0" w:space="0" w:color="auto"/>
            <w:left w:val="none" w:sz="0" w:space="0" w:color="auto"/>
            <w:bottom w:val="none" w:sz="0" w:space="0" w:color="auto"/>
            <w:right w:val="none" w:sz="0" w:space="0" w:color="auto"/>
          </w:divBdr>
        </w:div>
        <w:div w:id="336269553">
          <w:marLeft w:val="2520"/>
          <w:marRight w:val="0"/>
          <w:marTop w:val="58"/>
          <w:marBottom w:val="0"/>
          <w:divBdr>
            <w:top w:val="none" w:sz="0" w:space="0" w:color="auto"/>
            <w:left w:val="none" w:sz="0" w:space="0" w:color="auto"/>
            <w:bottom w:val="none" w:sz="0" w:space="0" w:color="auto"/>
            <w:right w:val="none" w:sz="0" w:space="0" w:color="auto"/>
          </w:divBdr>
        </w:div>
        <w:div w:id="999232095">
          <w:marLeft w:val="1800"/>
          <w:marRight w:val="0"/>
          <w:marTop w:val="67"/>
          <w:marBottom w:val="0"/>
          <w:divBdr>
            <w:top w:val="none" w:sz="0" w:space="0" w:color="auto"/>
            <w:left w:val="none" w:sz="0" w:space="0" w:color="auto"/>
            <w:bottom w:val="none" w:sz="0" w:space="0" w:color="auto"/>
            <w:right w:val="none" w:sz="0" w:space="0" w:color="auto"/>
          </w:divBdr>
        </w:div>
        <w:div w:id="1202672319">
          <w:marLeft w:val="2520"/>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foway-inforoute.ca/index.php/fr/progres-au-canada/gestion-du-chan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5</Pages>
  <Words>1331</Words>
  <Characters>7323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UNIVERSITÉ DE SHERBROOKE - LONGUEUIL</vt:lpstr>
    </vt:vector>
  </TitlesOfParts>
  <Company>Toshiba</Company>
  <LinksUpToDate>false</LinksUpToDate>
  <CharactersWithSpaces>8637</CharactersWithSpaces>
  <SharedDoc>false</SharedDoc>
  <HLinks>
    <vt:vector size="30" baseType="variant">
      <vt:variant>
        <vt:i4>5111896</vt:i4>
      </vt:variant>
      <vt:variant>
        <vt:i4>24</vt:i4>
      </vt:variant>
      <vt:variant>
        <vt:i4>0</vt:i4>
      </vt:variant>
      <vt:variant>
        <vt:i4>5</vt:i4>
      </vt:variant>
      <vt:variant>
        <vt:lpwstr>http://www.telescope.enap.ca/Telescope/docs/Index/Vol_14_no_3/Telv14n3_changement.pdf</vt:lpwstr>
      </vt:variant>
      <vt:variant>
        <vt:lpwstr/>
      </vt:variant>
      <vt:variant>
        <vt:i4>524303</vt:i4>
      </vt:variant>
      <vt:variant>
        <vt:i4>21</vt:i4>
      </vt:variant>
      <vt:variant>
        <vt:i4>0</vt:i4>
      </vt:variant>
      <vt:variant>
        <vt:i4>5</vt:i4>
      </vt:variant>
      <vt:variant>
        <vt:lpwstr>http://www.cairn.info.ezproxy.usherbrooke.ca/revue-gestion-2009-4.htm</vt:lpwstr>
      </vt:variant>
      <vt:variant>
        <vt:lpwstr/>
      </vt:variant>
      <vt:variant>
        <vt:i4>4325407</vt:i4>
      </vt:variant>
      <vt:variant>
        <vt:i4>18</vt:i4>
      </vt:variant>
      <vt:variant>
        <vt:i4>0</vt:i4>
      </vt:variant>
      <vt:variant>
        <vt:i4>5</vt:i4>
      </vt:variant>
      <vt:variant>
        <vt:lpwstr>https://www.infoway-inforoute.ca/index.php/fr/progres-au-canada/gestion-du-changement</vt:lpwstr>
      </vt:variant>
      <vt:variant>
        <vt:lpwstr/>
      </vt:variant>
      <vt:variant>
        <vt:i4>4391035</vt:i4>
      </vt:variant>
      <vt:variant>
        <vt:i4>15</vt:i4>
      </vt:variant>
      <vt:variant>
        <vt:i4>0</vt:i4>
      </vt:variant>
      <vt:variant>
        <vt:i4>5</vt:i4>
      </vt:variant>
      <vt:variant>
        <vt:lpwstr>mailto:Pierre-Martin.Tardif@USherbrooke.ca</vt:lpwstr>
      </vt:variant>
      <vt:variant>
        <vt:lpwstr/>
      </vt:variant>
      <vt:variant>
        <vt:i4>1310761</vt:i4>
      </vt:variant>
      <vt:variant>
        <vt:i4>12</vt:i4>
      </vt:variant>
      <vt:variant>
        <vt:i4>0</vt:i4>
      </vt:variant>
      <vt:variant>
        <vt:i4>5</vt:i4>
      </vt:variant>
      <vt:variant>
        <vt:lpwstr>mailto:Christine.M.Beaulieu@USherbrooke.ca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SHERBROOKE - LONGUEUIL</dc:title>
  <dc:subject/>
  <dc:creator>Jean Francois Leduc</dc:creator>
  <cp:keywords/>
  <cp:lastModifiedBy>Pierre-Martin Tardif</cp:lastModifiedBy>
  <cp:revision>13</cp:revision>
  <cp:lastPrinted>2010-08-30T14:35:00Z</cp:lastPrinted>
  <dcterms:created xsi:type="dcterms:W3CDTF">2016-07-21T02:13:00Z</dcterms:created>
  <dcterms:modified xsi:type="dcterms:W3CDTF">2017-06-27T01:26:00Z</dcterms:modified>
</cp:coreProperties>
</file>