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1CF3" w14:textId="77777777" w:rsidR="00025A86" w:rsidRDefault="00025A86"/>
    <w:p w14:paraId="2F191CF4" w14:textId="77777777" w:rsidR="00025A86" w:rsidRDefault="00025A86"/>
    <w:p w14:paraId="2F191CF5" w14:textId="77777777" w:rsidR="00025A86" w:rsidRDefault="00025A86"/>
    <w:p w14:paraId="2F191CF6" w14:textId="77777777" w:rsidR="00025A86" w:rsidRDefault="00025A86"/>
    <w:p w14:paraId="2F191CF7" w14:textId="77777777" w:rsidR="00025A86" w:rsidRDefault="00025A86"/>
    <w:p w14:paraId="2F191CF8" w14:textId="77777777" w:rsidR="00025A86" w:rsidRDefault="00710C6C">
      <w:pPr>
        <w:spacing w:after="200"/>
      </w:pPr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>GOVERNANCE FRAMEWORK &amp; POLICY RECOMMENDATIONS</w:t>
      </w:r>
    </w:p>
    <w:p w14:paraId="2F191CF9" w14:textId="329F58DF" w:rsidR="00025A86" w:rsidRDefault="00710C6C">
      <w:pPr>
        <w:spacing w:after="600"/>
      </w:pPr>
      <w:r>
        <w:rPr>
          <w:rFonts w:ascii="Calibri" w:eastAsia="Calibri" w:hAnsi="Calibri" w:cs="Calibri"/>
          <w:color w:val="2E75B6"/>
          <w:sz w:val="28"/>
          <w:szCs w:val="28"/>
        </w:rPr>
        <w:t xml:space="preserve">Policy </w:t>
      </w:r>
      <w:r w:rsidR="00152451">
        <w:rPr>
          <w:rFonts w:ascii="Calibri" w:eastAsia="Calibri" w:hAnsi="Calibri" w:cs="Calibri"/>
          <w:color w:val="2E75B6"/>
          <w:sz w:val="28"/>
          <w:szCs w:val="28"/>
        </w:rPr>
        <w:t>Sample</w:t>
      </w:r>
      <w:r>
        <w:rPr>
          <w:rFonts w:ascii="Calibri" w:eastAsia="Calibri" w:hAnsi="Calibri" w:cs="Calibri"/>
          <w:color w:val="2E75B6"/>
          <w:sz w:val="28"/>
          <w:szCs w:val="28"/>
        </w:rPr>
        <w:t xml:space="preserve">, Standards &amp; </w:t>
      </w:r>
      <w:r w:rsidR="00152451">
        <w:rPr>
          <w:rFonts w:ascii="Calibri" w:eastAsia="Calibri" w:hAnsi="Calibri" w:cs="Calibri"/>
          <w:color w:val="2E75B6"/>
          <w:sz w:val="28"/>
          <w:szCs w:val="28"/>
        </w:rPr>
        <w:t>Data Governance</w:t>
      </w:r>
      <w:r>
        <w:rPr>
          <w:rFonts w:ascii="Calibri" w:eastAsia="Calibri" w:hAnsi="Calibri" w:cs="Calibri"/>
          <w:color w:val="2E75B6"/>
          <w:sz w:val="28"/>
          <w:szCs w:val="28"/>
        </w:rPr>
        <w:t xml:space="preserve"> Model</w:t>
      </w:r>
    </w:p>
    <w:p w14:paraId="2F191CFA" w14:textId="77777777" w:rsidR="00025A86" w:rsidRDefault="00025A86">
      <w:pPr>
        <w:pBdr>
          <w:top w:val="single" w:sz="3" w:space="0" w:color="2E75B6"/>
        </w:pBdr>
      </w:pPr>
    </w:p>
    <w:p w14:paraId="2F191CFB" w14:textId="77777777" w:rsidR="00025A86" w:rsidRDefault="00025A86">
      <w:pPr>
        <w:spacing w:after="200"/>
      </w:pPr>
    </w:p>
    <w:p w14:paraId="2F191CFC" w14:textId="77777777" w:rsidR="00025A86" w:rsidRDefault="00710C6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Prepared for: </w:t>
      </w:r>
      <w:r>
        <w:rPr>
          <w:rFonts w:ascii="Calibri" w:eastAsia="Calibri" w:hAnsi="Calibri" w:cs="Calibri"/>
          <w:color w:val="5A6A7A"/>
          <w:sz w:val="22"/>
          <w:szCs w:val="22"/>
        </w:rPr>
        <w:t>[Client Name]</w:t>
      </w:r>
    </w:p>
    <w:p w14:paraId="2F191CFD" w14:textId="3207F4F7" w:rsidR="00025A86" w:rsidRDefault="00710C6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Prepared by: </w:t>
      </w:r>
      <w:r w:rsidR="00152451">
        <w:rPr>
          <w:rFonts w:ascii="Calibri" w:eastAsia="Calibri" w:hAnsi="Calibri" w:cs="Calibri"/>
          <w:color w:val="5A6A7A"/>
          <w:sz w:val="22"/>
          <w:szCs w:val="22"/>
        </w:rPr>
        <w:t>RSM US LLP</w:t>
      </w:r>
    </w:p>
    <w:p w14:paraId="2F191CFE" w14:textId="77777777" w:rsidR="00025A86" w:rsidRDefault="00710C6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Date: </w:t>
      </w:r>
      <w:r>
        <w:rPr>
          <w:rFonts w:ascii="Calibri" w:eastAsia="Calibri" w:hAnsi="Calibri" w:cs="Calibri"/>
          <w:color w:val="5A6A7A"/>
          <w:sz w:val="22"/>
          <w:szCs w:val="22"/>
        </w:rPr>
        <w:t>[Date]</w:t>
      </w:r>
    </w:p>
    <w:p w14:paraId="2F191CFF" w14:textId="77777777" w:rsidR="00025A86" w:rsidRDefault="00710C6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Version: </w:t>
      </w:r>
      <w:r>
        <w:rPr>
          <w:rFonts w:ascii="Calibri" w:eastAsia="Calibri" w:hAnsi="Calibri" w:cs="Calibri"/>
          <w:color w:val="5A6A7A"/>
          <w:sz w:val="22"/>
          <w:szCs w:val="22"/>
        </w:rPr>
        <w:t>Draft v0.1</w:t>
      </w:r>
    </w:p>
    <w:p w14:paraId="2F191D00" w14:textId="77777777" w:rsidR="00025A86" w:rsidRDefault="00710C6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Classification: </w:t>
      </w:r>
      <w:r>
        <w:rPr>
          <w:rFonts w:ascii="Calibri" w:eastAsia="Calibri" w:hAnsi="Calibri" w:cs="Calibri"/>
          <w:color w:val="5A6A7A"/>
          <w:sz w:val="22"/>
          <w:szCs w:val="22"/>
        </w:rPr>
        <w:t>Confidential</w:t>
      </w:r>
    </w:p>
    <w:p w14:paraId="2F191D01" w14:textId="77777777" w:rsidR="00025A86" w:rsidRDefault="00710C6C">
      <w:r>
        <w:br w:type="page"/>
      </w:r>
    </w:p>
    <w:p w14:paraId="2F191D02" w14:textId="77777777" w:rsidR="00025A86" w:rsidRDefault="00710C6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1. Executive Summary</w:t>
      </w:r>
    </w:p>
    <w:p w14:paraId="2F191D03" w14:textId="77777777" w:rsidR="00025A86" w:rsidRDefault="00710C6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[Summarize the recommended governance framework, key policies proposed, and the stewardship model that will sustain governance over time.]</w:t>
      </w:r>
    </w:p>
    <w:p w14:paraId="2F191D04" w14:textId="77777777" w:rsidR="00025A86" w:rsidRDefault="00710C6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2. Governance Vision &amp; Principles</w:t>
      </w:r>
    </w:p>
    <w:p w14:paraId="2F191D05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2.1 Governance Vision Statement</w:t>
      </w:r>
    </w:p>
    <w:p w14:paraId="2F191D06" w14:textId="77777777" w:rsidR="00025A86" w:rsidRDefault="00710C6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[Articulate the aspirational vision for data governance at the organization, e.g., 'Data is treated as a strategic enterprise asset, governed consistently across all domains to enable trusted analytics, regulatory compliance, and operational excellence.']</w:t>
      </w:r>
    </w:p>
    <w:p w14:paraId="2F191D07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2.2 Guiding Principles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560"/>
      </w:tblGrid>
      <w:tr w:rsidR="00025A86" w14:paraId="2F191D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B2A4A"/>
          </w:tcPr>
          <w:p w14:paraId="2F191D0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shd w:val="clear" w:color="auto" w:fill="1B2A4A"/>
          </w:tcPr>
          <w:p w14:paraId="2F191D09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Principle</w:t>
            </w:r>
          </w:p>
        </w:tc>
        <w:tc>
          <w:tcPr>
            <w:tcW w:w="6560" w:type="dxa"/>
            <w:shd w:val="clear" w:color="auto" w:fill="1B2A4A"/>
          </w:tcPr>
          <w:p w14:paraId="2F191D0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25A86" w14:paraId="2F191D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F191D0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</w:t>
            </w:r>
          </w:p>
        </w:tc>
        <w:tc>
          <w:tcPr>
            <w:tcW w:w="2200" w:type="dxa"/>
          </w:tcPr>
          <w:p w14:paraId="2F191D0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Accountability</w:t>
            </w:r>
          </w:p>
        </w:tc>
        <w:tc>
          <w:tcPr>
            <w:tcW w:w="6560" w:type="dxa"/>
          </w:tcPr>
          <w:p w14:paraId="2F191D0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Every data element has a clearly identified owner responsible for its quality and usage</w:t>
            </w:r>
          </w:p>
        </w:tc>
      </w:tr>
      <w:tr w:rsidR="00025A86" w14:paraId="2F191D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F191D1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2</w:t>
            </w:r>
          </w:p>
        </w:tc>
        <w:tc>
          <w:tcPr>
            <w:tcW w:w="2200" w:type="dxa"/>
          </w:tcPr>
          <w:p w14:paraId="2F191D1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Transparency</w:t>
            </w:r>
          </w:p>
        </w:tc>
        <w:tc>
          <w:tcPr>
            <w:tcW w:w="6560" w:type="dxa"/>
          </w:tcPr>
          <w:p w14:paraId="2F191D1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Governance decisions, policies, and data definitions are accessible to all stakeholders</w:t>
            </w:r>
          </w:p>
        </w:tc>
      </w:tr>
      <w:tr w:rsidR="00025A86" w14:paraId="2F191D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F191D1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</w:t>
            </w:r>
          </w:p>
        </w:tc>
        <w:tc>
          <w:tcPr>
            <w:tcW w:w="2200" w:type="dxa"/>
          </w:tcPr>
          <w:p w14:paraId="2F191D15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Standardization</w:t>
            </w:r>
          </w:p>
        </w:tc>
        <w:tc>
          <w:tcPr>
            <w:tcW w:w="6560" w:type="dxa"/>
          </w:tcPr>
          <w:p w14:paraId="2F191D1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Common definitions, formats, and processes are adopted enterprise-wide</w:t>
            </w:r>
          </w:p>
        </w:tc>
      </w:tr>
      <w:tr w:rsidR="00025A86" w14:paraId="2F191D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F191D1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4</w:t>
            </w:r>
          </w:p>
        </w:tc>
        <w:tc>
          <w:tcPr>
            <w:tcW w:w="2200" w:type="dxa"/>
          </w:tcPr>
          <w:p w14:paraId="2F191D19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Proportionality</w:t>
            </w:r>
          </w:p>
        </w:tc>
        <w:tc>
          <w:tcPr>
            <w:tcW w:w="6560" w:type="dxa"/>
          </w:tcPr>
          <w:p w14:paraId="2F191D1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Governance rigor is proportional to the criticality and sensitivity of the data</w:t>
            </w:r>
          </w:p>
        </w:tc>
      </w:tr>
      <w:tr w:rsidR="00025A86" w14:paraId="2F191D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F191D1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5</w:t>
            </w:r>
          </w:p>
        </w:tc>
        <w:tc>
          <w:tcPr>
            <w:tcW w:w="2200" w:type="dxa"/>
          </w:tcPr>
          <w:p w14:paraId="2F191D1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[Add Principle]</w:t>
            </w:r>
          </w:p>
        </w:tc>
        <w:tc>
          <w:tcPr>
            <w:tcW w:w="6560" w:type="dxa"/>
          </w:tcPr>
          <w:p w14:paraId="2F191D1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[Description]</w:t>
            </w:r>
          </w:p>
        </w:tc>
      </w:tr>
    </w:tbl>
    <w:p w14:paraId="2F191D20" w14:textId="77777777" w:rsidR="00025A86" w:rsidRDefault="00710C6C">
      <w:r>
        <w:br w:type="page"/>
      </w:r>
    </w:p>
    <w:p w14:paraId="2F191D21" w14:textId="77777777" w:rsidR="00025A86" w:rsidRDefault="00710C6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3. Governance Operating Model</w:t>
      </w:r>
    </w:p>
    <w:p w14:paraId="2F191D22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3.1 Organizational Structure</w:t>
      </w:r>
    </w:p>
    <w:p w14:paraId="2F191D23" w14:textId="77777777" w:rsidR="00025A86" w:rsidRDefault="00710C6C">
      <w:pPr>
        <w:shd w:val="clear" w:color="auto" w:fill="F2F6FA"/>
        <w:spacing w:after="200"/>
        <w:ind w:left="200" w:right="200"/>
      </w:pPr>
      <w:r>
        <w:rPr>
          <w:rFonts w:ascii="Calibri" w:eastAsia="Calibri" w:hAnsi="Calibri" w:cs="Calibri"/>
          <w:b/>
          <w:bCs/>
          <w:i/>
          <w:iCs/>
          <w:color w:val="2E75B6"/>
        </w:rPr>
        <w:t xml:space="preserve">Instructions: </w:t>
      </w:r>
      <w:r>
        <w:rPr>
          <w:rFonts w:ascii="Calibri" w:eastAsia="Calibri" w:hAnsi="Calibri" w:cs="Calibri"/>
          <w:i/>
          <w:iCs/>
          <w:color w:val="5A6A7A"/>
        </w:rPr>
        <w:t>Insert a governance org chart diagram here showing the Data Governance Council, Steering Committee, Domain Stewards, and operational roles.</w:t>
      </w:r>
    </w:p>
    <w:p w14:paraId="2F191D24" w14:textId="77777777" w:rsidR="00025A86" w:rsidRDefault="00710C6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[Describe the governance organizational structure and how it integrates with existing business and IT leadership.]</w:t>
      </w:r>
    </w:p>
    <w:p w14:paraId="2F191D25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3.2 Roles &amp; Responsibilities (RACI)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160"/>
      </w:tblGrid>
      <w:tr w:rsidR="00025A86" w14:paraId="2F191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2A4A"/>
          </w:tcPr>
          <w:p w14:paraId="2F191D2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shd w:val="clear" w:color="auto" w:fill="1B2A4A"/>
          </w:tcPr>
          <w:p w14:paraId="2F191D2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shd w:val="clear" w:color="auto" w:fill="1B2A4A"/>
          </w:tcPr>
          <w:p w14:paraId="2F191D2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Reports To</w:t>
            </w:r>
          </w:p>
        </w:tc>
        <w:tc>
          <w:tcPr>
            <w:tcW w:w="3160" w:type="dxa"/>
            <w:shd w:val="clear" w:color="auto" w:fill="1B2A4A"/>
          </w:tcPr>
          <w:p w14:paraId="2F191D29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Key Responsibilities</w:t>
            </w:r>
          </w:p>
        </w:tc>
      </w:tr>
      <w:tr w:rsidR="00025A86" w14:paraId="2F191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2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Chief Data Officer / Executive Sponsor</w:t>
            </w:r>
          </w:p>
        </w:tc>
        <w:tc>
          <w:tcPr>
            <w:tcW w:w="2200" w:type="dxa"/>
          </w:tcPr>
          <w:p w14:paraId="2F191D2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Senior leader accountable for governance program</w:t>
            </w:r>
          </w:p>
        </w:tc>
        <w:tc>
          <w:tcPr>
            <w:tcW w:w="1800" w:type="dxa"/>
          </w:tcPr>
          <w:p w14:paraId="2F191D2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C-Suite</w:t>
            </w:r>
          </w:p>
        </w:tc>
        <w:tc>
          <w:tcPr>
            <w:tcW w:w="3160" w:type="dxa"/>
          </w:tcPr>
          <w:p w14:paraId="2F191D2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Strategy, funding, escalations, executive alignment</w:t>
            </w:r>
          </w:p>
        </w:tc>
      </w:tr>
      <w:tr w:rsidR="00025A86" w14:paraId="2F191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3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Governance Council</w:t>
            </w:r>
          </w:p>
        </w:tc>
        <w:tc>
          <w:tcPr>
            <w:tcW w:w="2200" w:type="dxa"/>
          </w:tcPr>
          <w:p w14:paraId="2F191D3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Cross-functional body providing strategic direction</w:t>
            </w:r>
          </w:p>
        </w:tc>
        <w:tc>
          <w:tcPr>
            <w:tcW w:w="1800" w:type="dxa"/>
          </w:tcPr>
          <w:p w14:paraId="2F191D3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CDO / Sponsor</w:t>
            </w:r>
          </w:p>
        </w:tc>
        <w:tc>
          <w:tcPr>
            <w:tcW w:w="3160" w:type="dxa"/>
          </w:tcPr>
          <w:p w14:paraId="2F191D3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Policy approval, priority-setting, conflict resolution</w:t>
            </w:r>
          </w:p>
        </w:tc>
      </w:tr>
      <w:tr w:rsidR="00025A86" w14:paraId="2F191D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35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Governance Program Manager</w:t>
            </w:r>
          </w:p>
        </w:tc>
        <w:tc>
          <w:tcPr>
            <w:tcW w:w="2200" w:type="dxa"/>
          </w:tcPr>
          <w:p w14:paraId="2F191D3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Operational lead managing day-to-day governance</w:t>
            </w:r>
          </w:p>
        </w:tc>
        <w:tc>
          <w:tcPr>
            <w:tcW w:w="1800" w:type="dxa"/>
          </w:tcPr>
          <w:p w14:paraId="2F191D3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CDO / Sponsor</w:t>
            </w:r>
          </w:p>
        </w:tc>
        <w:tc>
          <w:tcPr>
            <w:tcW w:w="3160" w:type="dxa"/>
          </w:tcPr>
          <w:p w14:paraId="2F191D3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Program execution, reporting, coordination</w:t>
            </w:r>
          </w:p>
        </w:tc>
      </w:tr>
      <w:tr w:rsidR="00025A86" w14:paraId="2F191D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3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Domain Data Steward</w:t>
            </w:r>
          </w:p>
        </w:tc>
        <w:tc>
          <w:tcPr>
            <w:tcW w:w="2200" w:type="dxa"/>
          </w:tcPr>
          <w:p w14:paraId="2F191D3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Business SME responsible for data quality within a domain</w:t>
            </w:r>
          </w:p>
        </w:tc>
        <w:tc>
          <w:tcPr>
            <w:tcW w:w="1800" w:type="dxa"/>
          </w:tcPr>
          <w:p w14:paraId="2F191D3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Business Unit Lead</w:t>
            </w:r>
          </w:p>
        </w:tc>
        <w:tc>
          <w:tcPr>
            <w:tcW w:w="3160" w:type="dxa"/>
          </w:tcPr>
          <w:p w14:paraId="2F191D3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Define rules, validate quality, resolve issues</w:t>
            </w:r>
          </w:p>
        </w:tc>
      </w:tr>
      <w:tr w:rsidR="00025A86" w14:paraId="2F191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3F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Technical Data Steward</w:t>
            </w:r>
          </w:p>
        </w:tc>
        <w:tc>
          <w:tcPr>
            <w:tcW w:w="2200" w:type="dxa"/>
          </w:tcPr>
          <w:p w14:paraId="2F191D4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IT/Engineering lead implementing governance controls</w:t>
            </w:r>
          </w:p>
        </w:tc>
        <w:tc>
          <w:tcPr>
            <w:tcW w:w="1800" w:type="dxa"/>
          </w:tcPr>
          <w:p w14:paraId="2F191D4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IT/Data Lead</w:t>
            </w:r>
          </w:p>
        </w:tc>
        <w:tc>
          <w:tcPr>
            <w:tcW w:w="3160" w:type="dxa"/>
          </w:tcPr>
          <w:p w14:paraId="2F191D4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Implement policies in systems, metadata management</w:t>
            </w:r>
          </w:p>
        </w:tc>
      </w:tr>
      <w:tr w:rsidR="00025A86" w14:paraId="2F191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4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Custodian</w:t>
            </w:r>
          </w:p>
        </w:tc>
        <w:tc>
          <w:tcPr>
            <w:tcW w:w="2200" w:type="dxa"/>
          </w:tcPr>
          <w:p w14:paraId="2F191D45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Operational role managing data storage and access</w:t>
            </w:r>
          </w:p>
        </w:tc>
        <w:tc>
          <w:tcPr>
            <w:tcW w:w="1800" w:type="dxa"/>
          </w:tcPr>
          <w:p w14:paraId="2F191D4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IT Operations</w:t>
            </w:r>
          </w:p>
        </w:tc>
        <w:tc>
          <w:tcPr>
            <w:tcW w:w="3160" w:type="dxa"/>
          </w:tcPr>
          <w:p w14:paraId="2F191D4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Access provisioning, backup, security enforcement</w:t>
            </w:r>
          </w:p>
        </w:tc>
      </w:tr>
    </w:tbl>
    <w:p w14:paraId="2F191D49" w14:textId="77777777" w:rsidR="00025A86" w:rsidRDefault="00710C6C">
      <w:r>
        <w:br w:type="page"/>
      </w:r>
    </w:p>
    <w:p w14:paraId="2F191D4A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lastRenderedPageBreak/>
        <w:t>3.3 Decision Rights Framework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1780"/>
        <w:gridCol w:w="1780"/>
      </w:tblGrid>
      <w:tr w:rsidR="00025A86" w14:paraId="2F191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2A4A"/>
          </w:tcPr>
          <w:p w14:paraId="2F191D4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Decision Area</w:t>
            </w:r>
          </w:p>
        </w:tc>
        <w:tc>
          <w:tcPr>
            <w:tcW w:w="1800" w:type="dxa"/>
            <w:shd w:val="clear" w:color="auto" w:fill="1B2A4A"/>
          </w:tcPr>
          <w:p w14:paraId="2F191D4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Responsible</w:t>
            </w:r>
          </w:p>
        </w:tc>
        <w:tc>
          <w:tcPr>
            <w:tcW w:w="1800" w:type="dxa"/>
            <w:shd w:val="clear" w:color="auto" w:fill="1B2A4A"/>
          </w:tcPr>
          <w:p w14:paraId="2F191D4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Accountable</w:t>
            </w:r>
          </w:p>
        </w:tc>
        <w:tc>
          <w:tcPr>
            <w:tcW w:w="1780" w:type="dxa"/>
            <w:shd w:val="clear" w:color="auto" w:fill="1B2A4A"/>
          </w:tcPr>
          <w:p w14:paraId="2F191D4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Consulted</w:t>
            </w:r>
          </w:p>
        </w:tc>
        <w:tc>
          <w:tcPr>
            <w:tcW w:w="1780" w:type="dxa"/>
            <w:shd w:val="clear" w:color="auto" w:fill="1B2A4A"/>
          </w:tcPr>
          <w:p w14:paraId="2F191D4F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Informed</w:t>
            </w:r>
          </w:p>
        </w:tc>
      </w:tr>
      <w:tr w:rsidR="00025A86" w14:paraId="2F191D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5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policy creation</w:t>
            </w:r>
          </w:p>
        </w:tc>
        <w:tc>
          <w:tcPr>
            <w:tcW w:w="1800" w:type="dxa"/>
          </w:tcPr>
          <w:p w14:paraId="2F191D5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800" w:type="dxa"/>
          </w:tcPr>
          <w:p w14:paraId="2F191D5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5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55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</w:tr>
      <w:tr w:rsidR="00025A86" w14:paraId="2F191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5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quality standards</w:t>
            </w:r>
          </w:p>
        </w:tc>
        <w:tc>
          <w:tcPr>
            <w:tcW w:w="1800" w:type="dxa"/>
          </w:tcPr>
          <w:p w14:paraId="2F191D5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800" w:type="dxa"/>
          </w:tcPr>
          <w:p w14:paraId="2F191D59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5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5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</w:tr>
      <w:tr w:rsidR="00025A86" w14:paraId="2F191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5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Access &amp; security controls</w:t>
            </w:r>
          </w:p>
        </w:tc>
        <w:tc>
          <w:tcPr>
            <w:tcW w:w="1800" w:type="dxa"/>
          </w:tcPr>
          <w:p w14:paraId="2F191D5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800" w:type="dxa"/>
          </w:tcPr>
          <w:p w14:paraId="2F191D5F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6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6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</w:tr>
      <w:tr w:rsidR="00025A86" w14:paraId="2F191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6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architecture changes</w:t>
            </w:r>
          </w:p>
        </w:tc>
        <w:tc>
          <w:tcPr>
            <w:tcW w:w="1800" w:type="dxa"/>
          </w:tcPr>
          <w:p w14:paraId="2F191D6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800" w:type="dxa"/>
          </w:tcPr>
          <w:p w14:paraId="2F191D65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6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6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</w:tr>
      <w:tr w:rsidR="00025A86" w14:paraId="2F191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69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Issue escalation &amp; resolution</w:t>
            </w:r>
          </w:p>
        </w:tc>
        <w:tc>
          <w:tcPr>
            <w:tcW w:w="1800" w:type="dxa"/>
          </w:tcPr>
          <w:p w14:paraId="2F191D6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800" w:type="dxa"/>
          </w:tcPr>
          <w:p w14:paraId="2F191D6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6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6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</w:tr>
      <w:tr w:rsidR="00025A86" w14:paraId="2F191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6F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Metadata &amp; glossary management</w:t>
            </w:r>
          </w:p>
        </w:tc>
        <w:tc>
          <w:tcPr>
            <w:tcW w:w="1800" w:type="dxa"/>
          </w:tcPr>
          <w:p w14:paraId="2F191D7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800" w:type="dxa"/>
          </w:tcPr>
          <w:p w14:paraId="2F191D7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7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1780" w:type="dxa"/>
          </w:tcPr>
          <w:p w14:paraId="2F191D7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</w:tr>
    </w:tbl>
    <w:p w14:paraId="2F191D75" w14:textId="77777777" w:rsidR="00025A86" w:rsidRDefault="00710C6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4. Policy Framework</w:t>
      </w:r>
    </w:p>
    <w:p w14:paraId="2F191D76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4.1 Policy Hierarchy</w:t>
      </w:r>
    </w:p>
    <w:p w14:paraId="2F191D77" w14:textId="77777777" w:rsidR="00025A86" w:rsidRDefault="00710C6C">
      <w:pPr>
        <w:spacing w:after="150" w:line="300" w:lineRule="auto"/>
      </w:pPr>
      <w:r>
        <w:rPr>
          <w:rFonts w:ascii="Calibri" w:eastAsia="Calibri" w:hAnsi="Calibri" w:cs="Calibri"/>
          <w:color w:val="1B2A4A"/>
          <w:sz w:val="22"/>
          <w:szCs w:val="22"/>
        </w:rPr>
        <w:t>The governance policy framework follows a three-tier structure: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3200"/>
        <w:gridCol w:w="1800"/>
        <w:gridCol w:w="1860"/>
      </w:tblGrid>
      <w:tr w:rsidR="00025A86" w14:paraId="2F191D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2A4A"/>
          </w:tcPr>
          <w:p w14:paraId="2F191D7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Tier</w:t>
            </w:r>
          </w:p>
        </w:tc>
        <w:tc>
          <w:tcPr>
            <w:tcW w:w="1800" w:type="dxa"/>
            <w:shd w:val="clear" w:color="auto" w:fill="1B2A4A"/>
          </w:tcPr>
          <w:p w14:paraId="2F191D79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3200" w:type="dxa"/>
            <w:shd w:val="clear" w:color="auto" w:fill="1B2A4A"/>
          </w:tcPr>
          <w:p w14:paraId="2F191D7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shd w:val="clear" w:color="auto" w:fill="1B2A4A"/>
          </w:tcPr>
          <w:p w14:paraId="2F191D7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Approver</w:t>
            </w:r>
          </w:p>
        </w:tc>
        <w:tc>
          <w:tcPr>
            <w:tcW w:w="1860" w:type="dxa"/>
            <w:shd w:val="clear" w:color="auto" w:fill="1B2A4A"/>
          </w:tcPr>
          <w:p w14:paraId="2F191D7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Review Cycle</w:t>
            </w:r>
          </w:p>
        </w:tc>
      </w:tr>
      <w:tr w:rsidR="00025A86" w14:paraId="2F191D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191D7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</w:t>
            </w:r>
          </w:p>
        </w:tc>
        <w:tc>
          <w:tcPr>
            <w:tcW w:w="1800" w:type="dxa"/>
          </w:tcPr>
          <w:p w14:paraId="2F191D7F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Enterprise Data Policy</w:t>
            </w:r>
          </w:p>
        </w:tc>
        <w:tc>
          <w:tcPr>
            <w:tcW w:w="3200" w:type="dxa"/>
          </w:tcPr>
          <w:p w14:paraId="2F191D8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Top-level policy establishing governance authority and scope</w:t>
            </w:r>
          </w:p>
        </w:tc>
        <w:tc>
          <w:tcPr>
            <w:tcW w:w="1800" w:type="dxa"/>
          </w:tcPr>
          <w:p w14:paraId="2F191D8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Executive / Board</w:t>
            </w:r>
          </w:p>
        </w:tc>
        <w:tc>
          <w:tcPr>
            <w:tcW w:w="1860" w:type="dxa"/>
          </w:tcPr>
          <w:p w14:paraId="2F191D8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Annual</w:t>
            </w:r>
          </w:p>
        </w:tc>
      </w:tr>
      <w:tr w:rsidR="00025A86" w14:paraId="2F191D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191D8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2</w:t>
            </w:r>
          </w:p>
        </w:tc>
        <w:tc>
          <w:tcPr>
            <w:tcW w:w="1800" w:type="dxa"/>
          </w:tcPr>
          <w:p w14:paraId="2F191D85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Domain Standards</w:t>
            </w:r>
          </w:p>
        </w:tc>
        <w:tc>
          <w:tcPr>
            <w:tcW w:w="3200" w:type="dxa"/>
          </w:tcPr>
          <w:p w14:paraId="2F191D8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Specific standards for quality, metadata, security, lifecycle by domain</w:t>
            </w:r>
          </w:p>
        </w:tc>
        <w:tc>
          <w:tcPr>
            <w:tcW w:w="1800" w:type="dxa"/>
          </w:tcPr>
          <w:p w14:paraId="2F191D8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Governance Council</w:t>
            </w:r>
          </w:p>
        </w:tc>
        <w:tc>
          <w:tcPr>
            <w:tcW w:w="1860" w:type="dxa"/>
          </w:tcPr>
          <w:p w14:paraId="2F191D8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Semi-Annual</w:t>
            </w:r>
          </w:p>
        </w:tc>
      </w:tr>
      <w:tr w:rsidR="00025A86" w14:paraId="2F191D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191D8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</w:t>
            </w:r>
          </w:p>
        </w:tc>
        <w:tc>
          <w:tcPr>
            <w:tcW w:w="1800" w:type="dxa"/>
          </w:tcPr>
          <w:p w14:paraId="2F191D8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Procedures &amp; Guidelines</w:t>
            </w:r>
          </w:p>
        </w:tc>
        <w:tc>
          <w:tcPr>
            <w:tcW w:w="3200" w:type="dxa"/>
          </w:tcPr>
          <w:p w14:paraId="2F191D8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Operational how-to documents for executing standards</w:t>
            </w:r>
          </w:p>
        </w:tc>
        <w:tc>
          <w:tcPr>
            <w:tcW w:w="1800" w:type="dxa"/>
          </w:tcPr>
          <w:p w14:paraId="2F191D8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Program Manager</w:t>
            </w:r>
          </w:p>
        </w:tc>
        <w:tc>
          <w:tcPr>
            <w:tcW w:w="1860" w:type="dxa"/>
          </w:tcPr>
          <w:p w14:paraId="2F191D8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Quarterly</w:t>
            </w:r>
          </w:p>
        </w:tc>
      </w:tr>
    </w:tbl>
    <w:p w14:paraId="2F191D90" w14:textId="77777777" w:rsidR="00025A86" w:rsidRDefault="00710C6C">
      <w:r>
        <w:br w:type="page"/>
      </w:r>
    </w:p>
    <w:p w14:paraId="2F191D91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lastRenderedPageBreak/>
        <w:t>4.2 Recommended Policies</w:t>
      </w:r>
    </w:p>
    <w:p w14:paraId="2F191D92" w14:textId="77777777" w:rsidR="00025A86" w:rsidRDefault="00710C6C">
      <w:pPr>
        <w:shd w:val="clear" w:color="auto" w:fill="F2F6FA"/>
        <w:spacing w:after="200"/>
        <w:ind w:left="200" w:right="200"/>
      </w:pPr>
      <w:r>
        <w:rPr>
          <w:rFonts w:ascii="Calibri" w:eastAsia="Calibri" w:hAnsi="Calibri" w:cs="Calibri"/>
          <w:b/>
          <w:bCs/>
          <w:i/>
          <w:iCs/>
          <w:color w:val="2E75B6"/>
        </w:rPr>
        <w:t xml:space="preserve">Instructions: </w:t>
      </w:r>
      <w:r>
        <w:rPr>
          <w:rFonts w:ascii="Calibri" w:eastAsia="Calibri" w:hAnsi="Calibri" w:cs="Calibri"/>
          <w:i/>
          <w:iCs/>
          <w:color w:val="5A6A7A"/>
        </w:rPr>
        <w:t>Each policy below is a summary. Full policy drafts should be developed as standalone documents based on these recommendations.</w:t>
      </w:r>
    </w:p>
    <w:p w14:paraId="2F191D93" w14:textId="77777777" w:rsidR="00025A86" w:rsidRDefault="00710C6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Policy 1: Enterprise Data Governance Policy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25A86" w14:paraId="2F191D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B2A4A"/>
          </w:tcPr>
          <w:p w14:paraId="2F191D9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Attribute</w:t>
            </w:r>
          </w:p>
        </w:tc>
        <w:tc>
          <w:tcPr>
            <w:tcW w:w="7360" w:type="dxa"/>
            <w:shd w:val="clear" w:color="auto" w:fill="1B2A4A"/>
          </w:tcPr>
          <w:p w14:paraId="2F191D95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025A86" w14:paraId="2F191D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9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Purpose</w:t>
            </w:r>
          </w:p>
        </w:tc>
        <w:tc>
          <w:tcPr>
            <w:tcW w:w="7360" w:type="dxa"/>
          </w:tcPr>
          <w:p w14:paraId="2F191D9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Establish the mandate, scope, and authority for data governance across the enterprise</w:t>
            </w:r>
          </w:p>
        </w:tc>
      </w:tr>
      <w:tr w:rsidR="00025A86" w14:paraId="2F191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9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Scope</w:t>
            </w:r>
          </w:p>
        </w:tc>
        <w:tc>
          <w:tcPr>
            <w:tcW w:w="7360" w:type="dxa"/>
          </w:tcPr>
          <w:p w14:paraId="2F191D9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All business units, data domains, and technology platforms</w:t>
            </w:r>
          </w:p>
        </w:tc>
      </w:tr>
      <w:tr w:rsidR="00025A86" w14:paraId="2F191D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9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Key Provisions</w:t>
            </w:r>
          </w:p>
        </w:tc>
        <w:tc>
          <w:tcPr>
            <w:tcW w:w="7360" w:type="dxa"/>
          </w:tcPr>
          <w:p w14:paraId="2F191D9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[Outline 3-5 key provisions, e.g., data ownership requirements, compliance obligations, enforcement mechanisms]</w:t>
            </w:r>
          </w:p>
        </w:tc>
      </w:tr>
      <w:tr w:rsidR="00025A86" w14:paraId="2F191D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A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Owner</w:t>
            </w:r>
          </w:p>
        </w:tc>
        <w:tc>
          <w:tcPr>
            <w:tcW w:w="7360" w:type="dxa"/>
          </w:tcPr>
          <w:p w14:paraId="2F191DA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[CDO / Executive Sponsor]</w:t>
            </w:r>
          </w:p>
        </w:tc>
      </w:tr>
      <w:tr w:rsidR="00025A86" w14:paraId="2F191D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A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Effective Date</w:t>
            </w:r>
          </w:p>
        </w:tc>
        <w:tc>
          <w:tcPr>
            <w:tcW w:w="7360" w:type="dxa"/>
          </w:tcPr>
          <w:p w14:paraId="2F191DA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[Date]</w:t>
            </w:r>
          </w:p>
        </w:tc>
      </w:tr>
    </w:tbl>
    <w:p w14:paraId="2F191DA6" w14:textId="77777777" w:rsidR="00025A86" w:rsidRDefault="00710C6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Policy 2: Data Quality Management Standard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25A86" w14:paraId="2F191D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B2A4A"/>
          </w:tcPr>
          <w:p w14:paraId="2F191DA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Attribute</w:t>
            </w:r>
          </w:p>
        </w:tc>
        <w:tc>
          <w:tcPr>
            <w:tcW w:w="7360" w:type="dxa"/>
            <w:shd w:val="clear" w:color="auto" w:fill="1B2A4A"/>
          </w:tcPr>
          <w:p w14:paraId="2F191DA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025A86" w14:paraId="2F191D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A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Purpose</w:t>
            </w:r>
          </w:p>
        </w:tc>
        <w:tc>
          <w:tcPr>
            <w:tcW w:w="7360" w:type="dxa"/>
          </w:tcPr>
          <w:p w14:paraId="2F191DA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Define data quality dimensions, thresholds, monitoring, and remediation processes</w:t>
            </w:r>
          </w:p>
        </w:tc>
      </w:tr>
      <w:tr w:rsidR="00025A86" w14:paraId="2F191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A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Scope</w:t>
            </w:r>
          </w:p>
        </w:tc>
        <w:tc>
          <w:tcPr>
            <w:tcW w:w="7360" w:type="dxa"/>
          </w:tcPr>
          <w:p w14:paraId="2F191DA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All critical data elements (CDEs) across priority domains</w:t>
            </w:r>
          </w:p>
        </w:tc>
      </w:tr>
      <w:tr w:rsidR="00025A86" w14:paraId="2F191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B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Key Provisions</w:t>
            </w:r>
          </w:p>
        </w:tc>
        <w:tc>
          <w:tcPr>
            <w:tcW w:w="7360" w:type="dxa"/>
          </w:tcPr>
          <w:p w14:paraId="2F191DB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[Quality dimensions (accuracy, completeness, timeliness, consistency), SLAs, escalation paths]</w:t>
            </w:r>
          </w:p>
        </w:tc>
      </w:tr>
      <w:tr w:rsidR="00025A86" w14:paraId="2F191D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B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Owner</w:t>
            </w:r>
          </w:p>
        </w:tc>
        <w:tc>
          <w:tcPr>
            <w:tcW w:w="7360" w:type="dxa"/>
          </w:tcPr>
          <w:p w14:paraId="2F191DB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[Data Governance Program Manager]</w:t>
            </w:r>
          </w:p>
        </w:tc>
      </w:tr>
      <w:tr w:rsidR="00025A86" w14:paraId="2F191D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B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Effective Date</w:t>
            </w:r>
          </w:p>
        </w:tc>
        <w:tc>
          <w:tcPr>
            <w:tcW w:w="7360" w:type="dxa"/>
          </w:tcPr>
          <w:p w14:paraId="2F191DB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[Date]</w:t>
            </w:r>
          </w:p>
        </w:tc>
      </w:tr>
    </w:tbl>
    <w:p w14:paraId="2F191DB9" w14:textId="77777777" w:rsidR="00025A86" w:rsidRDefault="00710C6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Policy 3: Data Classification &amp; Security Standard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25A86" w14:paraId="2F191D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B2A4A"/>
          </w:tcPr>
          <w:p w14:paraId="2F191DB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Attribute</w:t>
            </w:r>
          </w:p>
        </w:tc>
        <w:tc>
          <w:tcPr>
            <w:tcW w:w="7360" w:type="dxa"/>
            <w:shd w:val="clear" w:color="auto" w:fill="1B2A4A"/>
          </w:tcPr>
          <w:p w14:paraId="2F191DB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025A86" w14:paraId="2F191D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B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Purpose</w:t>
            </w:r>
          </w:p>
        </w:tc>
        <w:tc>
          <w:tcPr>
            <w:tcW w:w="7360" w:type="dxa"/>
          </w:tcPr>
          <w:p w14:paraId="2F191DB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Define classification levels and corresponding security controls for data at rest and in transit</w:t>
            </w:r>
          </w:p>
        </w:tc>
      </w:tr>
      <w:tr w:rsidR="00025A86" w14:paraId="2F191D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C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Scope</w:t>
            </w:r>
          </w:p>
        </w:tc>
        <w:tc>
          <w:tcPr>
            <w:tcW w:w="7360" w:type="dxa"/>
          </w:tcPr>
          <w:p w14:paraId="2F191DC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All data assets across on-premises and cloud environments</w:t>
            </w:r>
          </w:p>
        </w:tc>
      </w:tr>
      <w:tr w:rsidR="00025A86" w14:paraId="2F191D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C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Key Provisions</w:t>
            </w:r>
          </w:p>
        </w:tc>
        <w:tc>
          <w:tcPr>
            <w:tcW w:w="7360" w:type="dxa"/>
          </w:tcPr>
          <w:p w14:paraId="2F191DC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[Classification tiers (Public, Internal, Confidential, Restricted), access controls, encryption, masking]</w:t>
            </w:r>
          </w:p>
        </w:tc>
      </w:tr>
      <w:tr w:rsidR="00025A86" w14:paraId="2F191D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C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Owner</w:t>
            </w:r>
          </w:p>
        </w:tc>
        <w:tc>
          <w:tcPr>
            <w:tcW w:w="7360" w:type="dxa"/>
          </w:tcPr>
          <w:p w14:paraId="2F191DC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[CISO / Data Security Lead]</w:t>
            </w:r>
          </w:p>
        </w:tc>
      </w:tr>
      <w:tr w:rsidR="00025A86" w14:paraId="2F191D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191DC9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Effective Date</w:t>
            </w:r>
          </w:p>
        </w:tc>
        <w:tc>
          <w:tcPr>
            <w:tcW w:w="7360" w:type="dxa"/>
          </w:tcPr>
          <w:p w14:paraId="2F191DC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[Date]</w:t>
            </w:r>
          </w:p>
        </w:tc>
      </w:tr>
    </w:tbl>
    <w:p w14:paraId="2F191DCC" w14:textId="77777777" w:rsidR="00025A86" w:rsidRDefault="00710C6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[Add additional policies as needed: Metadata Management Standard, Data Lifecycle &amp; Retention Standard, Data Sharing &amp; Usage Standard, etc.]</w:t>
      </w:r>
    </w:p>
    <w:p w14:paraId="2F191DCD" w14:textId="77777777" w:rsidR="00025A86" w:rsidRDefault="00710C6C">
      <w:r>
        <w:br w:type="page"/>
      </w:r>
    </w:p>
    <w:p w14:paraId="2F191DCE" w14:textId="77777777" w:rsidR="00025A86" w:rsidRDefault="00710C6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5. Stewardship Model</w:t>
      </w:r>
    </w:p>
    <w:p w14:paraId="2F191DCF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5.1 Stewardship Operating Cadence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300"/>
        <w:gridCol w:w="2500"/>
        <w:gridCol w:w="3060"/>
      </w:tblGrid>
      <w:tr w:rsidR="00025A86" w14:paraId="2F191D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B2A4A"/>
          </w:tcPr>
          <w:p w14:paraId="2F191DD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Meeting / Activity</w:t>
            </w:r>
          </w:p>
        </w:tc>
        <w:tc>
          <w:tcPr>
            <w:tcW w:w="1300" w:type="dxa"/>
            <w:shd w:val="clear" w:color="auto" w:fill="1B2A4A"/>
          </w:tcPr>
          <w:p w14:paraId="2F191DD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Frequency</w:t>
            </w:r>
          </w:p>
        </w:tc>
        <w:tc>
          <w:tcPr>
            <w:tcW w:w="2500" w:type="dxa"/>
            <w:shd w:val="clear" w:color="auto" w:fill="1B2A4A"/>
          </w:tcPr>
          <w:p w14:paraId="2F191DD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Participants</w:t>
            </w:r>
          </w:p>
        </w:tc>
        <w:tc>
          <w:tcPr>
            <w:tcW w:w="3060" w:type="dxa"/>
            <w:shd w:val="clear" w:color="auto" w:fill="1B2A4A"/>
          </w:tcPr>
          <w:p w14:paraId="2F191DD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025A86" w14:paraId="2F191D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F191DD5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Governance Council</w:t>
            </w:r>
          </w:p>
        </w:tc>
        <w:tc>
          <w:tcPr>
            <w:tcW w:w="1300" w:type="dxa"/>
          </w:tcPr>
          <w:p w14:paraId="2F191DD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Monthly</w:t>
            </w:r>
          </w:p>
        </w:tc>
        <w:tc>
          <w:tcPr>
            <w:tcW w:w="2500" w:type="dxa"/>
          </w:tcPr>
          <w:p w14:paraId="2F191DD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CDO, Domain Leads, IT Leads</w:t>
            </w:r>
          </w:p>
        </w:tc>
        <w:tc>
          <w:tcPr>
            <w:tcW w:w="3060" w:type="dxa"/>
          </w:tcPr>
          <w:p w14:paraId="2F191DD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Strategic decisions, policy approval, escalations</w:t>
            </w:r>
          </w:p>
        </w:tc>
      </w:tr>
      <w:tr w:rsidR="00025A86" w14:paraId="2F191D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F191DDA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Stewardship Working Group</w:t>
            </w:r>
          </w:p>
        </w:tc>
        <w:tc>
          <w:tcPr>
            <w:tcW w:w="1300" w:type="dxa"/>
          </w:tcPr>
          <w:p w14:paraId="2F191DD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Bi-weekly</w:t>
            </w:r>
          </w:p>
        </w:tc>
        <w:tc>
          <w:tcPr>
            <w:tcW w:w="2500" w:type="dxa"/>
          </w:tcPr>
          <w:p w14:paraId="2F191DD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Domain &amp; Technical Stewards</w:t>
            </w:r>
          </w:p>
        </w:tc>
        <w:tc>
          <w:tcPr>
            <w:tcW w:w="3060" w:type="dxa"/>
          </w:tcPr>
          <w:p w14:paraId="2F191DD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Operational issues, quality reviews, standards updates</w:t>
            </w:r>
          </w:p>
        </w:tc>
      </w:tr>
      <w:tr w:rsidR="00025A86" w14:paraId="2F191D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F191DDF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Quality Review</w:t>
            </w:r>
          </w:p>
        </w:tc>
        <w:tc>
          <w:tcPr>
            <w:tcW w:w="1300" w:type="dxa"/>
          </w:tcPr>
          <w:p w14:paraId="2F191DE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Weekly</w:t>
            </w:r>
          </w:p>
        </w:tc>
        <w:tc>
          <w:tcPr>
            <w:tcW w:w="2500" w:type="dxa"/>
          </w:tcPr>
          <w:p w14:paraId="2F191DE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Technical Stewards, Analysts</w:t>
            </w:r>
          </w:p>
        </w:tc>
        <w:tc>
          <w:tcPr>
            <w:tcW w:w="3060" w:type="dxa"/>
          </w:tcPr>
          <w:p w14:paraId="2F191DE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Monitor dashboards, triage issues, track remediation</w:t>
            </w:r>
          </w:p>
        </w:tc>
      </w:tr>
      <w:tr w:rsidR="00025A86" w14:paraId="2F191D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F191DE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Executive Sponsor Briefing</w:t>
            </w:r>
          </w:p>
        </w:tc>
        <w:tc>
          <w:tcPr>
            <w:tcW w:w="1300" w:type="dxa"/>
          </w:tcPr>
          <w:p w14:paraId="2F191DE5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Quarterly</w:t>
            </w:r>
          </w:p>
        </w:tc>
        <w:tc>
          <w:tcPr>
            <w:tcW w:w="2500" w:type="dxa"/>
          </w:tcPr>
          <w:p w14:paraId="2F191DE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CDO, Executive Sponsor</w:t>
            </w:r>
          </w:p>
        </w:tc>
        <w:tc>
          <w:tcPr>
            <w:tcW w:w="3060" w:type="dxa"/>
          </w:tcPr>
          <w:p w14:paraId="2F191DE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Program health, ROI, strategic alignment</w:t>
            </w:r>
          </w:p>
        </w:tc>
      </w:tr>
    </w:tbl>
    <w:p w14:paraId="2F191DE9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5.2 Escalation Path</w:t>
      </w:r>
    </w:p>
    <w:p w14:paraId="2F191DEA" w14:textId="77777777" w:rsidR="00025A86" w:rsidRDefault="00710C6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[Define the escalation process for unresolved data issues, policy violations, and cross-domain conflicts.]</w:t>
      </w:r>
    </w:p>
    <w:p w14:paraId="2F191DEB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5.3 Success Metrics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1500"/>
        <w:gridCol w:w="2460"/>
      </w:tblGrid>
      <w:tr w:rsidR="00025A86" w14:paraId="2F191D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2A4A"/>
          </w:tcPr>
          <w:p w14:paraId="2F191DE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KPI</w:t>
            </w:r>
          </w:p>
        </w:tc>
        <w:tc>
          <w:tcPr>
            <w:tcW w:w="3200" w:type="dxa"/>
            <w:shd w:val="clear" w:color="auto" w:fill="1B2A4A"/>
          </w:tcPr>
          <w:p w14:paraId="2F191DE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Definition</w:t>
            </w:r>
          </w:p>
        </w:tc>
        <w:tc>
          <w:tcPr>
            <w:tcW w:w="1500" w:type="dxa"/>
            <w:shd w:val="clear" w:color="auto" w:fill="1B2A4A"/>
          </w:tcPr>
          <w:p w14:paraId="2F191DE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2460" w:type="dxa"/>
            <w:shd w:val="clear" w:color="auto" w:fill="1B2A4A"/>
          </w:tcPr>
          <w:p w14:paraId="2F191DEF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Measurement Frequency</w:t>
            </w:r>
          </w:p>
        </w:tc>
      </w:tr>
      <w:tr w:rsidR="00025A86" w14:paraId="2F191D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F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Policy adoption rate</w:t>
            </w:r>
          </w:p>
        </w:tc>
        <w:tc>
          <w:tcPr>
            <w:tcW w:w="3200" w:type="dxa"/>
          </w:tcPr>
          <w:p w14:paraId="2F191DF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% of domains with published, active governance policies</w:t>
            </w:r>
          </w:p>
        </w:tc>
        <w:tc>
          <w:tcPr>
            <w:tcW w:w="1500" w:type="dxa"/>
          </w:tcPr>
          <w:p w14:paraId="2F191DF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[Target]%</w:t>
            </w:r>
          </w:p>
        </w:tc>
        <w:tc>
          <w:tcPr>
            <w:tcW w:w="2460" w:type="dxa"/>
          </w:tcPr>
          <w:p w14:paraId="2F191DF4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Quarterly</w:t>
            </w:r>
          </w:p>
        </w:tc>
      </w:tr>
      <w:tr w:rsidR="00025A86" w14:paraId="2F191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F6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quality score</w:t>
            </w:r>
          </w:p>
        </w:tc>
        <w:tc>
          <w:tcPr>
            <w:tcW w:w="3200" w:type="dxa"/>
          </w:tcPr>
          <w:p w14:paraId="2F191DF7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Composite score across quality dimensions for CDEs</w:t>
            </w:r>
          </w:p>
        </w:tc>
        <w:tc>
          <w:tcPr>
            <w:tcW w:w="1500" w:type="dxa"/>
          </w:tcPr>
          <w:p w14:paraId="2F191DF8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[Target]%</w:t>
            </w:r>
          </w:p>
        </w:tc>
        <w:tc>
          <w:tcPr>
            <w:tcW w:w="2460" w:type="dxa"/>
          </w:tcPr>
          <w:p w14:paraId="2F191DF9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Monthly</w:t>
            </w:r>
          </w:p>
        </w:tc>
      </w:tr>
      <w:tr w:rsidR="00025A86" w14:paraId="2F191D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DFB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Issue resolution time</w:t>
            </w:r>
          </w:p>
        </w:tc>
        <w:tc>
          <w:tcPr>
            <w:tcW w:w="3200" w:type="dxa"/>
          </w:tcPr>
          <w:p w14:paraId="2F191DFC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Average days to resolve reported data issues</w:t>
            </w:r>
          </w:p>
        </w:tc>
        <w:tc>
          <w:tcPr>
            <w:tcW w:w="1500" w:type="dxa"/>
          </w:tcPr>
          <w:p w14:paraId="2F191DFD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 days</w:t>
            </w:r>
          </w:p>
        </w:tc>
        <w:tc>
          <w:tcPr>
            <w:tcW w:w="2460" w:type="dxa"/>
          </w:tcPr>
          <w:p w14:paraId="2F191DFE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Monthly</w:t>
            </w:r>
          </w:p>
        </w:tc>
      </w:tr>
      <w:tr w:rsidR="00025A86" w14:paraId="2F191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191E00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Stewardship engagement</w:t>
            </w:r>
          </w:p>
        </w:tc>
        <w:tc>
          <w:tcPr>
            <w:tcW w:w="3200" w:type="dxa"/>
          </w:tcPr>
          <w:p w14:paraId="2F191E01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 xml:space="preserve">% of stewards actively </w:t>
            </w:r>
            <w:proofErr w:type="gramStart"/>
            <w:r>
              <w:rPr>
                <w:rFonts w:ascii="Calibri" w:eastAsia="Calibri" w:hAnsi="Calibri" w:cs="Calibri"/>
                <w:color w:val="1B2A4A"/>
              </w:rPr>
              <w:t>participating</w:t>
            </w:r>
            <w:proofErr w:type="gramEnd"/>
            <w:r>
              <w:rPr>
                <w:rFonts w:ascii="Calibri" w:eastAsia="Calibri" w:hAnsi="Calibri" w:cs="Calibri"/>
                <w:color w:val="1B2A4A"/>
              </w:rPr>
              <w:t xml:space="preserve"> in governance activities</w:t>
            </w:r>
          </w:p>
        </w:tc>
        <w:tc>
          <w:tcPr>
            <w:tcW w:w="1500" w:type="dxa"/>
          </w:tcPr>
          <w:p w14:paraId="2F191E02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[Target]%</w:t>
            </w:r>
          </w:p>
        </w:tc>
        <w:tc>
          <w:tcPr>
            <w:tcW w:w="2460" w:type="dxa"/>
          </w:tcPr>
          <w:p w14:paraId="2F191E03" w14:textId="77777777" w:rsidR="00025A86" w:rsidRDefault="00710C6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Quarterly</w:t>
            </w:r>
          </w:p>
        </w:tc>
      </w:tr>
    </w:tbl>
    <w:p w14:paraId="2F191E05" w14:textId="77777777" w:rsidR="00025A86" w:rsidRDefault="00710C6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6. Appendix</w:t>
      </w:r>
    </w:p>
    <w:p w14:paraId="2F191E06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A. Policy Template</w:t>
      </w:r>
    </w:p>
    <w:p w14:paraId="2F191E07" w14:textId="77777777" w:rsidR="00025A86" w:rsidRDefault="00710C6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[Include a blank policy template with standard sections: Purpose, Scope, Definitions, Policy Statements, Roles &amp; Responsibilities, Compliance &amp; Enforcement, Review Schedule.]</w:t>
      </w:r>
    </w:p>
    <w:p w14:paraId="2F191E08" w14:textId="77777777" w:rsidR="00025A86" w:rsidRDefault="00710C6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B. Glossary</w:t>
      </w:r>
    </w:p>
    <w:p w14:paraId="2F191E09" w14:textId="77777777" w:rsidR="00025A86" w:rsidRDefault="00710C6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[Define key governance terms used throughout this document.]</w:t>
      </w:r>
    </w:p>
    <w:sectPr w:rsidR="00025A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82943" w14:textId="77777777" w:rsidR="00710C6C" w:rsidRDefault="00710C6C">
      <w:r>
        <w:separator/>
      </w:r>
    </w:p>
  </w:endnote>
  <w:endnote w:type="continuationSeparator" w:id="0">
    <w:p w14:paraId="507BF7B1" w14:textId="77777777" w:rsidR="00710C6C" w:rsidRDefault="0071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0700A" w14:textId="77777777" w:rsidR="00E56F25" w:rsidRDefault="00E56F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91E0B" w14:textId="434DE5B2" w:rsidR="00025A86" w:rsidRDefault="00710C6C">
    <w:pPr>
      <w:pBdr>
        <w:top w:val="single" w:sz="1" w:space="0" w:color="D0D5DD"/>
      </w:pBdr>
      <w:spacing w:before="100"/>
      <w:jc w:val="center"/>
    </w:pPr>
    <w:r>
      <w:rPr>
        <w:rFonts w:ascii="Calibri" w:eastAsia="Calibri" w:hAnsi="Calibri" w:cs="Calibri"/>
        <w:color w:val="5A6A7A"/>
        <w:sz w:val="16"/>
        <w:szCs w:val="16"/>
      </w:rPr>
      <w:t>[</w:t>
    </w:r>
    <w:r w:rsidR="00152451">
      <w:rPr>
        <w:rFonts w:ascii="Calibri" w:eastAsia="Calibri" w:hAnsi="Calibri" w:cs="Calibri"/>
        <w:color w:val="5A6A7A"/>
        <w:sz w:val="16"/>
        <w:szCs w:val="16"/>
      </w:rPr>
      <w:t xml:space="preserve">RSM US </w:t>
    </w:r>
    <w:proofErr w:type="gramStart"/>
    <w:r w:rsidR="00152451">
      <w:rPr>
        <w:rFonts w:ascii="Calibri" w:eastAsia="Calibri" w:hAnsi="Calibri" w:cs="Calibri"/>
        <w:color w:val="5A6A7A"/>
        <w:sz w:val="16"/>
        <w:szCs w:val="16"/>
      </w:rPr>
      <w:t>LLP</w:t>
    </w:r>
    <w:r>
      <w:rPr>
        <w:rFonts w:ascii="Calibri" w:eastAsia="Calibri" w:hAnsi="Calibri" w:cs="Calibri"/>
        <w:color w:val="5A6A7A"/>
        <w:sz w:val="16"/>
        <w:szCs w:val="16"/>
      </w:rPr>
      <w:t>]   |  Page</w:t>
    </w:r>
    <w:proofErr w:type="gramEnd"/>
    <w:r>
      <w:rPr>
        <w:rFonts w:ascii="Calibri" w:eastAsia="Calibri" w:hAnsi="Calibri" w:cs="Calibri"/>
        <w:color w:val="5A6A7A"/>
        <w:sz w:val="16"/>
        <w:szCs w:val="16"/>
      </w:rPr>
      <w:t xml:space="preserve"> </w:t>
    </w:r>
    <w:r>
      <w:rPr>
        <w:rFonts w:ascii="Calibri" w:eastAsia="Calibri" w:hAnsi="Calibri" w:cs="Calibri"/>
        <w:color w:val="5A6A7A"/>
        <w:sz w:val="16"/>
        <w:szCs w:val="16"/>
      </w:rPr>
      <w:fldChar w:fldCharType="begin"/>
    </w:r>
    <w:r>
      <w:rPr>
        <w:rFonts w:ascii="Calibri" w:eastAsia="Calibri" w:hAnsi="Calibri" w:cs="Calibri"/>
        <w:color w:val="5A6A7A"/>
        <w:sz w:val="16"/>
        <w:szCs w:val="16"/>
      </w:rPr>
      <w:instrText>PAGE</w:instrText>
    </w:r>
    <w:r>
      <w:rPr>
        <w:rFonts w:ascii="Calibri" w:eastAsia="Calibri" w:hAnsi="Calibri" w:cs="Calibri"/>
        <w:color w:val="5A6A7A"/>
        <w:sz w:val="16"/>
        <w:szCs w:val="16"/>
      </w:rPr>
      <w:fldChar w:fldCharType="separate"/>
    </w:r>
    <w:r w:rsidR="00CE47B3">
      <w:rPr>
        <w:rFonts w:ascii="Calibri" w:eastAsia="Calibri" w:hAnsi="Calibri" w:cs="Calibri"/>
        <w:noProof/>
        <w:color w:val="5A6A7A"/>
        <w:sz w:val="16"/>
        <w:szCs w:val="16"/>
      </w:rPr>
      <w:t>1</w:t>
    </w:r>
    <w:r>
      <w:rPr>
        <w:rFonts w:ascii="Calibri" w:eastAsia="Calibri" w:hAnsi="Calibri" w:cs="Calibri"/>
        <w:color w:val="5A6A7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7BD5" w14:textId="77777777" w:rsidR="00E56F25" w:rsidRDefault="00E56F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BA11" w14:textId="77777777" w:rsidR="00710C6C" w:rsidRDefault="00710C6C">
      <w:r>
        <w:separator/>
      </w:r>
    </w:p>
  </w:footnote>
  <w:footnote w:type="continuationSeparator" w:id="0">
    <w:p w14:paraId="6EA2F410" w14:textId="77777777" w:rsidR="00710C6C" w:rsidRDefault="00710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174D" w14:textId="77777777" w:rsidR="00E56F25" w:rsidRDefault="00E56F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91E0A" w14:textId="04FEED2D" w:rsidR="00025A86" w:rsidRDefault="00E56F25">
    <w:pPr>
      <w:jc w:val="right"/>
    </w:pPr>
    <w:sdt>
      <w:sdtPr>
        <w:rPr>
          <w:rFonts w:ascii="Calibri" w:eastAsia="Calibri" w:hAnsi="Calibri" w:cs="Calibri"/>
          <w:i/>
          <w:iCs/>
          <w:color w:val="5A6A7A"/>
          <w:sz w:val="16"/>
          <w:szCs w:val="16"/>
        </w:rPr>
        <w:id w:val="-2051370346"/>
        <w:docPartObj>
          <w:docPartGallery w:val="Watermarks"/>
          <w:docPartUnique/>
        </w:docPartObj>
      </w:sdtPr>
      <w:sdtContent>
        <w:r w:rsidRPr="00E56F25">
          <w:rPr>
            <w:rFonts w:ascii="Calibri" w:eastAsia="Calibri" w:hAnsi="Calibri" w:cs="Calibri"/>
            <w:i/>
            <w:iCs/>
            <w:noProof/>
            <w:color w:val="5A6A7A"/>
            <w:sz w:val="16"/>
            <w:szCs w:val="16"/>
          </w:rPr>
          <w:pict w14:anchorId="3DA05B4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710C6C">
      <w:rPr>
        <w:rFonts w:ascii="Calibri" w:eastAsia="Calibri" w:hAnsi="Calibri" w:cs="Calibri"/>
        <w:i/>
        <w:iCs/>
        <w:color w:val="5A6A7A"/>
        <w:sz w:val="16"/>
        <w:szCs w:val="16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7196" w14:textId="77777777" w:rsidR="00E56F25" w:rsidRDefault="00E56F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72FEE"/>
    <w:multiLevelType w:val="hybridMultilevel"/>
    <w:tmpl w:val="D3F29004"/>
    <w:lvl w:ilvl="0" w:tplc="65E2FBFE">
      <w:start w:val="1"/>
      <w:numFmt w:val="bullet"/>
      <w:lvlText w:val="●"/>
      <w:lvlJc w:val="left"/>
      <w:pPr>
        <w:ind w:left="720" w:hanging="360"/>
      </w:pPr>
    </w:lvl>
    <w:lvl w:ilvl="1" w:tplc="F95AA398">
      <w:start w:val="1"/>
      <w:numFmt w:val="bullet"/>
      <w:lvlText w:val="○"/>
      <w:lvlJc w:val="left"/>
      <w:pPr>
        <w:ind w:left="1440" w:hanging="360"/>
      </w:pPr>
    </w:lvl>
    <w:lvl w:ilvl="2" w:tplc="87E49AD4">
      <w:start w:val="1"/>
      <w:numFmt w:val="bullet"/>
      <w:lvlText w:val="■"/>
      <w:lvlJc w:val="left"/>
      <w:pPr>
        <w:ind w:left="2160" w:hanging="360"/>
      </w:pPr>
    </w:lvl>
    <w:lvl w:ilvl="3" w:tplc="406CDC1A">
      <w:start w:val="1"/>
      <w:numFmt w:val="bullet"/>
      <w:lvlText w:val="●"/>
      <w:lvlJc w:val="left"/>
      <w:pPr>
        <w:ind w:left="2880" w:hanging="360"/>
      </w:pPr>
    </w:lvl>
    <w:lvl w:ilvl="4" w:tplc="6E8EBC10">
      <w:start w:val="1"/>
      <w:numFmt w:val="bullet"/>
      <w:lvlText w:val="○"/>
      <w:lvlJc w:val="left"/>
      <w:pPr>
        <w:ind w:left="3600" w:hanging="360"/>
      </w:pPr>
    </w:lvl>
    <w:lvl w:ilvl="5" w:tplc="2070AFB8">
      <w:start w:val="1"/>
      <w:numFmt w:val="bullet"/>
      <w:lvlText w:val="■"/>
      <w:lvlJc w:val="left"/>
      <w:pPr>
        <w:ind w:left="4320" w:hanging="360"/>
      </w:pPr>
    </w:lvl>
    <w:lvl w:ilvl="6" w:tplc="97D8D208">
      <w:start w:val="1"/>
      <w:numFmt w:val="bullet"/>
      <w:lvlText w:val="●"/>
      <w:lvlJc w:val="left"/>
      <w:pPr>
        <w:ind w:left="5040" w:hanging="360"/>
      </w:pPr>
    </w:lvl>
    <w:lvl w:ilvl="7" w:tplc="04DA5958">
      <w:start w:val="1"/>
      <w:numFmt w:val="bullet"/>
      <w:lvlText w:val="●"/>
      <w:lvlJc w:val="left"/>
      <w:pPr>
        <w:ind w:left="5760" w:hanging="360"/>
      </w:pPr>
    </w:lvl>
    <w:lvl w:ilvl="8" w:tplc="EA9E43AE">
      <w:start w:val="1"/>
      <w:numFmt w:val="bullet"/>
      <w:lvlText w:val="●"/>
      <w:lvlJc w:val="left"/>
      <w:pPr>
        <w:ind w:left="6480" w:hanging="360"/>
      </w:pPr>
    </w:lvl>
  </w:abstractNum>
  <w:num w:numId="1" w16cid:durableId="395055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A86"/>
    <w:rsid w:val="00025A86"/>
    <w:rsid w:val="00152451"/>
    <w:rsid w:val="001D703C"/>
    <w:rsid w:val="00710C6C"/>
    <w:rsid w:val="00750B91"/>
    <w:rsid w:val="00CE47B3"/>
    <w:rsid w:val="00E5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91CF3"/>
  <w15:docId w15:val="{A6D23D84-2967-43BC-8499-861DB677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24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451"/>
  </w:style>
  <w:style w:type="paragraph" w:styleId="Footer">
    <w:name w:val="footer"/>
    <w:basedOn w:val="Normal"/>
    <w:link w:val="FooterChar"/>
    <w:uiPriority w:val="99"/>
    <w:unhideWhenUsed/>
    <w:rsid w:val="001524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805</Words>
  <Characters>5484</Characters>
  <Application>Microsoft Office Word</Application>
  <DocSecurity>0</DocSecurity>
  <Lines>288</Lines>
  <Paragraphs>241</Paragraphs>
  <ScaleCrop>false</ScaleCrop>
  <Company>RSM</Company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Aggarwal, Pankaj</cp:lastModifiedBy>
  <cp:revision>5</cp:revision>
  <dcterms:created xsi:type="dcterms:W3CDTF">2026-07-20T16:50:00Z</dcterms:created>
  <dcterms:modified xsi:type="dcterms:W3CDTF">2026-07-21T17:33:00Z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