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1E82" w14:textId="77777777" w:rsidR="00D876F7" w:rsidRDefault="00D876F7"/>
    <w:p w14:paraId="0D7B1E83" w14:textId="77777777" w:rsidR="00D876F7" w:rsidRDefault="00D876F7"/>
    <w:p w14:paraId="0D7B1E84" w14:textId="77777777" w:rsidR="00D876F7" w:rsidRDefault="00D876F7"/>
    <w:p w14:paraId="0D7B1E85" w14:textId="77777777" w:rsidR="00D876F7" w:rsidRDefault="00D876F7"/>
    <w:p w14:paraId="0D7B1E86" w14:textId="77777777" w:rsidR="00D876F7" w:rsidRDefault="00D876F7"/>
    <w:p w14:paraId="0D7B1E87" w14:textId="77777777" w:rsidR="00D876F7" w:rsidRDefault="00E12F11">
      <w:pPr>
        <w:spacing w:after="200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TARGET-STATE CONCEPTUAL DATA ARCHITECTURE</w:t>
      </w:r>
    </w:p>
    <w:p w14:paraId="0D7B1E88" w14:textId="194A8EB6" w:rsidR="00D876F7" w:rsidRDefault="00982643">
      <w:pPr>
        <w:spacing w:after="600"/>
      </w:pPr>
      <w:r>
        <w:rPr>
          <w:rFonts w:ascii="Calibri" w:eastAsia="Calibri" w:hAnsi="Calibri" w:cs="Calibri"/>
          <w:color w:val="2E75B6"/>
          <w:sz w:val="28"/>
          <w:szCs w:val="28"/>
        </w:rPr>
        <w:t>Cloud</w:t>
      </w:r>
      <w:r w:rsidR="00E12F11">
        <w:rPr>
          <w:rFonts w:ascii="Calibri" w:eastAsia="Calibri" w:hAnsi="Calibri" w:cs="Calibri"/>
          <w:color w:val="2E75B6"/>
          <w:sz w:val="28"/>
          <w:szCs w:val="28"/>
        </w:rPr>
        <w:t xml:space="preserve"> / Databricks Architecture &amp; Governance Operating Model</w:t>
      </w:r>
    </w:p>
    <w:p w14:paraId="0D7B1E89" w14:textId="77777777" w:rsidR="00D876F7" w:rsidRDefault="00D876F7">
      <w:pPr>
        <w:pBdr>
          <w:top w:val="single" w:sz="3" w:space="0" w:color="2E75B6"/>
        </w:pBdr>
      </w:pPr>
    </w:p>
    <w:p w14:paraId="0D7B1E8A" w14:textId="77777777" w:rsidR="00D876F7" w:rsidRDefault="00D876F7">
      <w:pPr>
        <w:spacing w:after="200"/>
      </w:pPr>
    </w:p>
    <w:p w14:paraId="0D7B1E8B" w14:textId="77777777" w:rsidR="00D876F7" w:rsidRDefault="00E12F11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for: </w:t>
      </w:r>
      <w:r>
        <w:rPr>
          <w:rFonts w:ascii="Calibri" w:eastAsia="Calibri" w:hAnsi="Calibri" w:cs="Calibri"/>
          <w:color w:val="5A6A7A"/>
          <w:sz w:val="22"/>
          <w:szCs w:val="22"/>
        </w:rPr>
        <w:t>[Client Name]</w:t>
      </w:r>
    </w:p>
    <w:p w14:paraId="0D7B1E8C" w14:textId="0ADB8258" w:rsidR="00D876F7" w:rsidRDefault="00E12F11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by: </w:t>
      </w:r>
      <w:r>
        <w:rPr>
          <w:rFonts w:ascii="Calibri" w:eastAsia="Calibri" w:hAnsi="Calibri" w:cs="Calibri"/>
          <w:color w:val="5A6A7A"/>
          <w:sz w:val="22"/>
          <w:szCs w:val="22"/>
        </w:rPr>
        <w:t>[</w:t>
      </w:r>
      <w:r w:rsidR="00982643">
        <w:rPr>
          <w:rFonts w:ascii="Calibri" w:eastAsia="Calibri" w:hAnsi="Calibri" w:cs="Calibri"/>
          <w:color w:val="5A6A7A"/>
          <w:sz w:val="22"/>
          <w:szCs w:val="22"/>
        </w:rPr>
        <w:t>RSM US LLP</w:t>
      </w:r>
      <w:r>
        <w:rPr>
          <w:rFonts w:ascii="Calibri" w:eastAsia="Calibri" w:hAnsi="Calibri" w:cs="Calibri"/>
          <w:color w:val="5A6A7A"/>
          <w:sz w:val="22"/>
          <w:szCs w:val="22"/>
        </w:rPr>
        <w:t>]</w:t>
      </w:r>
    </w:p>
    <w:p w14:paraId="0D7B1E8D" w14:textId="77777777" w:rsidR="00D876F7" w:rsidRDefault="00E12F11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Date: </w:t>
      </w:r>
      <w:r>
        <w:rPr>
          <w:rFonts w:ascii="Calibri" w:eastAsia="Calibri" w:hAnsi="Calibri" w:cs="Calibri"/>
          <w:color w:val="5A6A7A"/>
          <w:sz w:val="22"/>
          <w:szCs w:val="22"/>
        </w:rPr>
        <w:t>[Date]</w:t>
      </w:r>
    </w:p>
    <w:p w14:paraId="0D7B1E8E" w14:textId="77777777" w:rsidR="00D876F7" w:rsidRDefault="00E12F11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Version: </w:t>
      </w:r>
      <w:r>
        <w:rPr>
          <w:rFonts w:ascii="Calibri" w:eastAsia="Calibri" w:hAnsi="Calibri" w:cs="Calibri"/>
          <w:color w:val="5A6A7A"/>
          <w:sz w:val="22"/>
          <w:szCs w:val="22"/>
        </w:rPr>
        <w:t>Draft v0.1</w:t>
      </w:r>
    </w:p>
    <w:p w14:paraId="0D7B1E8F" w14:textId="77777777" w:rsidR="00D876F7" w:rsidRDefault="00E12F11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Classification: </w:t>
      </w:r>
      <w:r>
        <w:rPr>
          <w:rFonts w:ascii="Calibri" w:eastAsia="Calibri" w:hAnsi="Calibri" w:cs="Calibri"/>
          <w:color w:val="5A6A7A"/>
          <w:sz w:val="22"/>
          <w:szCs w:val="22"/>
        </w:rPr>
        <w:t>Confidential</w:t>
      </w:r>
    </w:p>
    <w:p w14:paraId="0D7B1E90" w14:textId="77777777" w:rsidR="00D876F7" w:rsidRDefault="00E12F11">
      <w:r>
        <w:br w:type="page"/>
      </w:r>
    </w:p>
    <w:p w14:paraId="0D7B1E91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1. Executive Summary</w:t>
      </w:r>
    </w:p>
    <w:p w14:paraId="0D7B1E92" w14:textId="2A6879B6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[Summarize the target-state vision for the data architecture on </w:t>
      </w:r>
      <w:r w:rsidR="00982643">
        <w:rPr>
          <w:rFonts w:ascii="Calibri" w:eastAsia="Calibri" w:hAnsi="Calibri" w:cs="Calibri"/>
          <w:i/>
          <w:iCs/>
          <w:color w:val="5A6A7A"/>
          <w:sz w:val="22"/>
          <w:szCs w:val="22"/>
        </w:rPr>
        <w:t>Cloud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/Databricks, key design decisions, and how the governance operating model integrates with the technical architecture.]</w:t>
      </w:r>
    </w:p>
    <w:p w14:paraId="0D7B1E93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2. Current-State Architecture Overview</w:t>
      </w:r>
    </w:p>
    <w:p w14:paraId="0D7B1E94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2.1 Existing Landscape</w:t>
      </w:r>
    </w:p>
    <w:p w14:paraId="0D7B1E95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the current data landscape: source systems, ETL/ELT tools, storage layers, analytics platforms, and known pain points.]</w:t>
      </w:r>
    </w:p>
    <w:p w14:paraId="0D7B1E96" w14:textId="77777777" w:rsidR="00D876F7" w:rsidRDefault="00E12F11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Insert a current-state architecture diagram here.</w:t>
      </w:r>
    </w:p>
    <w:p w14:paraId="0D7B1E97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2.2 Key Challenges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800"/>
        <w:gridCol w:w="2760"/>
      </w:tblGrid>
      <w:tr w:rsidR="00D876F7" w14:paraId="0D7B1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2A4A"/>
          </w:tcPr>
          <w:p w14:paraId="0D7B1E9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1B2A4A"/>
          </w:tcPr>
          <w:p w14:paraId="0D7B1E9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Challenge</w:t>
            </w:r>
          </w:p>
        </w:tc>
        <w:tc>
          <w:tcPr>
            <w:tcW w:w="2800" w:type="dxa"/>
            <w:shd w:val="clear" w:color="auto" w:fill="1B2A4A"/>
          </w:tcPr>
          <w:p w14:paraId="0D7B1E9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2760" w:type="dxa"/>
            <w:shd w:val="clear" w:color="auto" w:fill="1B2A4A"/>
          </w:tcPr>
          <w:p w14:paraId="0D7B1E9B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Related Governance Gap</w:t>
            </w:r>
          </w:p>
        </w:tc>
      </w:tr>
      <w:tr w:rsidR="00D876F7" w14:paraId="0D7B1E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7B1E9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</w:t>
            </w:r>
          </w:p>
        </w:tc>
        <w:tc>
          <w:tcPr>
            <w:tcW w:w="3200" w:type="dxa"/>
          </w:tcPr>
          <w:p w14:paraId="0D7B1E9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[e.g., Data silos across business units]</w:t>
            </w:r>
          </w:p>
        </w:tc>
        <w:tc>
          <w:tcPr>
            <w:tcW w:w="2800" w:type="dxa"/>
          </w:tcPr>
          <w:p w14:paraId="0D7B1E9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[Business impact]</w:t>
            </w:r>
          </w:p>
        </w:tc>
        <w:tc>
          <w:tcPr>
            <w:tcW w:w="2760" w:type="dxa"/>
          </w:tcPr>
          <w:p w14:paraId="0D7B1EA0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[Link to maturity assessment finding]</w:t>
            </w:r>
          </w:p>
        </w:tc>
      </w:tr>
      <w:tr w:rsidR="00D876F7" w14:paraId="0D7B1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7B1EA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</w:t>
            </w:r>
          </w:p>
        </w:tc>
        <w:tc>
          <w:tcPr>
            <w:tcW w:w="3200" w:type="dxa"/>
          </w:tcPr>
          <w:p w14:paraId="0D7B1EA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[e.g., No unified catalog or lineage]</w:t>
            </w:r>
          </w:p>
        </w:tc>
        <w:tc>
          <w:tcPr>
            <w:tcW w:w="2800" w:type="dxa"/>
          </w:tcPr>
          <w:p w14:paraId="0D7B1EA4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[Business impact]</w:t>
            </w:r>
          </w:p>
        </w:tc>
        <w:tc>
          <w:tcPr>
            <w:tcW w:w="2760" w:type="dxa"/>
          </w:tcPr>
          <w:p w14:paraId="0D7B1EA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[Link to maturity assessment finding]</w:t>
            </w:r>
          </w:p>
        </w:tc>
      </w:tr>
      <w:tr w:rsidR="00D876F7" w14:paraId="0D7B1E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7B1EA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</w:t>
            </w:r>
          </w:p>
        </w:tc>
        <w:tc>
          <w:tcPr>
            <w:tcW w:w="3200" w:type="dxa"/>
          </w:tcPr>
          <w:p w14:paraId="0D7B1EA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[e.g., Inconsistent security controls]</w:t>
            </w:r>
          </w:p>
        </w:tc>
        <w:tc>
          <w:tcPr>
            <w:tcW w:w="2800" w:type="dxa"/>
          </w:tcPr>
          <w:p w14:paraId="0D7B1EA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[Business impact]</w:t>
            </w:r>
          </w:p>
        </w:tc>
        <w:tc>
          <w:tcPr>
            <w:tcW w:w="2760" w:type="dxa"/>
          </w:tcPr>
          <w:p w14:paraId="0D7B1EA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[Link to maturity assessment finding]</w:t>
            </w:r>
          </w:p>
        </w:tc>
      </w:tr>
    </w:tbl>
    <w:p w14:paraId="0D7B1EAC" w14:textId="77777777" w:rsidR="00D876F7" w:rsidRDefault="00E12F11">
      <w:r>
        <w:br w:type="page"/>
      </w:r>
    </w:p>
    <w:p w14:paraId="0D7B1EAD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3. Target-State Architecture</w:t>
      </w:r>
    </w:p>
    <w:p w14:paraId="0D7B1EAE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3.1 Architecture Vision</w:t>
      </w:r>
    </w:p>
    <w:p w14:paraId="0D7B1EAF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the target-state architecture vision and the guiding principles that shaped the design (e.g., lakehouse paradigm, medallion architecture, domain-oriented ownership).]</w:t>
      </w:r>
    </w:p>
    <w:p w14:paraId="0D7B1EB0" w14:textId="77777777" w:rsidR="00D876F7" w:rsidRDefault="00E12F11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Insert a target-state conceptual architecture diagram here, showing data flow from ingestion through consumption.</w:t>
      </w:r>
    </w:p>
    <w:p w14:paraId="0D7B1EB1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3.2 Architectural Layers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800"/>
        <w:gridCol w:w="2960"/>
      </w:tblGrid>
      <w:tr w:rsidR="00D876F7" w14:paraId="0D7B1E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4A"/>
          </w:tcPr>
          <w:p w14:paraId="0D7B1EB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2200" w:type="dxa"/>
            <w:shd w:val="clear" w:color="auto" w:fill="1B2A4A"/>
          </w:tcPr>
          <w:p w14:paraId="0D7B1EB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2800" w:type="dxa"/>
            <w:shd w:val="clear" w:color="auto" w:fill="1B2A4A"/>
          </w:tcPr>
          <w:p w14:paraId="0D7B1EB4" w14:textId="1E177694" w:rsidR="00D876F7" w:rsidRDefault="00982643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Cloud</w:t>
            </w:r>
            <w:r w:rsidR="00E12F11">
              <w:rPr>
                <w:rFonts w:ascii="Calibri" w:eastAsia="Calibri" w:hAnsi="Calibri" w:cs="Calibri"/>
                <w:b/>
                <w:bCs/>
                <w:color w:val="FFFFFF"/>
              </w:rPr>
              <w:t xml:space="preserve"> / Databricks Component</w:t>
            </w:r>
          </w:p>
        </w:tc>
        <w:tc>
          <w:tcPr>
            <w:tcW w:w="2960" w:type="dxa"/>
            <w:shd w:val="clear" w:color="auto" w:fill="1B2A4A"/>
          </w:tcPr>
          <w:p w14:paraId="0D7B1EB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Governance Controls</w:t>
            </w:r>
          </w:p>
        </w:tc>
      </w:tr>
      <w:tr w:rsidR="00D876F7" w14:paraId="0D7B1E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D7B1EB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Ingestion</w:t>
            </w:r>
          </w:p>
        </w:tc>
        <w:tc>
          <w:tcPr>
            <w:tcW w:w="2200" w:type="dxa"/>
          </w:tcPr>
          <w:p w14:paraId="0D7B1EB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Ingest data from source systems (batch &amp; streaming)</w:t>
            </w:r>
          </w:p>
        </w:tc>
        <w:tc>
          <w:tcPr>
            <w:tcW w:w="2800" w:type="dxa"/>
          </w:tcPr>
          <w:p w14:paraId="0D7B1EB9" w14:textId="25408AB1" w:rsidR="00D876F7" w:rsidRDefault="00982643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Cloud</w:t>
            </w:r>
            <w:r w:rsidR="00E12F11">
              <w:rPr>
                <w:rFonts w:ascii="Calibri" w:eastAsia="Calibri" w:hAnsi="Calibri" w:cs="Calibri"/>
                <w:color w:val="1B2A4A"/>
              </w:rPr>
              <w:t xml:space="preserve"> Data Factory, Event Hubs, Auto Loader</w:t>
            </w:r>
          </w:p>
        </w:tc>
        <w:tc>
          <w:tcPr>
            <w:tcW w:w="2960" w:type="dxa"/>
          </w:tcPr>
          <w:p w14:paraId="0D7B1EB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Source registration, schema validation, ingestion logging</w:t>
            </w:r>
          </w:p>
        </w:tc>
      </w:tr>
      <w:tr w:rsidR="00D876F7" w14:paraId="0D7B1E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D7B1EBC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Raw / Bronze</w:t>
            </w:r>
          </w:p>
        </w:tc>
        <w:tc>
          <w:tcPr>
            <w:tcW w:w="2200" w:type="dxa"/>
          </w:tcPr>
          <w:p w14:paraId="0D7B1EB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Land data in its original format with minimal transformation</w:t>
            </w:r>
          </w:p>
        </w:tc>
        <w:tc>
          <w:tcPr>
            <w:tcW w:w="2800" w:type="dxa"/>
          </w:tcPr>
          <w:p w14:paraId="0D7B1EB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ADLS Gen2 / Delta Lake (Bronze)</w:t>
            </w:r>
          </w:p>
        </w:tc>
        <w:tc>
          <w:tcPr>
            <w:tcW w:w="2960" w:type="dxa"/>
          </w:tcPr>
          <w:p w14:paraId="0D7B1EB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Classification tagging, retention policy, access controls</w:t>
            </w:r>
          </w:p>
        </w:tc>
      </w:tr>
      <w:tr w:rsidR="00D876F7" w14:paraId="0D7B1E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D7B1EC1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Curated / Silver</w:t>
            </w:r>
          </w:p>
        </w:tc>
        <w:tc>
          <w:tcPr>
            <w:tcW w:w="2200" w:type="dxa"/>
          </w:tcPr>
          <w:p w14:paraId="0D7B1EC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Cleansed, validated, and conformed data</w:t>
            </w:r>
          </w:p>
        </w:tc>
        <w:tc>
          <w:tcPr>
            <w:tcW w:w="2800" w:type="dxa"/>
          </w:tcPr>
          <w:p w14:paraId="0D7B1EC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Delta Lake (Silver), Unity Catalog</w:t>
            </w:r>
          </w:p>
        </w:tc>
        <w:tc>
          <w:tcPr>
            <w:tcW w:w="2960" w:type="dxa"/>
          </w:tcPr>
          <w:p w14:paraId="0D7B1EC4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Quality rules, profiling, lineage tracking, steward review</w:t>
            </w:r>
          </w:p>
        </w:tc>
      </w:tr>
      <w:tr w:rsidR="00D876F7" w14:paraId="0D7B1E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D7B1EC6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Consumption / Gold</w:t>
            </w:r>
          </w:p>
        </w:tc>
        <w:tc>
          <w:tcPr>
            <w:tcW w:w="2200" w:type="dxa"/>
          </w:tcPr>
          <w:p w14:paraId="0D7B1EC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Business-ready datasets, aggregates, and feature stores</w:t>
            </w:r>
          </w:p>
        </w:tc>
        <w:tc>
          <w:tcPr>
            <w:tcW w:w="2800" w:type="dxa"/>
          </w:tcPr>
          <w:p w14:paraId="0D7B1EC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Delta Lake (Gold), Databricks SQL</w:t>
            </w:r>
          </w:p>
        </w:tc>
        <w:tc>
          <w:tcPr>
            <w:tcW w:w="2960" w:type="dxa"/>
          </w:tcPr>
          <w:p w14:paraId="0D7B1EC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Certified datasets, usage policies, consumption logging</w:t>
            </w:r>
          </w:p>
        </w:tc>
      </w:tr>
      <w:tr w:rsidR="00D876F7" w14:paraId="0D7B1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D7B1ECB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Serving</w:t>
            </w:r>
          </w:p>
        </w:tc>
        <w:tc>
          <w:tcPr>
            <w:tcW w:w="2200" w:type="dxa"/>
          </w:tcPr>
          <w:p w14:paraId="0D7B1ECC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Deliver data to downstream consumers (BI, ML, APIs)</w:t>
            </w:r>
          </w:p>
        </w:tc>
        <w:tc>
          <w:tcPr>
            <w:tcW w:w="2800" w:type="dxa"/>
          </w:tcPr>
          <w:p w14:paraId="0D7B1EC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Power BI, Databricks ML, REST APIs</w:t>
            </w:r>
          </w:p>
        </w:tc>
        <w:tc>
          <w:tcPr>
            <w:tcW w:w="2960" w:type="dxa"/>
          </w:tcPr>
          <w:p w14:paraId="0D7B1EC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Access governance, usage monitoring, SLA management</w:t>
            </w:r>
          </w:p>
        </w:tc>
      </w:tr>
    </w:tbl>
    <w:p w14:paraId="0D7B1ED0" w14:textId="77777777" w:rsidR="00D876F7" w:rsidRDefault="00E12F11">
      <w:r>
        <w:br w:type="page"/>
      </w:r>
    </w:p>
    <w:p w14:paraId="0D7B1ED1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lastRenderedPageBreak/>
        <w:t xml:space="preserve">3.3 </w:t>
      </w:r>
      <w:commentRangeStart w:id="0"/>
      <w:r>
        <w:rPr>
          <w:rFonts w:ascii="Calibri" w:eastAsia="Calibri" w:hAnsi="Calibri" w:cs="Calibri"/>
          <w:b/>
          <w:bCs/>
          <w:color w:val="2E75B6"/>
        </w:rPr>
        <w:t>Key Platform Components</w:t>
      </w:r>
      <w:commentRangeEnd w:id="0"/>
      <w:r w:rsidR="006A4741">
        <w:rPr>
          <w:rStyle w:val="CommentReference"/>
          <w:sz w:val="26"/>
          <w:szCs w:val="26"/>
        </w:rPr>
        <w:commentReference w:id="0"/>
      </w:r>
    </w:p>
    <w:p w14:paraId="0D7B1ED2" w14:textId="77777777" w:rsidR="00D876F7" w:rsidRDefault="00E12F11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Unity Catalog</w:t>
      </w:r>
    </w:p>
    <w:p w14:paraId="0D7B1ED3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how Unity Catalog will serve as the central metadata and governance layer, including namespace hierarchy (catalog &gt; schema &gt; table/view), access control model, and integration with external catalogs.]</w:t>
      </w:r>
    </w:p>
    <w:p w14:paraId="0D7B1ED4" w14:textId="77777777" w:rsidR="00D876F7" w:rsidRDefault="00E12F11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Data Quality Framework</w:t>
      </w:r>
    </w:p>
    <w:p w14:paraId="0D7B1ED5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the data quality architecture: Databricks expectations, Great Expectations, or custom quality framework. Include where checks run (Bronze-to-Silver, Silver-to-Gold) and how failures are handled.]</w:t>
      </w:r>
    </w:p>
    <w:p w14:paraId="0D7B1ED6" w14:textId="77777777" w:rsidR="00D876F7" w:rsidRDefault="00E12F11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Data Lineage &amp; Cataloging</w:t>
      </w:r>
    </w:p>
    <w:p w14:paraId="0D7B1ED7" w14:textId="28969A23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[Describe how lineage will be captured end-to-end, from source through transformation to consumption. Include Unity Catalog lineage, </w:t>
      </w:r>
      <w:r w:rsidR="00982643">
        <w:rPr>
          <w:rFonts w:ascii="Calibri" w:eastAsia="Calibri" w:hAnsi="Calibri" w:cs="Calibri"/>
          <w:i/>
          <w:iCs/>
          <w:color w:val="5A6A7A"/>
          <w:sz w:val="22"/>
          <w:szCs w:val="22"/>
        </w:rPr>
        <w:t>Cloud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 Purview integration if applicable, and any third-party tools.]</w:t>
      </w:r>
    </w:p>
    <w:p w14:paraId="0D7B1ED8" w14:textId="77777777" w:rsidR="00D876F7" w:rsidRDefault="00E12F11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Security &amp; Access Control</w:t>
      </w:r>
    </w:p>
    <w:p w14:paraId="0D7B1ED9" w14:textId="108CA56C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[Describe the security architecture: </w:t>
      </w:r>
      <w:r w:rsidR="00982643">
        <w:rPr>
          <w:rFonts w:ascii="Calibri" w:eastAsia="Calibri" w:hAnsi="Calibri" w:cs="Calibri"/>
          <w:i/>
          <w:iCs/>
          <w:color w:val="5A6A7A"/>
          <w:sz w:val="22"/>
          <w:szCs w:val="22"/>
        </w:rPr>
        <w:t>Cloud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 AD/Entra ID integration, Unity Catalog permissions model, row-level and column-level security, dynamic masking, and encryption standards.]</w:t>
      </w:r>
    </w:p>
    <w:p w14:paraId="0D7B1EDA" w14:textId="77777777" w:rsidR="00D876F7" w:rsidRDefault="00E12F11">
      <w:r>
        <w:br w:type="page"/>
      </w:r>
    </w:p>
    <w:p w14:paraId="0D7B1EDB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4. Governance Operating Model</w:t>
      </w:r>
    </w:p>
    <w:p w14:paraId="0D7B1EDC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4.1 Governance-Architecture Integration</w:t>
      </w:r>
    </w:p>
    <w:p w14:paraId="0D7B1EDD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The governance operating model is embedded directly into the technical architecture to ensure policy enforcement is automated and consistent: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560"/>
      </w:tblGrid>
      <w:tr w:rsidR="00D876F7" w14:paraId="0D7B1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</w:tcPr>
          <w:p w14:paraId="0D7B1ED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Governance Function</w:t>
            </w:r>
          </w:p>
        </w:tc>
        <w:tc>
          <w:tcPr>
            <w:tcW w:w="2800" w:type="dxa"/>
            <w:shd w:val="clear" w:color="auto" w:fill="1B2A4A"/>
          </w:tcPr>
          <w:p w14:paraId="0D7B1ED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Implementation</w:t>
            </w:r>
          </w:p>
        </w:tc>
        <w:tc>
          <w:tcPr>
            <w:tcW w:w="1800" w:type="dxa"/>
            <w:shd w:val="clear" w:color="auto" w:fill="1B2A4A"/>
          </w:tcPr>
          <w:p w14:paraId="0D7B1EE0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Responsible Role</w:t>
            </w:r>
          </w:p>
        </w:tc>
        <w:tc>
          <w:tcPr>
            <w:tcW w:w="2560" w:type="dxa"/>
            <w:shd w:val="clear" w:color="auto" w:fill="1B2A4A"/>
          </w:tcPr>
          <w:p w14:paraId="0D7B1EE1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Monitoring</w:t>
            </w:r>
          </w:p>
        </w:tc>
      </w:tr>
      <w:tr w:rsidR="00D876F7" w14:paraId="0D7B1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E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Classification</w:t>
            </w:r>
          </w:p>
        </w:tc>
        <w:tc>
          <w:tcPr>
            <w:tcW w:w="2800" w:type="dxa"/>
          </w:tcPr>
          <w:p w14:paraId="0D7B1EE4" w14:textId="56446ECB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Unity Catalog</w:t>
            </w:r>
            <w:r w:rsidR="00995CF3">
              <w:rPr>
                <w:rFonts w:ascii="Calibri" w:eastAsia="Calibri" w:hAnsi="Calibri" w:cs="Calibri"/>
                <w:color w:val="1B2A4A"/>
              </w:rPr>
              <w:t xml:space="preserve"> (UC)</w:t>
            </w:r>
            <w:r>
              <w:rPr>
                <w:rFonts w:ascii="Calibri" w:eastAsia="Calibri" w:hAnsi="Calibri" w:cs="Calibri"/>
                <w:color w:val="1B2A4A"/>
              </w:rPr>
              <w:t xml:space="preserve"> tags and sensitivity labels</w:t>
            </w:r>
          </w:p>
        </w:tc>
        <w:tc>
          <w:tcPr>
            <w:tcW w:w="1800" w:type="dxa"/>
          </w:tcPr>
          <w:p w14:paraId="0D7B1EE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Steward</w:t>
            </w:r>
          </w:p>
        </w:tc>
        <w:tc>
          <w:tcPr>
            <w:tcW w:w="2560" w:type="dxa"/>
          </w:tcPr>
          <w:p w14:paraId="0D7B1EE6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Classification coverage dashboard</w:t>
            </w:r>
          </w:p>
        </w:tc>
      </w:tr>
      <w:tr w:rsidR="00D876F7" w14:paraId="0D7B1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E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Access Management</w:t>
            </w:r>
          </w:p>
        </w:tc>
        <w:tc>
          <w:tcPr>
            <w:tcW w:w="2800" w:type="dxa"/>
          </w:tcPr>
          <w:p w14:paraId="0D7B1EE9" w14:textId="2D7C3E46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 xml:space="preserve">UC permissions + </w:t>
            </w:r>
            <w:r w:rsidR="00982643">
              <w:rPr>
                <w:rFonts w:ascii="Calibri" w:eastAsia="Calibri" w:hAnsi="Calibri" w:cs="Calibri"/>
                <w:color w:val="1B2A4A"/>
              </w:rPr>
              <w:t>Cloud</w:t>
            </w:r>
            <w:r>
              <w:rPr>
                <w:rFonts w:ascii="Calibri" w:eastAsia="Calibri" w:hAnsi="Calibri" w:cs="Calibri"/>
                <w:color w:val="1B2A4A"/>
              </w:rPr>
              <w:t xml:space="preserve"> AD group-based RBAC</w:t>
            </w:r>
          </w:p>
        </w:tc>
        <w:tc>
          <w:tcPr>
            <w:tcW w:w="1800" w:type="dxa"/>
          </w:tcPr>
          <w:p w14:paraId="0D7B1EE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Custodian / IT</w:t>
            </w:r>
          </w:p>
        </w:tc>
        <w:tc>
          <w:tcPr>
            <w:tcW w:w="2560" w:type="dxa"/>
          </w:tcPr>
          <w:p w14:paraId="0D7B1EEB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Access audit reports</w:t>
            </w:r>
          </w:p>
        </w:tc>
      </w:tr>
      <w:tr w:rsidR="00D876F7" w14:paraId="0D7B1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E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Quality</w:t>
            </w:r>
          </w:p>
        </w:tc>
        <w:tc>
          <w:tcPr>
            <w:tcW w:w="2800" w:type="dxa"/>
          </w:tcPr>
          <w:p w14:paraId="0D7B1EE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DQ rules applied at Silver layer promotion</w:t>
            </w:r>
          </w:p>
        </w:tc>
        <w:tc>
          <w:tcPr>
            <w:tcW w:w="1800" w:type="dxa"/>
          </w:tcPr>
          <w:p w14:paraId="0D7B1EE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Technical Steward</w:t>
            </w:r>
          </w:p>
        </w:tc>
        <w:tc>
          <w:tcPr>
            <w:tcW w:w="2560" w:type="dxa"/>
          </w:tcPr>
          <w:p w14:paraId="0D7B1EF0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Quality scorecard by domain</w:t>
            </w:r>
          </w:p>
        </w:tc>
      </w:tr>
      <w:tr w:rsidR="00D876F7" w14:paraId="0D7B1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F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Metadata Management</w:t>
            </w:r>
          </w:p>
        </w:tc>
        <w:tc>
          <w:tcPr>
            <w:tcW w:w="2800" w:type="dxa"/>
          </w:tcPr>
          <w:p w14:paraId="0D7B1EF3" w14:textId="21CBCA53" w:rsidR="00D876F7" w:rsidRDefault="00995CF3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UC</w:t>
            </w:r>
            <w:r w:rsidR="00E12F11">
              <w:rPr>
                <w:rFonts w:ascii="Calibri" w:eastAsia="Calibri" w:hAnsi="Calibri" w:cs="Calibri"/>
                <w:color w:val="1B2A4A"/>
              </w:rPr>
              <w:t xml:space="preserve"> + business glossary integration</w:t>
            </w:r>
          </w:p>
        </w:tc>
        <w:tc>
          <w:tcPr>
            <w:tcW w:w="1800" w:type="dxa"/>
          </w:tcPr>
          <w:p w14:paraId="0D7B1EF4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Domain Steward</w:t>
            </w:r>
          </w:p>
        </w:tc>
        <w:tc>
          <w:tcPr>
            <w:tcW w:w="2560" w:type="dxa"/>
          </w:tcPr>
          <w:p w14:paraId="0D7B1EF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Catalog completeness metrics</w:t>
            </w:r>
          </w:p>
        </w:tc>
      </w:tr>
      <w:tr w:rsidR="00D876F7" w14:paraId="0D7B1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F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Lineage &amp; Impact Analysis</w:t>
            </w:r>
          </w:p>
        </w:tc>
        <w:tc>
          <w:tcPr>
            <w:tcW w:w="2800" w:type="dxa"/>
          </w:tcPr>
          <w:p w14:paraId="0D7B1EF8" w14:textId="51152C83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 xml:space="preserve">UC lineage + </w:t>
            </w:r>
            <w:r w:rsidR="00BB3590">
              <w:rPr>
                <w:rFonts w:ascii="Calibri" w:eastAsia="Calibri" w:hAnsi="Calibri" w:cs="Calibri"/>
                <w:color w:val="1B2A4A"/>
              </w:rPr>
              <w:t>dbt</w:t>
            </w:r>
          </w:p>
        </w:tc>
        <w:tc>
          <w:tcPr>
            <w:tcW w:w="1800" w:type="dxa"/>
          </w:tcPr>
          <w:p w14:paraId="0D7B1EF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Technical Steward</w:t>
            </w:r>
          </w:p>
        </w:tc>
        <w:tc>
          <w:tcPr>
            <w:tcW w:w="2560" w:type="dxa"/>
          </w:tcPr>
          <w:p w14:paraId="0D7B1EF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Lineage coverage reports</w:t>
            </w:r>
          </w:p>
        </w:tc>
      </w:tr>
      <w:tr w:rsidR="00D876F7" w14:paraId="0D7B1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7B1EFC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Lifecycle</w:t>
            </w:r>
          </w:p>
        </w:tc>
        <w:tc>
          <w:tcPr>
            <w:tcW w:w="2800" w:type="dxa"/>
          </w:tcPr>
          <w:p w14:paraId="0D7B1EF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Retention policies enforced via Delta time travel + purge</w:t>
            </w:r>
          </w:p>
        </w:tc>
        <w:tc>
          <w:tcPr>
            <w:tcW w:w="1800" w:type="dxa"/>
          </w:tcPr>
          <w:p w14:paraId="0D7B1EF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Custodian</w:t>
            </w:r>
          </w:p>
        </w:tc>
        <w:tc>
          <w:tcPr>
            <w:tcW w:w="2560" w:type="dxa"/>
          </w:tcPr>
          <w:p w14:paraId="0D7B1EF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Retention compliance reports</w:t>
            </w:r>
          </w:p>
        </w:tc>
      </w:tr>
    </w:tbl>
    <w:p w14:paraId="0D7B1F01" w14:textId="77777777" w:rsidR="00D876F7" w:rsidRDefault="00E12F11">
      <w:pPr>
        <w:pStyle w:val="Heading2"/>
        <w:spacing w:before="300" w:after="150"/>
      </w:pPr>
      <w:commentRangeStart w:id="1"/>
      <w:r>
        <w:rPr>
          <w:rFonts w:ascii="Calibri" w:eastAsia="Calibri" w:hAnsi="Calibri" w:cs="Calibri"/>
          <w:b/>
          <w:bCs/>
          <w:color w:val="2E75B6"/>
        </w:rPr>
        <w:t>4.2 Domain Model</w:t>
      </w:r>
      <w:commentRangeEnd w:id="1"/>
      <w:r w:rsidR="00180889">
        <w:rPr>
          <w:rStyle w:val="CommentReference"/>
          <w:sz w:val="26"/>
          <w:szCs w:val="26"/>
        </w:rPr>
        <w:commentReference w:id="1"/>
      </w:r>
    </w:p>
    <w:p w14:paraId="0D7B1F02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data domains, their boundaries, and ownership. Map each domain to Unity Catalog catalogs/schemas and to the business steward and technical steward responsible.]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1800"/>
        <w:gridCol w:w="1800"/>
        <w:gridCol w:w="1660"/>
      </w:tblGrid>
      <w:tr w:rsidR="00D876F7" w14:paraId="0D7B1F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B2A4A"/>
          </w:tcPr>
          <w:p w14:paraId="0D7B1F0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Domain</w:t>
            </w:r>
          </w:p>
        </w:tc>
        <w:tc>
          <w:tcPr>
            <w:tcW w:w="2500" w:type="dxa"/>
            <w:shd w:val="clear" w:color="auto" w:fill="1B2A4A"/>
          </w:tcPr>
          <w:p w14:paraId="0D7B1F04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1B2A4A"/>
          </w:tcPr>
          <w:p w14:paraId="0D7B1F0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Business Steward</w:t>
            </w:r>
          </w:p>
        </w:tc>
        <w:tc>
          <w:tcPr>
            <w:tcW w:w="1800" w:type="dxa"/>
            <w:shd w:val="clear" w:color="auto" w:fill="1B2A4A"/>
          </w:tcPr>
          <w:p w14:paraId="0D7B1F06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Steward</w:t>
            </w:r>
          </w:p>
        </w:tc>
        <w:tc>
          <w:tcPr>
            <w:tcW w:w="1660" w:type="dxa"/>
            <w:shd w:val="clear" w:color="auto" w:fill="1B2A4A"/>
          </w:tcPr>
          <w:p w14:paraId="0D7B1F0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UC Catalog/Schema</w:t>
            </w:r>
          </w:p>
        </w:tc>
      </w:tr>
      <w:tr w:rsidR="00D876F7" w14:paraId="0D7B1F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D7B1F0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[Domain 1]</w:t>
            </w:r>
          </w:p>
        </w:tc>
        <w:tc>
          <w:tcPr>
            <w:tcW w:w="2500" w:type="dxa"/>
          </w:tcPr>
          <w:p w14:paraId="0D7B1F0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[Description]</w:t>
            </w:r>
          </w:p>
        </w:tc>
        <w:tc>
          <w:tcPr>
            <w:tcW w:w="1800" w:type="dxa"/>
          </w:tcPr>
          <w:p w14:paraId="0D7B1F0B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800" w:type="dxa"/>
          </w:tcPr>
          <w:p w14:paraId="0D7B1F0C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660" w:type="dxa"/>
          </w:tcPr>
          <w:p w14:paraId="0D7B1F0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[catalog.schema]</w:t>
            </w:r>
          </w:p>
        </w:tc>
      </w:tr>
      <w:tr w:rsidR="00D876F7" w14:paraId="0D7B1F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D7B1F0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[Domain 2]</w:t>
            </w:r>
          </w:p>
        </w:tc>
        <w:tc>
          <w:tcPr>
            <w:tcW w:w="2500" w:type="dxa"/>
          </w:tcPr>
          <w:p w14:paraId="0D7B1F10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[Description]</w:t>
            </w:r>
          </w:p>
        </w:tc>
        <w:tc>
          <w:tcPr>
            <w:tcW w:w="1800" w:type="dxa"/>
          </w:tcPr>
          <w:p w14:paraId="0D7B1F11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800" w:type="dxa"/>
          </w:tcPr>
          <w:p w14:paraId="0D7B1F1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660" w:type="dxa"/>
          </w:tcPr>
          <w:p w14:paraId="0D7B1F1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[catalog.schema]</w:t>
            </w:r>
          </w:p>
        </w:tc>
      </w:tr>
      <w:tr w:rsidR="00D876F7" w14:paraId="0D7B1F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D7B1F1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[Domain 3]</w:t>
            </w:r>
          </w:p>
        </w:tc>
        <w:tc>
          <w:tcPr>
            <w:tcW w:w="2500" w:type="dxa"/>
          </w:tcPr>
          <w:p w14:paraId="0D7B1F16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[Description]</w:t>
            </w:r>
          </w:p>
        </w:tc>
        <w:tc>
          <w:tcPr>
            <w:tcW w:w="1800" w:type="dxa"/>
          </w:tcPr>
          <w:p w14:paraId="0D7B1F1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800" w:type="dxa"/>
          </w:tcPr>
          <w:p w14:paraId="0D7B1F1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 / Role]</w:t>
            </w:r>
          </w:p>
        </w:tc>
        <w:tc>
          <w:tcPr>
            <w:tcW w:w="1660" w:type="dxa"/>
          </w:tcPr>
          <w:p w14:paraId="0D7B1F1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[catalog.schema]</w:t>
            </w:r>
          </w:p>
        </w:tc>
      </w:tr>
    </w:tbl>
    <w:p w14:paraId="0D7B1F1B" w14:textId="77777777" w:rsidR="00D876F7" w:rsidRDefault="00E12F11">
      <w:r>
        <w:br w:type="page"/>
      </w:r>
    </w:p>
    <w:p w14:paraId="0D7B1F1C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 xml:space="preserve">5. </w:t>
      </w:r>
      <w:commentRangeStart w:id="2"/>
      <w:r>
        <w:rPr>
          <w:rFonts w:ascii="Calibri" w:eastAsia="Calibri" w:hAnsi="Calibri" w:cs="Calibri"/>
          <w:b/>
          <w:bCs/>
          <w:color w:val="1B2A4A"/>
        </w:rPr>
        <w:t>Design Decisions &amp; Trade-offs</w:t>
      </w:r>
      <w:commentRangeEnd w:id="2"/>
      <w:r w:rsidR="008C57C5">
        <w:rPr>
          <w:rStyle w:val="CommentReference"/>
          <w:sz w:val="32"/>
          <w:szCs w:val="32"/>
        </w:rPr>
        <w:commentReference w:id="2"/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300"/>
        <w:gridCol w:w="2960"/>
      </w:tblGrid>
      <w:tr w:rsidR="00D876F7" w14:paraId="0D7B1F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2A4A"/>
          </w:tcPr>
          <w:p w14:paraId="0D7B1F1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</w:t>
            </w:r>
          </w:p>
        </w:tc>
        <w:tc>
          <w:tcPr>
            <w:tcW w:w="2300" w:type="dxa"/>
            <w:shd w:val="clear" w:color="auto" w:fill="1B2A4A"/>
          </w:tcPr>
          <w:p w14:paraId="0D7B1F1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Options Considered</w:t>
            </w:r>
          </w:p>
        </w:tc>
        <w:tc>
          <w:tcPr>
            <w:tcW w:w="2300" w:type="dxa"/>
            <w:shd w:val="clear" w:color="auto" w:fill="1B2A4A"/>
          </w:tcPr>
          <w:p w14:paraId="0D7B1F1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Recommendation</w:t>
            </w:r>
          </w:p>
        </w:tc>
        <w:tc>
          <w:tcPr>
            <w:tcW w:w="2960" w:type="dxa"/>
            <w:shd w:val="clear" w:color="auto" w:fill="1B2A4A"/>
          </w:tcPr>
          <w:p w14:paraId="0D7B1F20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Rationale</w:t>
            </w:r>
          </w:p>
        </w:tc>
      </w:tr>
      <w:tr w:rsidR="00D876F7" w14:paraId="0D7B1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D7B1F22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[Decision 1]</w:t>
            </w:r>
          </w:p>
        </w:tc>
        <w:tc>
          <w:tcPr>
            <w:tcW w:w="2300" w:type="dxa"/>
          </w:tcPr>
          <w:p w14:paraId="0D7B1F23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[Options]</w:t>
            </w:r>
          </w:p>
        </w:tc>
        <w:tc>
          <w:tcPr>
            <w:tcW w:w="2300" w:type="dxa"/>
          </w:tcPr>
          <w:p w14:paraId="0D7B1F24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[Recommendation]</w:t>
            </w:r>
          </w:p>
        </w:tc>
        <w:tc>
          <w:tcPr>
            <w:tcW w:w="2960" w:type="dxa"/>
          </w:tcPr>
          <w:p w14:paraId="0D7B1F25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[Rationale and trade-offs]</w:t>
            </w:r>
          </w:p>
        </w:tc>
      </w:tr>
      <w:tr w:rsidR="00D876F7" w14:paraId="0D7B1F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D7B1F27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[Decision 2]</w:t>
            </w:r>
          </w:p>
        </w:tc>
        <w:tc>
          <w:tcPr>
            <w:tcW w:w="2300" w:type="dxa"/>
          </w:tcPr>
          <w:p w14:paraId="0D7B1F28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[Options]</w:t>
            </w:r>
          </w:p>
        </w:tc>
        <w:tc>
          <w:tcPr>
            <w:tcW w:w="2300" w:type="dxa"/>
          </w:tcPr>
          <w:p w14:paraId="0D7B1F29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[Recommendation]</w:t>
            </w:r>
          </w:p>
        </w:tc>
        <w:tc>
          <w:tcPr>
            <w:tcW w:w="2960" w:type="dxa"/>
          </w:tcPr>
          <w:p w14:paraId="0D7B1F2A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[Rationale and trade-offs]</w:t>
            </w:r>
          </w:p>
        </w:tc>
      </w:tr>
      <w:tr w:rsidR="00D876F7" w14:paraId="0D7B1F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D7B1F2C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[Decision 3]</w:t>
            </w:r>
          </w:p>
        </w:tc>
        <w:tc>
          <w:tcPr>
            <w:tcW w:w="2300" w:type="dxa"/>
          </w:tcPr>
          <w:p w14:paraId="0D7B1F2D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[Options]</w:t>
            </w:r>
          </w:p>
        </w:tc>
        <w:tc>
          <w:tcPr>
            <w:tcW w:w="2300" w:type="dxa"/>
          </w:tcPr>
          <w:p w14:paraId="0D7B1F2E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[Recommendation]</w:t>
            </w:r>
          </w:p>
        </w:tc>
        <w:tc>
          <w:tcPr>
            <w:tcW w:w="2960" w:type="dxa"/>
          </w:tcPr>
          <w:p w14:paraId="0D7B1F2F" w14:textId="77777777" w:rsidR="00D876F7" w:rsidRDefault="00E12F11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[Rationale and trade-offs]</w:t>
            </w:r>
          </w:p>
        </w:tc>
      </w:tr>
    </w:tbl>
    <w:p w14:paraId="0D7B1F31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 xml:space="preserve">6. </w:t>
      </w:r>
      <w:commentRangeStart w:id="3"/>
      <w:r>
        <w:rPr>
          <w:rFonts w:ascii="Calibri" w:eastAsia="Calibri" w:hAnsi="Calibri" w:cs="Calibri"/>
          <w:b/>
          <w:bCs/>
          <w:color w:val="1B2A4A"/>
        </w:rPr>
        <w:t>Migration &amp; Transition Considerations</w:t>
      </w:r>
      <w:commentRangeEnd w:id="3"/>
      <w:r w:rsidR="00562EDD">
        <w:rPr>
          <w:rStyle w:val="CommentReference"/>
          <w:sz w:val="32"/>
          <w:szCs w:val="32"/>
        </w:rPr>
        <w:commentReference w:id="3"/>
      </w:r>
    </w:p>
    <w:p w14:paraId="0D7B1F32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[Outline the high-level approach for transitioning from the current state to the target state, including phasing strategy, co-existence periods, data migration approach, and key dependencies.]</w:t>
      </w:r>
    </w:p>
    <w:p w14:paraId="0D7B1F33" w14:textId="77777777" w:rsidR="00D876F7" w:rsidRDefault="00E12F11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7. Appendix</w:t>
      </w:r>
    </w:p>
    <w:p w14:paraId="0D7B1F34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A. Architecture Diagram Inventory</w:t>
      </w:r>
    </w:p>
    <w:p w14:paraId="0D7B1F35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[List all diagrams included or to be developed: network topology, data flow, security zones, etc.]</w:t>
      </w:r>
    </w:p>
    <w:p w14:paraId="0D7B1F36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B. Technology Standards</w:t>
      </w:r>
    </w:p>
    <w:p w14:paraId="0D7B1F37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[Document the approved technology stack, version requirements, and configuration standards.]</w:t>
      </w:r>
    </w:p>
    <w:p w14:paraId="0D7B1F38" w14:textId="77777777" w:rsidR="00D876F7" w:rsidRDefault="00E12F11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C. Glossary</w:t>
      </w:r>
    </w:p>
    <w:p w14:paraId="0D7B1F39" w14:textId="77777777" w:rsidR="00D876F7" w:rsidRDefault="00E12F11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key terms and acronyms.]</w:t>
      </w:r>
    </w:p>
    <w:sectPr w:rsidR="00D876F7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garwal, Pankaj" w:date="2026-07-21T13:37:00Z" w:initials="PA">
    <w:p w14:paraId="47D51D4E" w14:textId="77777777" w:rsidR="006A4741" w:rsidRDefault="006A4741" w:rsidP="006A4741">
      <w:pPr>
        <w:pStyle w:val="CommentText"/>
      </w:pPr>
      <w:r>
        <w:rPr>
          <w:rStyle w:val="CommentReference"/>
        </w:rPr>
        <w:annotationRef/>
      </w:r>
      <w:r>
        <w:t xml:space="preserve">Included some of the components like “Unity Catalog” considering Databricks will be part of the target state </w:t>
      </w:r>
    </w:p>
  </w:comment>
  <w:comment w:id="1" w:author="Aggarwal, Pankaj" w:date="2026-07-21T13:40:00Z" w:initials="PA">
    <w:p w14:paraId="2C684BE6" w14:textId="77777777" w:rsidR="00180889" w:rsidRDefault="00180889" w:rsidP="00180889">
      <w:pPr>
        <w:pStyle w:val="CommentText"/>
      </w:pPr>
      <w:r>
        <w:rPr>
          <w:rStyle w:val="CommentReference"/>
        </w:rPr>
        <w:annotationRef/>
      </w:r>
      <w:r>
        <w:t>Per our discussion in Session 1 (7/21), Domain model is being developed, we can include details as we get additional details on Domains from Bradesco.</w:t>
      </w:r>
    </w:p>
  </w:comment>
  <w:comment w:id="2" w:author="Aggarwal, Pankaj" w:date="2026-07-21T13:41:00Z" w:initials="PA">
    <w:p w14:paraId="5CF4C769" w14:textId="77777777" w:rsidR="008C57C5" w:rsidRDefault="008C57C5" w:rsidP="008C57C5">
      <w:pPr>
        <w:pStyle w:val="CommentText"/>
      </w:pPr>
      <w:r>
        <w:rPr>
          <w:rStyle w:val="CommentReference"/>
        </w:rPr>
        <w:annotationRef/>
      </w:r>
      <w:r>
        <w:t>This section is where we need to log any specific design decision which have been made thus far and keep updating this document with any future decisions.</w:t>
      </w:r>
    </w:p>
  </w:comment>
  <w:comment w:id="3" w:author="Aggarwal, Pankaj" w:date="2026-07-21T13:44:00Z" w:initials="PA">
    <w:p w14:paraId="7FFDD965" w14:textId="77777777" w:rsidR="00562EDD" w:rsidRDefault="00562EDD" w:rsidP="00562EDD">
      <w:pPr>
        <w:pStyle w:val="CommentText"/>
      </w:pPr>
      <w:r>
        <w:rPr>
          <w:rStyle w:val="CommentReference"/>
        </w:rPr>
        <w:annotationRef/>
      </w:r>
      <w:r>
        <w:t>This can be defined after the assessment as Bradesco is in process of defining their target state and migration/transition consideration will potentially be discussed in 2027.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D51D4E" w15:done="0"/>
  <w15:commentEx w15:paraId="2C684BE6" w15:done="0"/>
  <w15:commentEx w15:paraId="5CF4C769" w15:done="0"/>
  <w15:commentEx w15:paraId="7FFDD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577C90" w16cex:dateUtc="2026-07-21T17:37:00Z"/>
  <w16cex:commentExtensible w16cex:durableId="6F52A569" w16cex:dateUtc="2026-07-21T17:40:00Z"/>
  <w16cex:commentExtensible w16cex:durableId="73018660" w16cex:dateUtc="2026-07-21T17:41:00Z"/>
  <w16cex:commentExtensible w16cex:durableId="0542183C" w16cex:dateUtc="2026-07-21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D51D4E" w16cid:durableId="1A577C90"/>
  <w16cid:commentId w16cid:paraId="2C684BE6" w16cid:durableId="6F52A569"/>
  <w16cid:commentId w16cid:paraId="5CF4C769" w16cid:durableId="73018660"/>
  <w16cid:commentId w16cid:paraId="7FFDD965" w16cid:durableId="054218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5A4E" w14:textId="77777777" w:rsidR="00E12F11" w:rsidRDefault="00E12F11">
      <w:r>
        <w:separator/>
      </w:r>
    </w:p>
  </w:endnote>
  <w:endnote w:type="continuationSeparator" w:id="0">
    <w:p w14:paraId="5FA2A385" w14:textId="77777777" w:rsidR="00E12F11" w:rsidRDefault="00E1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1F3B" w14:textId="6589B03E" w:rsidR="00D876F7" w:rsidRDefault="00E12F11">
    <w:pPr>
      <w:pBdr>
        <w:top w:val="single" w:sz="1" w:space="0" w:color="D0D5DD"/>
      </w:pBdr>
      <w:spacing w:before="100"/>
      <w:jc w:val="center"/>
    </w:pPr>
    <w:r>
      <w:rPr>
        <w:rFonts w:ascii="Calibri" w:eastAsia="Calibri" w:hAnsi="Calibri" w:cs="Calibri"/>
        <w:color w:val="5A6A7A"/>
        <w:sz w:val="16"/>
        <w:szCs w:val="16"/>
      </w:rPr>
      <w:t>[</w:t>
    </w:r>
    <w:r w:rsidR="00982643">
      <w:rPr>
        <w:rFonts w:ascii="Calibri" w:eastAsia="Calibri" w:hAnsi="Calibri" w:cs="Calibri"/>
        <w:color w:val="5A6A7A"/>
        <w:sz w:val="16"/>
        <w:szCs w:val="16"/>
      </w:rPr>
      <w:t>RSM US LLP</w:t>
    </w:r>
    <w:r>
      <w:rPr>
        <w:rFonts w:ascii="Calibri" w:eastAsia="Calibri" w:hAnsi="Calibri" w:cs="Calibri"/>
        <w:color w:val="5A6A7A"/>
        <w:sz w:val="16"/>
        <w:szCs w:val="16"/>
      </w:rPr>
      <w:t xml:space="preserve">]   |  Page </w:t>
    </w:r>
    <w:r>
      <w:rPr>
        <w:rFonts w:ascii="Calibri" w:eastAsia="Calibri" w:hAnsi="Calibri" w:cs="Calibri"/>
        <w:color w:val="5A6A7A"/>
        <w:sz w:val="16"/>
        <w:szCs w:val="16"/>
      </w:rPr>
      <w:fldChar w:fldCharType="begin"/>
    </w:r>
    <w:r>
      <w:rPr>
        <w:rFonts w:ascii="Calibri" w:eastAsia="Calibri" w:hAnsi="Calibri" w:cs="Calibri"/>
        <w:color w:val="5A6A7A"/>
        <w:sz w:val="16"/>
        <w:szCs w:val="16"/>
      </w:rPr>
      <w:instrText>PAGE</w:instrText>
    </w:r>
    <w:r>
      <w:rPr>
        <w:rFonts w:ascii="Calibri" w:eastAsia="Calibri" w:hAnsi="Calibri" w:cs="Calibri"/>
        <w:color w:val="5A6A7A"/>
        <w:sz w:val="16"/>
        <w:szCs w:val="16"/>
      </w:rPr>
      <w:fldChar w:fldCharType="separate"/>
    </w:r>
    <w:r w:rsidR="001C0B86">
      <w:rPr>
        <w:rFonts w:ascii="Calibri" w:eastAsia="Calibri" w:hAnsi="Calibri" w:cs="Calibri"/>
        <w:noProof/>
        <w:color w:val="5A6A7A"/>
        <w:sz w:val="16"/>
        <w:szCs w:val="16"/>
      </w:rPr>
      <w:t>1</w:t>
    </w:r>
    <w:r>
      <w:rPr>
        <w:rFonts w:ascii="Calibri" w:eastAsia="Calibri" w:hAnsi="Calibri" w:cs="Calibri"/>
        <w:color w:val="5A6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964E" w14:textId="77777777" w:rsidR="00E12F11" w:rsidRDefault="00E12F11">
      <w:r>
        <w:separator/>
      </w:r>
    </w:p>
  </w:footnote>
  <w:footnote w:type="continuationSeparator" w:id="0">
    <w:p w14:paraId="18611ACB" w14:textId="77777777" w:rsidR="00E12F11" w:rsidRDefault="00E12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1F3A" w14:textId="77777777" w:rsidR="00D876F7" w:rsidRDefault="00E12F11">
    <w:pPr>
      <w:jc w:val="right"/>
    </w:pPr>
    <w:r>
      <w:rPr>
        <w:rFonts w:ascii="Calibri" w:eastAsia="Calibri" w:hAnsi="Calibri" w:cs="Calibri"/>
        <w:i/>
        <w:iCs/>
        <w:color w:val="5A6A7A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1B5F"/>
    <w:multiLevelType w:val="hybridMultilevel"/>
    <w:tmpl w:val="97D8CAA0"/>
    <w:lvl w:ilvl="0" w:tplc="D6E8029A">
      <w:start w:val="1"/>
      <w:numFmt w:val="bullet"/>
      <w:lvlText w:val="●"/>
      <w:lvlJc w:val="left"/>
      <w:pPr>
        <w:ind w:left="720" w:hanging="360"/>
      </w:pPr>
    </w:lvl>
    <w:lvl w:ilvl="1" w:tplc="14CE7814">
      <w:start w:val="1"/>
      <w:numFmt w:val="bullet"/>
      <w:lvlText w:val="○"/>
      <w:lvlJc w:val="left"/>
      <w:pPr>
        <w:ind w:left="1440" w:hanging="360"/>
      </w:pPr>
    </w:lvl>
    <w:lvl w:ilvl="2" w:tplc="FF68D5A8">
      <w:start w:val="1"/>
      <w:numFmt w:val="bullet"/>
      <w:lvlText w:val="■"/>
      <w:lvlJc w:val="left"/>
      <w:pPr>
        <w:ind w:left="2160" w:hanging="360"/>
      </w:pPr>
    </w:lvl>
    <w:lvl w:ilvl="3" w:tplc="2CBC9184">
      <w:start w:val="1"/>
      <w:numFmt w:val="bullet"/>
      <w:lvlText w:val="●"/>
      <w:lvlJc w:val="left"/>
      <w:pPr>
        <w:ind w:left="2880" w:hanging="360"/>
      </w:pPr>
    </w:lvl>
    <w:lvl w:ilvl="4" w:tplc="005C0006">
      <w:start w:val="1"/>
      <w:numFmt w:val="bullet"/>
      <w:lvlText w:val="○"/>
      <w:lvlJc w:val="left"/>
      <w:pPr>
        <w:ind w:left="3600" w:hanging="360"/>
      </w:pPr>
    </w:lvl>
    <w:lvl w:ilvl="5" w:tplc="49103EF8">
      <w:start w:val="1"/>
      <w:numFmt w:val="bullet"/>
      <w:lvlText w:val="■"/>
      <w:lvlJc w:val="left"/>
      <w:pPr>
        <w:ind w:left="4320" w:hanging="360"/>
      </w:pPr>
    </w:lvl>
    <w:lvl w:ilvl="6" w:tplc="09B24940">
      <w:start w:val="1"/>
      <w:numFmt w:val="bullet"/>
      <w:lvlText w:val="●"/>
      <w:lvlJc w:val="left"/>
      <w:pPr>
        <w:ind w:left="5040" w:hanging="360"/>
      </w:pPr>
    </w:lvl>
    <w:lvl w:ilvl="7" w:tplc="6F126E86">
      <w:start w:val="1"/>
      <w:numFmt w:val="bullet"/>
      <w:lvlText w:val="●"/>
      <w:lvlJc w:val="left"/>
      <w:pPr>
        <w:ind w:left="5760" w:hanging="360"/>
      </w:pPr>
    </w:lvl>
    <w:lvl w:ilvl="8" w:tplc="ABF0B46C">
      <w:start w:val="1"/>
      <w:numFmt w:val="bullet"/>
      <w:lvlText w:val="●"/>
      <w:lvlJc w:val="left"/>
      <w:pPr>
        <w:ind w:left="6480" w:hanging="360"/>
      </w:pPr>
    </w:lvl>
  </w:abstractNum>
  <w:num w:numId="1" w16cid:durableId="73671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garwal, Pankaj">
    <w15:presenceInfo w15:providerId="AD" w15:userId="S::E118687@mcgladrey.rsm.net::47e496ec-fa62-449b-9b12-a6d46d5ee4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6F7"/>
    <w:rsid w:val="00180889"/>
    <w:rsid w:val="001C0B86"/>
    <w:rsid w:val="00562EDD"/>
    <w:rsid w:val="006A4741"/>
    <w:rsid w:val="00750B91"/>
    <w:rsid w:val="008C57C5"/>
    <w:rsid w:val="00982643"/>
    <w:rsid w:val="00995CF3"/>
    <w:rsid w:val="00BB3590"/>
    <w:rsid w:val="00D876F7"/>
    <w:rsid w:val="00E1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1E82"/>
  <w15:docId w15:val="{A6D23D84-2967-43BC-8499-861DB677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26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2643"/>
  </w:style>
  <w:style w:type="paragraph" w:styleId="Footer">
    <w:name w:val="footer"/>
    <w:basedOn w:val="Normal"/>
    <w:link w:val="FooterChar"/>
    <w:uiPriority w:val="99"/>
    <w:unhideWhenUsed/>
    <w:rsid w:val="009826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2643"/>
  </w:style>
  <w:style w:type="character" w:styleId="CommentReference">
    <w:name w:val="annotation reference"/>
    <w:basedOn w:val="DefaultParagraphFont"/>
    <w:uiPriority w:val="99"/>
    <w:semiHidden/>
    <w:unhideWhenUsed/>
    <w:rsid w:val="006A47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4741"/>
  </w:style>
  <w:style w:type="character" w:customStyle="1" w:styleId="CommentTextChar">
    <w:name w:val="Comment Text Char"/>
    <w:basedOn w:val="DefaultParagraphFont"/>
    <w:link w:val="CommentText"/>
    <w:uiPriority w:val="99"/>
    <w:rsid w:val="006A47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7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701</Words>
  <Characters>4742</Characters>
  <Application>Microsoft Office Word</Application>
  <DocSecurity>0</DocSecurity>
  <Lines>206</Lines>
  <Paragraphs>164</Paragraphs>
  <ScaleCrop>false</ScaleCrop>
  <Company>RSM</Company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Aggarwal, Pankaj</cp:lastModifiedBy>
  <cp:revision>10</cp:revision>
  <dcterms:created xsi:type="dcterms:W3CDTF">2026-07-20T16:50:00Z</dcterms:created>
  <dcterms:modified xsi:type="dcterms:W3CDTF">2026-07-21T17:44:00Z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