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Meridian Analytics People Analytics Dashboard</w:t>
      </w:r>
    </w:p>
    <w:p>
      <w:pPr>
        <w:jc w:val="center"/>
      </w:pPr>
      <w:r>
        <w:rPr>
          <w:color w:val="595959"/>
          <w:sz w:val="30"/>
        </w:rPr>
        <w:t>Product Requirements Document, Version 0.1</w:t>
      </w:r>
    </w:p>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1F4E79"/>
            <w:vAlign w:val="center"/>
          </w:tcPr>
          <w:p>
            <w:r>
              <w:rPr>
                <w:b/>
                <w:color w:val="FFFFFF"/>
              </w:rPr>
              <w:t>Document Field</w:t>
            </w:r>
          </w:p>
        </w:tc>
        <w:tc>
          <w:tcPr>
            <w:tcW w:type="dxa" w:w="7200"/>
            <w:shd w:fill="1F4E79"/>
            <w:vAlign w:val="center"/>
          </w:tcPr>
          <w:p>
            <w:r>
              <w:rPr>
                <w:b/>
                <w:color w:val="FFFFFF"/>
              </w:rPr>
              <w:t>Detail</w:t>
            </w:r>
          </w:p>
        </w:tc>
      </w:tr>
      <w:tr>
        <w:tc>
          <w:tcPr>
            <w:tcW w:type="dxa" w:w="3168"/>
            <w:vAlign w:val="top"/>
          </w:tcPr>
          <w:p>
            <w:r>
              <w:rPr>
                <w:sz w:val="16"/>
              </w:rPr>
              <w:t>Product name</w:t>
            </w:r>
          </w:p>
        </w:tc>
        <w:tc>
          <w:tcPr>
            <w:tcW w:type="dxa" w:w="7200"/>
            <w:vAlign w:val="top"/>
          </w:tcPr>
          <w:p>
            <w:r>
              <w:rPr>
                <w:sz w:val="16"/>
              </w:rPr>
              <w:t>Meridian Analytics People Analytics Dashboard</w:t>
            </w:r>
          </w:p>
        </w:tc>
      </w:tr>
      <w:tr>
        <w:tc>
          <w:tcPr>
            <w:tcW w:type="dxa" w:w="3168"/>
            <w:vAlign w:val="top"/>
          </w:tcPr>
          <w:p>
            <w:r>
              <w:rPr>
                <w:sz w:val="16"/>
              </w:rPr>
              <w:t>Document type</w:t>
            </w:r>
          </w:p>
        </w:tc>
        <w:tc>
          <w:tcPr>
            <w:tcW w:type="dxa" w:w="7200"/>
            <w:vAlign w:val="top"/>
          </w:tcPr>
          <w:p>
            <w:r>
              <w:rPr>
                <w:sz w:val="16"/>
              </w:rPr>
              <w:t>Product Requirements Document</w:t>
            </w:r>
          </w:p>
        </w:tc>
      </w:tr>
      <w:tr>
        <w:tc>
          <w:tcPr>
            <w:tcW w:type="dxa" w:w="3168"/>
            <w:vAlign w:val="top"/>
          </w:tcPr>
          <w:p>
            <w:r>
              <w:rPr>
                <w:sz w:val="16"/>
              </w:rPr>
              <w:t>Version</w:t>
            </w:r>
          </w:p>
        </w:tc>
        <w:tc>
          <w:tcPr>
            <w:tcW w:type="dxa" w:w="7200"/>
            <w:vAlign w:val="top"/>
          </w:tcPr>
          <w:p>
            <w:r>
              <w:rPr>
                <w:sz w:val="16"/>
              </w:rPr>
              <w:t>0.1, first working version</w:t>
            </w:r>
          </w:p>
        </w:tc>
      </w:tr>
      <w:tr>
        <w:tc>
          <w:tcPr>
            <w:tcW w:type="dxa" w:w="3168"/>
            <w:vAlign w:val="top"/>
          </w:tcPr>
          <w:p>
            <w:r>
              <w:rPr>
                <w:sz w:val="16"/>
              </w:rPr>
              <w:t>Prepared for</w:t>
            </w:r>
          </w:p>
        </w:tc>
        <w:tc>
          <w:tcPr>
            <w:tcW w:type="dxa" w:w="7200"/>
            <w:vAlign w:val="top"/>
          </w:tcPr>
          <w:p>
            <w:r>
              <w:rPr>
                <w:sz w:val="16"/>
              </w:rPr>
              <w:t>Meridian Analytics dashboard development team and bootcamp build team</w:t>
            </w:r>
          </w:p>
        </w:tc>
      </w:tr>
      <w:tr>
        <w:tc>
          <w:tcPr>
            <w:tcW w:type="dxa" w:w="3168"/>
            <w:vAlign w:val="top"/>
          </w:tcPr>
          <w:p>
            <w:r>
              <w:rPr>
                <w:sz w:val="16"/>
              </w:rPr>
              <w:t>Primary owner</w:t>
            </w:r>
          </w:p>
        </w:tc>
        <w:tc>
          <w:tcPr>
            <w:tcW w:type="dxa" w:w="7200"/>
            <w:vAlign w:val="top"/>
          </w:tcPr>
          <w:p>
            <w:r>
              <w:rPr>
                <w:sz w:val="16"/>
              </w:rPr>
              <w:t>Enrique Rubio / Product Lead</w:t>
            </w:r>
          </w:p>
        </w:tc>
      </w:tr>
      <w:tr>
        <w:tc>
          <w:tcPr>
            <w:tcW w:type="dxa" w:w="3168"/>
            <w:vAlign w:val="top"/>
          </w:tcPr>
          <w:p>
            <w:r>
              <w:rPr>
                <w:sz w:val="16"/>
              </w:rPr>
              <w:t>Prepared on</w:t>
            </w:r>
          </w:p>
        </w:tc>
        <w:tc>
          <w:tcPr>
            <w:tcW w:type="dxa" w:w="7200"/>
            <w:vAlign w:val="top"/>
          </w:tcPr>
          <w:p>
            <w:r>
              <w:rPr>
                <w:sz w:val="16"/>
              </w:rPr>
              <w:t>2026-05-11</w:t>
            </w:r>
          </w:p>
        </w:tc>
      </w:tr>
      <w:tr>
        <w:tc>
          <w:tcPr>
            <w:tcW w:type="dxa" w:w="3168"/>
            <w:vAlign w:val="top"/>
          </w:tcPr>
          <w:p>
            <w:r>
              <w:rPr>
                <w:sz w:val="16"/>
              </w:rPr>
              <w:t>Primary build context</w:t>
            </w:r>
          </w:p>
        </w:tc>
        <w:tc>
          <w:tcPr>
            <w:tcW w:type="dxa" w:w="7200"/>
            <w:vAlign w:val="top"/>
          </w:tcPr>
          <w:p>
            <w:r>
              <w:rPr>
                <w:sz w:val="16"/>
              </w:rPr>
              <w:t>AI-assisted development using GitHub, Supabase, Render, Claude Code, VS Code and Codex</w:t>
            </w:r>
          </w:p>
        </w:tc>
      </w:tr>
      <w:tr>
        <w:tc>
          <w:tcPr>
            <w:tcW w:type="dxa" w:w="3168"/>
            <w:vAlign w:val="top"/>
          </w:tcPr>
          <w:p>
            <w:r>
              <w:rPr>
                <w:sz w:val="16"/>
              </w:rPr>
              <w:t>Data environment</w:t>
            </w:r>
          </w:p>
        </w:tc>
        <w:tc>
          <w:tcPr>
            <w:tcW w:type="dxa" w:w="7200"/>
            <w:vAlign w:val="top"/>
          </w:tcPr>
          <w:p>
            <w:r>
              <w:rPr>
                <w:sz w:val="16"/>
              </w:rPr>
              <w:t>Synthetic Meridian Analytics people, recruiting, compensation, engagement, performance and planning data</w:t>
            </w:r>
          </w:p>
        </w:tc>
      </w:tr>
    </w:tbl>
    <w:p/>
    <w:p>
      <w:r>
        <w:rPr>
          <w:b/>
        </w:rPr>
        <w:t xml:space="preserve">Note: </w:t>
      </w:r>
      <w:r>
        <w:t>This PRD consolidates the bootcamp workflow document and the Meridian Analytics data package into one shared product definition. It is intended to align simultaneous work by multiple AI-assisted development workstreams, not to serve as a production HRIS specification.</w:t>
      </w:r>
    </w:p>
    <w:p>
      <w:r>
        <w:br w:type="page"/>
      </w:r>
    </w:p>
    <w:p>
      <w:pPr>
        <w:pStyle w:val="Heading1"/>
      </w:pPr>
      <w:r>
        <w:t>1. Executive Summary</w:t>
      </w:r>
    </w:p>
    <w:p>
      <w:r>
        <w:t>The Meridian Analytics People Analytics Dashboard is a working, executive-facing people analytics application that converts synthetic HR datasets into descriptive, diagnostic and directional predictive insights. The first version should prove the full development workflow: define the product, structure the data, create database migrations, build backend analytics logic, build the frontend dashboard, connect to Supabase, deploy to Render and demonstrate the dashboard as a decision-support tool for HR and business leaders.</w:t>
      </w:r>
    </w:p>
    <w:p>
      <w:r>
        <w:t>The dashboard should feel credible enough for a CHRO, CFO, CEO or business unit leader to use in a leadership meeting. It should not feel like a generic reporting toy. It should help users quickly identify where to investigate workforce composition, attrition, engagement, hiring velocity, compensation risk, manager effectiveness, performance patterns and workforce planning gaps.</w:t>
      </w:r>
    </w:p>
    <w:p>
      <w:r>
        <w:t>Version 0.1 prioritizes a strong foundation over feature sprawl. The system must present the most important metrics, show clear definitions, support practical filters and include responsible-use language for predictive indicators. It must also make the synthetic-data context explicit so users understand this is a learning and demonstration environment.</w:t>
      </w:r>
    </w:p>
    <w:p>
      <w:pPr>
        <w:pStyle w:val="Heading1"/>
      </w:pPr>
      <w:r>
        <w:t>2. Product Vision and Decision Value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center"/>
          </w:tcPr>
          <w:p>
            <w:r>
              <w:rPr>
                <w:b/>
                <w:color w:val="FFFFFF"/>
              </w:rPr>
              <w:t>Area</w:t>
            </w:r>
          </w:p>
        </w:tc>
        <w:tc>
          <w:tcPr>
            <w:tcW w:type="dxa" w:w="7776"/>
            <w:shd w:fill="1F4E79"/>
            <w:vAlign w:val="center"/>
          </w:tcPr>
          <w:p>
            <w:r>
              <w:rPr>
                <w:b/>
                <w:color w:val="FFFFFF"/>
              </w:rPr>
              <w:t>Version 0.1 Definition</w:t>
            </w:r>
          </w:p>
        </w:tc>
      </w:tr>
      <w:tr>
        <w:tc>
          <w:tcPr>
            <w:tcW w:type="dxa" w:w="2592"/>
            <w:vAlign w:val="top"/>
          </w:tcPr>
          <w:p>
            <w:r>
              <w:rPr>
                <w:sz w:val="16"/>
              </w:rPr>
              <w:t>Vision</w:t>
            </w:r>
          </w:p>
        </w:tc>
        <w:tc>
          <w:tcPr>
            <w:tcW w:type="dxa" w:w="7776"/>
            <w:vAlign w:val="top"/>
          </w:tcPr>
          <w:p>
            <w:r>
              <w:rPr>
                <w:sz w:val="16"/>
              </w:rPr>
              <w:t>A clean, credible people analytics dashboard that helps Meridian Analytics leaders understand workforce health, people risks and talent system performance using synthetic but realistic HR data.</w:t>
            </w:r>
          </w:p>
        </w:tc>
      </w:tr>
      <w:tr>
        <w:tc>
          <w:tcPr>
            <w:tcW w:type="dxa" w:w="2592"/>
            <w:vAlign w:val="top"/>
          </w:tcPr>
          <w:p>
            <w:r>
              <w:rPr>
                <w:sz w:val="16"/>
              </w:rPr>
              <w:t>Primary decision value</w:t>
            </w:r>
          </w:p>
        </w:tc>
        <w:tc>
          <w:tcPr>
            <w:tcW w:type="dxa" w:w="7776"/>
            <w:vAlign w:val="top"/>
          </w:tcPr>
          <w:p>
            <w:r>
              <w:rPr>
                <w:sz w:val="16"/>
              </w:rPr>
              <w:t>Help leaders know where to investigate first: departments with high regrettable attrition, managers with unusual engagement or performance patterns, compensation risk pockets, recruiting bottlenecks, workforce plan gaps and elevated flight-risk segments.</w:t>
            </w:r>
          </w:p>
        </w:tc>
      </w:tr>
      <w:tr>
        <w:tc>
          <w:tcPr>
            <w:tcW w:type="dxa" w:w="2592"/>
            <w:vAlign w:val="top"/>
          </w:tcPr>
          <w:p>
            <w:r>
              <w:rPr>
                <w:sz w:val="16"/>
              </w:rPr>
              <w:t>What the product is</w:t>
            </w:r>
          </w:p>
        </w:tc>
        <w:tc>
          <w:tcPr>
            <w:tcW w:type="dxa" w:w="7776"/>
            <w:vAlign w:val="top"/>
          </w:tcPr>
          <w:p>
            <w:r>
              <w:rPr>
                <w:sz w:val="16"/>
              </w:rPr>
              <w:t>A decision-support dashboard for live demonstration, bootcamp learning, HR analytics practice and AI-assisted development workflow demonstration.</w:t>
            </w:r>
          </w:p>
        </w:tc>
      </w:tr>
      <w:tr>
        <w:tc>
          <w:tcPr>
            <w:tcW w:type="dxa" w:w="2592"/>
            <w:vAlign w:val="top"/>
          </w:tcPr>
          <w:p>
            <w:r>
              <w:rPr>
                <w:sz w:val="16"/>
              </w:rPr>
              <w:t>What the product is not</w:t>
            </w:r>
          </w:p>
        </w:tc>
        <w:tc>
          <w:tcPr>
            <w:tcW w:type="dxa" w:w="7776"/>
            <w:vAlign w:val="top"/>
          </w:tcPr>
          <w:p>
            <w:r>
              <w:rPr>
                <w:sz w:val="16"/>
              </w:rPr>
              <w:t>A production HRIS replacement, a legally validated predictive employment tool, an automated employment decision system, or a platform using real employee data.</w:t>
            </w:r>
          </w:p>
        </w:tc>
      </w:tr>
      <w:tr>
        <w:tc>
          <w:tcPr>
            <w:tcW w:type="dxa" w:w="2592"/>
            <w:vAlign w:val="top"/>
          </w:tcPr>
          <w:p>
            <w:r>
              <w:rPr>
                <w:sz w:val="16"/>
              </w:rPr>
              <w:t>Guiding design principle</w:t>
            </w:r>
          </w:p>
        </w:tc>
        <w:tc>
          <w:tcPr>
            <w:tcW w:type="dxa" w:w="7776"/>
            <w:vAlign w:val="top"/>
          </w:tcPr>
          <w:p>
            <w:r>
              <w:rPr>
                <w:sz w:val="16"/>
              </w:rPr>
              <w:t>Executive enough for a leadership meeting, transparent enough for a learner, and disciplined enough for a software team to build from.</w:t>
            </w:r>
          </w:p>
        </w:tc>
      </w:tr>
    </w:tbl>
    <w:p/>
    <w:p>
      <w:pPr>
        <w:pStyle w:val="Heading1"/>
      </w:pPr>
      <w:r>
        <w:t>3. Business and Organizational Context</w:t>
      </w:r>
    </w:p>
    <w:p>
      <w:r>
        <w:t>Meridian Analytics is a synthetic late-stage B2B SaaS company in supply-chain analytics and demand planning. The company serves mid-market consumer goods, specialty retail and consumer health organizations with products for demand forecasting, inventory optimization, replenishment, promotion planning and network visibility. Its synthetic company overview positions it as a Series D, growth-equity-backed company with approximately $165M ARR, 28 percent year-over-year growth, 76 percent gross margin and public-company readiness as a long-term strategic theme.</w:t>
      </w:r>
    </w:p>
    <w:p>
      <w:r>
        <w:t>The dashboard should reflect this operating context. Meridian is not only trying to report HR metrics. It is preparing for scale, operational discipline, talent consistency, compensation maturity and workforce readiness. The product should therefore connect people metrics to business concerns such as execution capacity, retention of critical talent, hiring plan delivery, manager effectiveness, compensation architecture and readiness for future growth.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1F4E79"/>
            <w:vAlign w:val="center"/>
          </w:tcPr>
          <w:p>
            <w:r>
              <w:rPr>
                <w:b/>
                <w:color w:val="FFFFFF"/>
              </w:rPr>
              <w:t>Context Element</w:t>
            </w:r>
          </w:p>
        </w:tc>
        <w:tc>
          <w:tcPr>
            <w:tcW w:type="dxa" w:w="7488"/>
            <w:shd w:fill="1F4E79"/>
            <w:vAlign w:val="center"/>
          </w:tcPr>
          <w:p>
            <w:r>
              <w:rPr>
                <w:b/>
                <w:color w:val="FFFFFF"/>
              </w:rPr>
              <w:t>Implication for Dashboard Requirements</w:t>
            </w:r>
          </w:p>
        </w:tc>
      </w:tr>
      <w:tr>
        <w:tc>
          <w:tcPr>
            <w:tcW w:type="dxa" w:w="2880"/>
            <w:vAlign w:val="top"/>
          </w:tcPr>
          <w:p>
            <w:r>
              <w:rPr>
                <w:sz w:val="16"/>
              </w:rPr>
              <w:t>Late-stage private company</w:t>
            </w:r>
          </w:p>
        </w:tc>
        <w:tc>
          <w:tcPr>
            <w:tcW w:type="dxa" w:w="7488"/>
            <w:vAlign w:val="top"/>
          </w:tcPr>
          <w:p>
            <w:r>
              <w:rPr>
                <w:sz w:val="16"/>
              </w:rPr>
              <w:t>Include public-company readiness, auditability, compensation consistency and workforce planning discipline as interpretation themes.</w:t>
            </w:r>
          </w:p>
        </w:tc>
      </w:tr>
      <w:tr>
        <w:tc>
          <w:tcPr>
            <w:tcW w:type="dxa" w:w="2880"/>
            <w:vAlign w:val="top"/>
          </w:tcPr>
          <w:p>
            <w:r>
              <w:rPr>
                <w:sz w:val="16"/>
              </w:rPr>
              <w:t>B2B SaaS / supply-chain analytics</w:t>
            </w:r>
          </w:p>
        </w:tc>
        <w:tc>
          <w:tcPr>
            <w:tcW w:type="dxa" w:w="7488"/>
            <w:vAlign w:val="top"/>
          </w:tcPr>
          <w:p>
            <w:r>
              <w:rPr>
                <w:sz w:val="16"/>
              </w:rPr>
              <w:t>Use workforce cuts by function, job family, technical capability, customer-facing roles and location.</w:t>
            </w:r>
          </w:p>
        </w:tc>
      </w:tr>
      <w:tr>
        <w:tc>
          <w:tcPr>
            <w:tcW w:type="dxa" w:w="2880"/>
            <w:vAlign w:val="top"/>
          </w:tcPr>
          <w:p>
            <w:r>
              <w:rPr>
                <w:sz w:val="16"/>
              </w:rPr>
              <w:t>Growth and scale pressure</w:t>
            </w:r>
          </w:p>
        </w:tc>
        <w:tc>
          <w:tcPr>
            <w:tcW w:type="dxa" w:w="7488"/>
            <w:vAlign w:val="top"/>
          </w:tcPr>
          <w:p>
            <w:r>
              <w:rPr>
                <w:sz w:val="16"/>
              </w:rPr>
              <w:t>Prioritize hiring velocity, headcount plan vs actual, attrition, internal mobility and manager span of control.</w:t>
            </w:r>
          </w:p>
        </w:tc>
      </w:tr>
      <w:tr>
        <w:tc>
          <w:tcPr>
            <w:tcW w:type="dxa" w:w="2880"/>
            <w:vAlign w:val="top"/>
          </w:tcPr>
          <w:p>
            <w:r>
              <w:rPr>
                <w:sz w:val="16"/>
              </w:rPr>
              <w:t>Formal capability framework</w:t>
            </w:r>
          </w:p>
        </w:tc>
        <w:tc>
          <w:tcPr>
            <w:tcW w:type="dxa" w:w="7488"/>
            <w:vAlign w:val="top"/>
          </w:tcPr>
          <w:p>
            <w:r>
              <w:rPr>
                <w:sz w:val="16"/>
              </w:rPr>
              <w:t>Include competency and performance review data as part of talent quality, promotion readiness and leadership bench analysis.</w:t>
            </w:r>
          </w:p>
        </w:tc>
      </w:tr>
      <w:tr>
        <w:tc>
          <w:tcPr>
            <w:tcW w:type="dxa" w:w="2880"/>
            <w:vAlign w:val="top"/>
          </w:tcPr>
          <w:p>
            <w:r>
              <w:rPr>
                <w:sz w:val="16"/>
              </w:rPr>
              <w:t>Compensation maturity work</w:t>
            </w:r>
          </w:p>
        </w:tc>
        <w:tc>
          <w:tcPr>
            <w:tcW w:type="dxa" w:w="7488"/>
            <w:vAlign w:val="top"/>
          </w:tcPr>
          <w:p>
            <w:r>
              <w:rPr>
                <w:sz w:val="16"/>
              </w:rPr>
              <w:t>Include compa-ratio, range penetration, pay zone, benchmark comparison and equity indicators.</w:t>
            </w:r>
          </w:p>
        </w:tc>
      </w:tr>
      <w:tr>
        <w:tc>
          <w:tcPr>
            <w:tcW w:type="dxa" w:w="2880"/>
            <w:vAlign w:val="top"/>
          </w:tcPr>
          <w:p>
            <w:r>
              <w:rPr>
                <w:sz w:val="16"/>
              </w:rPr>
              <w:t>Engagement and culture data</w:t>
            </w:r>
          </w:p>
        </w:tc>
        <w:tc>
          <w:tcPr>
            <w:tcW w:type="dxa" w:w="7488"/>
            <w:vAlign w:val="top"/>
          </w:tcPr>
          <w:p>
            <w:r>
              <w:rPr>
                <w:sz w:val="16"/>
              </w:rPr>
              <w:t>Include engagement category trends, manager effectiveness, workload and wellbeing, confidence in leadership and retention linkage.</w:t>
            </w:r>
          </w:p>
        </w:tc>
      </w:tr>
    </w:tbl>
    <w:p/>
    <w:p>
      <w:pPr>
        <w:pStyle w:val="Heading1"/>
      </w:pPr>
      <w:r>
        <w:t>4. Users, Personas and Jobs to Be Done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944"/>
            <w:shd w:fill="1F4E79"/>
            <w:vAlign w:val="center"/>
          </w:tcPr>
          <w:p>
            <w:r>
              <w:rPr>
                <w:b/>
                <w:color w:val="FFFFFF"/>
              </w:rPr>
              <w:t>Persona</w:t>
            </w:r>
          </w:p>
        </w:tc>
        <w:tc>
          <w:tcPr>
            <w:tcW w:type="dxa" w:w="2016"/>
            <w:shd w:fill="1F4E79"/>
            <w:vAlign w:val="center"/>
          </w:tcPr>
          <w:p>
            <w:r>
              <w:rPr>
                <w:b/>
                <w:color w:val="FFFFFF"/>
              </w:rPr>
              <w:t>Need</w:t>
            </w:r>
          </w:p>
        </w:tc>
        <w:tc>
          <w:tcPr>
            <w:tcW w:type="dxa" w:w="3672"/>
            <w:shd w:fill="1F4E79"/>
            <w:vAlign w:val="center"/>
          </w:tcPr>
          <w:p>
            <w:r>
              <w:rPr>
                <w:b/>
                <w:color w:val="FFFFFF"/>
              </w:rPr>
              <w:t>Primary Jobs to Be Done</w:t>
            </w:r>
          </w:p>
        </w:tc>
        <w:tc>
          <w:tcPr>
            <w:tcW w:type="dxa" w:w="2736"/>
            <w:shd w:fill="1F4E79"/>
            <w:vAlign w:val="center"/>
          </w:tcPr>
          <w:p>
            <w:r>
              <w:rPr>
                <w:b/>
                <w:color w:val="FFFFFF"/>
              </w:rPr>
              <w:t>Success Looks Like</w:t>
            </w:r>
          </w:p>
        </w:tc>
      </w:tr>
      <w:tr>
        <w:tc>
          <w:tcPr>
            <w:tcW w:type="dxa" w:w="1944"/>
            <w:vAlign w:val="top"/>
          </w:tcPr>
          <w:p>
            <w:r>
              <w:rPr>
                <w:sz w:val="16"/>
              </w:rPr>
              <w:t>CHRO / CPO</w:t>
            </w:r>
          </w:p>
        </w:tc>
        <w:tc>
          <w:tcPr>
            <w:tcW w:type="dxa" w:w="2016"/>
            <w:vAlign w:val="top"/>
          </w:tcPr>
          <w:p>
            <w:r>
              <w:rPr>
                <w:sz w:val="16"/>
              </w:rPr>
              <w:t>A clear view of workforce health and people risk</w:t>
            </w:r>
          </w:p>
        </w:tc>
        <w:tc>
          <w:tcPr>
            <w:tcW w:type="dxa" w:w="3672"/>
            <w:vAlign w:val="top"/>
          </w:tcPr>
          <w:p>
            <w:r>
              <w:rPr>
                <w:sz w:val="16"/>
              </w:rPr>
              <w:t>Identify people risks, prepare executive narratives, prioritize interventions and align HR work to business outcomes</w:t>
            </w:r>
          </w:p>
        </w:tc>
        <w:tc>
          <w:tcPr>
            <w:tcW w:type="dxa" w:w="2736"/>
            <w:vAlign w:val="top"/>
          </w:tcPr>
          <w:p>
            <w:r>
              <w:rPr>
                <w:sz w:val="16"/>
              </w:rPr>
              <w:t>Can explain top risks and recommended investigation areas in two minutes</w:t>
            </w:r>
          </w:p>
        </w:tc>
      </w:tr>
      <w:tr>
        <w:tc>
          <w:tcPr>
            <w:tcW w:type="dxa" w:w="1944"/>
            <w:vAlign w:val="top"/>
          </w:tcPr>
          <w:p>
            <w:r>
              <w:rPr>
                <w:sz w:val="16"/>
              </w:rPr>
              <w:t>CEO / Executive Team</w:t>
            </w:r>
          </w:p>
        </w:tc>
        <w:tc>
          <w:tcPr>
            <w:tcW w:type="dxa" w:w="2016"/>
            <w:vAlign w:val="top"/>
          </w:tcPr>
          <w:p>
            <w:r>
              <w:rPr>
                <w:sz w:val="16"/>
              </w:rPr>
              <w:t>A business-level view of people capacity and execution risk</w:t>
            </w:r>
          </w:p>
        </w:tc>
        <w:tc>
          <w:tcPr>
            <w:tcW w:type="dxa" w:w="3672"/>
            <w:vAlign w:val="top"/>
          </w:tcPr>
          <w:p>
            <w:r>
              <w:rPr>
                <w:sz w:val="16"/>
              </w:rPr>
              <w:t>Understand where workforce issues may affect growth, customer delivery, operating discipline or strategic readiness</w:t>
            </w:r>
          </w:p>
        </w:tc>
        <w:tc>
          <w:tcPr>
            <w:tcW w:type="dxa" w:w="2736"/>
            <w:vAlign w:val="top"/>
          </w:tcPr>
          <w:p>
            <w:r>
              <w:rPr>
                <w:sz w:val="16"/>
              </w:rPr>
              <w:t>Can see where talent issues intersect with business priorities</w:t>
            </w:r>
          </w:p>
        </w:tc>
      </w:tr>
      <w:tr>
        <w:tc>
          <w:tcPr>
            <w:tcW w:type="dxa" w:w="1944"/>
            <w:vAlign w:val="top"/>
          </w:tcPr>
          <w:p>
            <w:r>
              <w:rPr>
                <w:sz w:val="16"/>
              </w:rPr>
              <w:t>CFO / Finance Partner</w:t>
            </w:r>
          </w:p>
        </w:tc>
        <w:tc>
          <w:tcPr>
            <w:tcW w:type="dxa" w:w="2016"/>
            <w:vAlign w:val="top"/>
          </w:tcPr>
          <w:p>
            <w:r>
              <w:rPr>
                <w:sz w:val="16"/>
              </w:rPr>
              <w:t>Evidence for cost, workforce plan and compensation decisions</w:t>
            </w:r>
          </w:p>
        </w:tc>
        <w:tc>
          <w:tcPr>
            <w:tcW w:type="dxa" w:w="3672"/>
            <w:vAlign w:val="top"/>
          </w:tcPr>
          <w:p>
            <w:r>
              <w:rPr>
                <w:sz w:val="16"/>
              </w:rPr>
              <w:t>Review headcount plan delivery, compensation risk, attrition cost and productivity indicators</w:t>
            </w:r>
          </w:p>
        </w:tc>
        <w:tc>
          <w:tcPr>
            <w:tcW w:type="dxa" w:w="2736"/>
            <w:vAlign w:val="top"/>
          </w:tcPr>
          <w:p>
            <w:r>
              <w:rPr>
                <w:sz w:val="16"/>
              </w:rPr>
              <w:t>Can use the dashboard in workforce and budget planning conversations</w:t>
            </w:r>
          </w:p>
        </w:tc>
      </w:tr>
      <w:tr>
        <w:tc>
          <w:tcPr>
            <w:tcW w:type="dxa" w:w="1944"/>
            <w:vAlign w:val="top"/>
          </w:tcPr>
          <w:p>
            <w:r>
              <w:rPr>
                <w:sz w:val="16"/>
              </w:rPr>
              <w:t>People Analytics Practitioner</w:t>
            </w:r>
          </w:p>
        </w:tc>
        <w:tc>
          <w:tcPr>
            <w:tcW w:type="dxa" w:w="2016"/>
            <w:vAlign w:val="top"/>
          </w:tcPr>
          <w:p>
            <w:r>
              <w:rPr>
                <w:sz w:val="16"/>
              </w:rPr>
              <w:t>Reliable data model and metric definitions</w:t>
            </w:r>
          </w:p>
        </w:tc>
        <w:tc>
          <w:tcPr>
            <w:tcW w:type="dxa" w:w="3672"/>
            <w:vAlign w:val="top"/>
          </w:tcPr>
          <w:p>
            <w:r>
              <w:rPr>
                <w:sz w:val="16"/>
              </w:rPr>
              <w:t>Validate source data, metric calculations, filters, trends and responsible analytics language</w:t>
            </w:r>
          </w:p>
        </w:tc>
        <w:tc>
          <w:tcPr>
            <w:tcW w:type="dxa" w:w="2736"/>
            <w:vAlign w:val="top"/>
          </w:tcPr>
          <w:p>
            <w:r>
              <w:rPr>
                <w:sz w:val="16"/>
              </w:rPr>
              <w:t>Can trace each metric back to a source and definition</w:t>
            </w:r>
          </w:p>
        </w:tc>
      </w:tr>
      <w:tr>
        <w:tc>
          <w:tcPr>
            <w:tcW w:type="dxa" w:w="1944"/>
            <w:vAlign w:val="top"/>
          </w:tcPr>
          <w:p>
            <w:r>
              <w:rPr>
                <w:sz w:val="16"/>
              </w:rPr>
              <w:t>HR Business Partner</w:t>
            </w:r>
          </w:p>
        </w:tc>
        <w:tc>
          <w:tcPr>
            <w:tcW w:type="dxa" w:w="2016"/>
            <w:vAlign w:val="top"/>
          </w:tcPr>
          <w:p>
            <w:r>
              <w:rPr>
                <w:sz w:val="16"/>
              </w:rPr>
              <w:t>Actionable segment and manager insights</w:t>
            </w:r>
          </w:p>
        </w:tc>
        <w:tc>
          <w:tcPr>
            <w:tcW w:type="dxa" w:w="3672"/>
            <w:vAlign w:val="top"/>
          </w:tcPr>
          <w:p>
            <w:r>
              <w:rPr>
                <w:sz w:val="16"/>
              </w:rPr>
              <w:t>Identify departments, managers and cohorts requiring support or deeper investigation</w:t>
            </w:r>
          </w:p>
        </w:tc>
        <w:tc>
          <w:tcPr>
            <w:tcW w:type="dxa" w:w="2736"/>
            <w:vAlign w:val="top"/>
          </w:tcPr>
          <w:p>
            <w:r>
              <w:rPr>
                <w:sz w:val="16"/>
              </w:rPr>
              <w:t>Can move from high-level signal to targeted follow-up</w:t>
            </w:r>
          </w:p>
        </w:tc>
      </w:tr>
      <w:tr>
        <w:tc>
          <w:tcPr>
            <w:tcW w:type="dxa" w:w="1944"/>
            <w:vAlign w:val="top"/>
          </w:tcPr>
          <w:p>
            <w:r>
              <w:rPr>
                <w:sz w:val="16"/>
              </w:rPr>
              <w:t>Bootcamp Participant</w:t>
            </w:r>
          </w:p>
        </w:tc>
        <w:tc>
          <w:tcPr>
            <w:tcW w:type="dxa" w:w="2016"/>
            <w:vAlign w:val="top"/>
          </w:tcPr>
          <w:p>
            <w:r>
              <w:rPr>
                <w:sz w:val="16"/>
              </w:rPr>
              <w:t>A practical example of AI-assisted analytics product development</w:t>
            </w:r>
          </w:p>
        </w:tc>
        <w:tc>
          <w:tcPr>
            <w:tcW w:type="dxa" w:w="3672"/>
            <w:vAlign w:val="top"/>
          </w:tcPr>
          <w:p>
            <w:r>
              <w:rPr>
                <w:sz w:val="16"/>
              </w:rPr>
              <w:t>See how a dashboard is specified, built, tested and used with synthetic data</w:t>
            </w:r>
          </w:p>
        </w:tc>
        <w:tc>
          <w:tcPr>
            <w:tcW w:type="dxa" w:w="2736"/>
            <w:vAlign w:val="top"/>
          </w:tcPr>
          <w:p>
            <w:r>
              <w:rPr>
                <w:sz w:val="16"/>
              </w:rPr>
              <w:t>Understands both product workflow and HR analytics use cases</w:t>
            </w:r>
          </w:p>
        </w:tc>
      </w:tr>
    </w:tbl>
    <w:p/>
    <w:p>
      <w:pPr>
        <w:pStyle w:val="Heading1"/>
      </w:pPr>
      <w:r>
        <w:t>5. Version 0.1 Scope</w:t>
      </w:r>
    </w:p>
    <w:p>
      <w:pPr>
        <w:pStyle w:val="Heading2"/>
      </w:pPr>
      <w:r>
        <w:t>5.1 In Scope</w:t>
      </w:r>
    </w:p>
    <w:p>
      <w:pPr>
        <w:pStyle w:val="ListBullet"/>
      </w:pPr>
      <w:r>
        <w:t>Executive overview with company context, synthetic-data label, date range and top KPI cards.</w:t>
      </w:r>
    </w:p>
    <w:p>
      <w:pPr>
        <w:pStyle w:val="ListBullet"/>
      </w:pPr>
      <w:r>
        <w:t>Workforce composition: headcount by function, department, location, level, tenure, employment status and worker class.</w:t>
      </w:r>
    </w:p>
    <w:p>
      <w:pPr>
        <w:pStyle w:val="ListBullet"/>
      </w:pPr>
      <w:r>
        <w:t>Attrition and retention: voluntary, involuntary and regrettable attrition; attrition by function, manager and tenure band; termination reasons where available.</w:t>
      </w:r>
    </w:p>
    <w:p>
      <w:pPr>
        <w:pStyle w:val="ListBullet"/>
      </w:pPr>
      <w:r>
        <w:t>Engagement: overall engagement, category scores, participation, manager effectiveness, workload and wellbeing, confidence in leadership and tenure-based engagement patterns.</w:t>
      </w:r>
    </w:p>
    <w:p>
      <w:pPr>
        <w:pStyle w:val="ListBullet"/>
      </w:pPr>
      <w:r>
        <w:t>Hiring velocity and recruiting funnel: open requisitions, time-to-fill, funnel conversion, offer acceptance, source effectiveness and plan attainment.</w:t>
      </w:r>
    </w:p>
    <w:p>
      <w:pPr>
        <w:pStyle w:val="ListBullet"/>
      </w:pPr>
      <w:r>
        <w:t>Compensation: base salary, range min/mid/max, compa-ratio, range penetration, pay zone, benchmark comparisons, bonus targets and compensation risk indicators.</w:t>
      </w:r>
    </w:p>
    <w:p>
      <w:pPr>
        <w:pStyle w:val="ListBullet"/>
      </w:pPr>
      <w:r>
        <w:t>Performance and talent: current and historical ratings, calibration adjustments, nine-box placement, goals achievement, competency scores, promotion readiness, successor flags and PIP status.</w:t>
      </w:r>
    </w:p>
    <w:p>
      <w:pPr>
        <w:pStyle w:val="ListBullet"/>
      </w:pPr>
      <w:r>
        <w:t>Manager effectiveness: span of control, engagement by manager where supported, attrition by manager, performance distribution and team risk signals.</w:t>
      </w:r>
    </w:p>
    <w:p>
      <w:pPr>
        <w:pStyle w:val="ListBullet"/>
      </w:pPr>
      <w:r>
        <w:t>Directional predictive indicators: flight-risk categories and explanation factors, not definitive predictions.</w:t>
      </w:r>
    </w:p>
    <w:p>
      <w:pPr>
        <w:pStyle w:val="ListBullet"/>
      </w:pPr>
      <w:r>
        <w:t>Filters: date range, function, department, location, level, manager, employment status and employee type where data supports filtering.</w:t>
      </w:r>
    </w:p>
    <w:p>
      <w:pPr>
        <w:pStyle w:val="ListBullet"/>
      </w:pPr>
      <w:r>
        <w:t>Deployment to a live Render URL connected to the Supabase development database.</w:t>
      </w:r>
    </w:p>
    <w:p>
      <w:pPr>
        <w:pStyle w:val="Heading2"/>
      </w:pPr>
      <w:r>
        <w:t>5.2 Out of Scope for Version 0.1</w:t>
      </w:r>
    </w:p>
    <w:p>
      <w:pPr>
        <w:pStyle w:val="ListBullet"/>
      </w:pPr>
      <w:r>
        <w:t>Real employee data, production data ingestion or direct connection to a live HRIS.</w:t>
      </w:r>
    </w:p>
    <w:p>
      <w:pPr>
        <w:pStyle w:val="ListBullet"/>
      </w:pPr>
      <w:r>
        <w:t>Production-grade SSO, role-based enterprise security, SOC 2 controls or formal privacy review.</w:t>
      </w:r>
    </w:p>
    <w:p>
      <w:pPr>
        <w:pStyle w:val="ListBullet"/>
      </w:pPr>
      <w:r>
        <w:t>Automated employment decisions, recommendations to terminate, compensation decisions or promotion decisions.</w:t>
      </w:r>
    </w:p>
    <w:p>
      <w:pPr>
        <w:pStyle w:val="ListBullet"/>
      </w:pPr>
      <w:r>
        <w:t>Advanced machine learning models that cannot be explained to non-technical HR leaders.</w:t>
      </w:r>
    </w:p>
    <w:p>
      <w:pPr>
        <w:pStyle w:val="ListBullet"/>
      </w:pPr>
      <w:r>
        <w:t>Natural-language question answering over the database, except as a possible Version 2 extension.</w:t>
      </w:r>
    </w:p>
    <w:p>
      <w:pPr>
        <w:pStyle w:val="ListBullet"/>
      </w:pPr>
      <w:r>
        <w:t>Automated pipeline execution of database migrations without deliberate approval.</w:t>
      </w:r>
    </w:p>
    <w:p>
      <w:pPr>
        <w:pStyle w:val="ListBullet"/>
      </w:pPr>
      <w:r>
        <w:t>Full workforce planning simulation, scenario modeling or financial forecasting beyond available FY26 headcount plan views.</w:t>
      </w:r>
    </w:p>
    <w:p>
      <w:pPr>
        <w:pStyle w:val="Heading1"/>
      </w:pPr>
      <w:r>
        <w:t>6. Source Data Inventory and Source-of-Truth Decisions</w:t>
      </w:r>
    </w:p>
    <w:p>
      <w:r>
        <w:t>The Meridian Analytics package includes company narrative documents and several structured datasets. Version 0.1 should use the uploaded structured files as the source of truth for available fields, row volumes and dashboard feasibility. Where narrative documents and datasets differ, the dashboard should expose data-derived metrics and treat the narrative as contextual background.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1F4E79"/>
            <w:vAlign w:val="center"/>
          </w:tcPr>
          <w:p>
            <w:r>
              <w:rPr>
                <w:b/>
                <w:color w:val="FFFFFF"/>
              </w:rPr>
              <w:t>Data Asset</w:t>
            </w:r>
          </w:p>
        </w:tc>
        <w:tc>
          <w:tcPr>
            <w:tcW w:type="dxa" w:w="3600"/>
            <w:shd w:fill="1F4E79"/>
            <w:vAlign w:val="center"/>
          </w:tcPr>
          <w:p>
            <w:r>
              <w:rPr>
                <w:b/>
                <w:color w:val="FFFFFF"/>
              </w:rPr>
              <w:t>Observed Structure</w:t>
            </w:r>
          </w:p>
        </w:tc>
        <w:tc>
          <w:tcPr>
            <w:tcW w:type="dxa" w:w="3600"/>
            <w:shd w:fill="1F4E79"/>
            <w:vAlign w:val="center"/>
          </w:tcPr>
          <w:p>
            <w:r>
              <w:rPr>
                <w:b/>
                <w:color w:val="FFFFFF"/>
              </w:rPr>
              <w:t>Primary Dashboard Use</w:t>
            </w:r>
          </w:p>
        </w:tc>
      </w:tr>
      <w:tr>
        <w:tc>
          <w:tcPr>
            <w:tcW w:type="dxa" w:w="3168"/>
            <w:vAlign w:val="top"/>
          </w:tcPr>
          <w:p>
            <w:r>
              <w:rPr>
                <w:sz w:val="16"/>
              </w:rPr>
              <w:t>meridian_employee_master.xlsx</w:t>
            </w:r>
          </w:p>
        </w:tc>
        <w:tc>
          <w:tcPr>
            <w:tcW w:type="dxa" w:w="3600"/>
            <w:vAlign w:val="top"/>
          </w:tcPr>
          <w:p>
            <w:r>
              <w:rPr>
                <w:sz w:val="16"/>
              </w:rPr>
              <w:t>Employee Master: 922 rows, 85 core columns plus dictionaries and stats</w:t>
            </w:r>
          </w:p>
        </w:tc>
        <w:tc>
          <w:tcPr>
            <w:tcW w:type="dxa" w:w="3600"/>
            <w:vAlign w:val="top"/>
          </w:tcPr>
          <w:p>
            <w:r>
              <w:rPr>
                <w:sz w:val="16"/>
              </w:rPr>
              <w:t>Workforce composition, demographics, employment status, job, location, manager hierarchy, compensation, performance flags, engagement score, learning, leave and benefits</w:t>
            </w:r>
          </w:p>
        </w:tc>
      </w:tr>
      <w:tr>
        <w:tc>
          <w:tcPr>
            <w:tcW w:type="dxa" w:w="3168"/>
            <w:vAlign w:val="top"/>
          </w:tcPr>
          <w:p>
            <w:r>
              <w:rPr>
                <w:sz w:val="16"/>
              </w:rPr>
              <w:t>meridian_compensation_history.xlsx</w:t>
            </w:r>
          </w:p>
        </w:tc>
        <w:tc>
          <w:tcPr>
            <w:tcW w:type="dxa" w:w="3600"/>
            <w:vAlign w:val="top"/>
          </w:tcPr>
          <w:p>
            <w:r>
              <w:rPr>
                <w:sz w:val="16"/>
              </w:rPr>
              <w:t>Compensation History: 8,920 rows; event-level compensation changes</w:t>
            </w:r>
          </w:p>
        </w:tc>
        <w:tc>
          <w:tcPr>
            <w:tcW w:type="dxa" w:w="3600"/>
            <w:vAlign w:val="top"/>
          </w:tcPr>
          <w:p>
            <w:r>
              <w:rPr>
                <w:sz w:val="16"/>
              </w:rPr>
              <w:t>Compensation changes, merit history, promotions, equity grants and compensation event timeline</w:t>
            </w:r>
          </w:p>
        </w:tc>
      </w:tr>
      <w:tr>
        <w:tc>
          <w:tcPr>
            <w:tcW w:type="dxa" w:w="3168"/>
            <w:vAlign w:val="top"/>
          </w:tcPr>
          <w:p>
            <w:r>
              <w:rPr>
                <w:sz w:val="16"/>
              </w:rPr>
              <w:t>meridian_performance_review_history.xlsx</w:t>
            </w:r>
          </w:p>
        </w:tc>
        <w:tc>
          <w:tcPr>
            <w:tcW w:type="dxa" w:w="3600"/>
            <w:vAlign w:val="top"/>
          </w:tcPr>
          <w:p>
            <w:r>
              <w:rPr>
                <w:sz w:val="16"/>
              </w:rPr>
              <w:t>Performance Review History: 4,026 rows; 26 fields</w:t>
            </w:r>
          </w:p>
        </w:tc>
        <w:tc>
          <w:tcPr>
            <w:tcW w:type="dxa" w:w="3600"/>
            <w:vAlign w:val="top"/>
          </w:tcPr>
          <w:p>
            <w:r>
              <w:rPr>
                <w:sz w:val="16"/>
              </w:rPr>
              <w:t>Performance trend, calibration, ratings, nine-box, promotion recommendations, successor pool and review completion</w:t>
            </w:r>
          </w:p>
        </w:tc>
      </w:tr>
      <w:tr>
        <w:tc>
          <w:tcPr>
            <w:tcW w:type="dxa" w:w="3168"/>
            <w:vAlign w:val="top"/>
          </w:tcPr>
          <w:p>
            <w:r>
              <w:rPr>
                <w:sz w:val="16"/>
              </w:rPr>
              <w:t>Engagement History/meridian_engagement_survey.xlsx</w:t>
            </w:r>
          </w:p>
        </w:tc>
        <w:tc>
          <w:tcPr>
            <w:tcW w:type="dxa" w:w="3600"/>
            <w:vAlign w:val="top"/>
          </w:tcPr>
          <w:p>
            <w:r>
              <w:rPr>
                <w:sz w:val="16"/>
              </w:rPr>
              <w:t>Response-level survey data: 724 rows; 30 Likert questions plus demographic cuts</w:t>
            </w:r>
          </w:p>
        </w:tc>
        <w:tc>
          <w:tcPr>
            <w:tcW w:type="dxa" w:w="3600"/>
            <w:vAlign w:val="top"/>
          </w:tcPr>
          <w:p>
            <w:r>
              <w:rPr>
                <w:sz w:val="16"/>
              </w:rPr>
              <w:t>Engagement category scores, participation patterns, manager effectiveness, wellbeing and leadership confidence</w:t>
            </w:r>
          </w:p>
        </w:tc>
      </w:tr>
      <w:tr>
        <w:tc>
          <w:tcPr>
            <w:tcW w:type="dxa" w:w="3168"/>
            <w:vAlign w:val="top"/>
          </w:tcPr>
          <w:p>
            <w:r>
              <w:rPr>
                <w:sz w:val="16"/>
              </w:rPr>
              <w:t>Engagement History/meridian_performance_review_history.xlsx</w:t>
            </w:r>
          </w:p>
        </w:tc>
        <w:tc>
          <w:tcPr>
            <w:tcW w:type="dxa" w:w="3600"/>
            <w:vAlign w:val="top"/>
          </w:tcPr>
          <w:p>
            <w:r>
              <w:rPr>
                <w:sz w:val="16"/>
              </w:rPr>
              <w:t>Includes competency score long table: 37,642 rows</w:t>
            </w:r>
          </w:p>
        </w:tc>
        <w:tc>
          <w:tcPr>
            <w:tcW w:type="dxa" w:w="3600"/>
            <w:vAlign w:val="top"/>
          </w:tcPr>
          <w:p>
            <w:r>
              <w:rPr>
                <w:sz w:val="16"/>
              </w:rPr>
              <w:t>Competency analysis by employee, review cycle, universal and leadership competencies</w:t>
            </w:r>
          </w:p>
        </w:tc>
      </w:tr>
      <w:tr>
        <w:tc>
          <w:tcPr>
            <w:tcW w:type="dxa" w:w="3168"/>
            <w:vAlign w:val="top"/>
          </w:tcPr>
          <w:p>
            <w:r>
              <w:rPr>
                <w:sz w:val="16"/>
              </w:rPr>
              <w:t>meridian_recruiting_funnel.xlsx</w:t>
            </w:r>
          </w:p>
        </w:tc>
        <w:tc>
          <w:tcPr>
            <w:tcW w:type="dxa" w:w="3600"/>
            <w:vAlign w:val="top"/>
          </w:tcPr>
          <w:p>
            <w:r>
              <w:rPr>
                <w:sz w:val="16"/>
              </w:rPr>
              <w:t>Multiple sheets: requisitions, funnel events, application sources, offers and open reqs</w:t>
            </w:r>
          </w:p>
        </w:tc>
        <w:tc>
          <w:tcPr>
            <w:tcW w:type="dxa" w:w="3600"/>
            <w:vAlign w:val="top"/>
          </w:tcPr>
          <w:p>
            <w:r>
              <w:rPr>
                <w:sz w:val="16"/>
              </w:rPr>
              <w:t>Hiring velocity, funnel conversion, offer outcomes, recruiter productivity, source effectiveness and open requisition aging</w:t>
            </w:r>
          </w:p>
        </w:tc>
      </w:tr>
      <w:tr>
        <w:tc>
          <w:tcPr>
            <w:tcW w:type="dxa" w:w="3168"/>
            <w:vAlign w:val="top"/>
          </w:tcPr>
          <w:p>
            <w:r>
              <w:rPr>
                <w:sz w:val="16"/>
              </w:rPr>
              <w:t>Compensation Benchmarks/aci_compensation_report_data.xlsx</w:t>
            </w:r>
          </w:p>
        </w:tc>
        <w:tc>
          <w:tcPr>
            <w:tcW w:type="dxa" w:w="3600"/>
            <w:vAlign w:val="top"/>
          </w:tcPr>
          <w:p>
            <w:r>
              <w:rPr>
                <w:sz w:val="16"/>
              </w:rPr>
              <w:t>Benchmark tables by function, level, pay zone and percentile</w:t>
            </w:r>
          </w:p>
        </w:tc>
        <w:tc>
          <w:tcPr>
            <w:tcW w:type="dxa" w:w="3600"/>
            <w:vAlign w:val="top"/>
          </w:tcPr>
          <w:p>
            <w:r>
              <w:rPr>
                <w:sz w:val="16"/>
              </w:rPr>
              <w:t>Compensation benchmarking, pay zone comparisons and market-position indicators</w:t>
            </w:r>
          </w:p>
        </w:tc>
      </w:tr>
      <w:tr>
        <w:tc>
          <w:tcPr>
            <w:tcW w:type="dxa" w:w="3168"/>
            <w:vAlign w:val="top"/>
          </w:tcPr>
          <w:p>
            <w:r>
              <w:rPr>
                <w:sz w:val="16"/>
              </w:rPr>
              <w:t>Plan 2027/meridian_fy26_headcount_plan.xlsx</w:t>
            </w:r>
          </w:p>
        </w:tc>
        <w:tc>
          <w:tcPr>
            <w:tcW w:type="dxa" w:w="3600"/>
            <w:vAlign w:val="top"/>
          </w:tcPr>
          <w:p>
            <w:r>
              <w:rPr>
                <w:sz w:val="16"/>
              </w:rPr>
              <w:t>FY26 hiring plan, actuals, plan vs actual, attrition forecast and investment themes</w:t>
            </w:r>
          </w:p>
        </w:tc>
        <w:tc>
          <w:tcPr>
            <w:tcW w:type="dxa" w:w="3600"/>
            <w:vAlign w:val="top"/>
          </w:tcPr>
          <w:p>
            <w:r>
              <w:rPr>
                <w:sz w:val="16"/>
              </w:rPr>
              <w:t>Headcount plan attainment, gap analysis, backfill vs net new and workforce plan risk</w:t>
            </w:r>
          </w:p>
        </w:tc>
      </w:tr>
      <w:tr>
        <w:tc>
          <w:tcPr>
            <w:tcW w:type="dxa" w:w="3168"/>
            <w:vAlign w:val="top"/>
          </w:tcPr>
          <w:p>
            <w:r>
              <w:rPr>
                <w:sz w:val="16"/>
              </w:rPr>
              <w:t>meridian_capability_framework.xlsx / .md</w:t>
            </w:r>
          </w:p>
        </w:tc>
        <w:tc>
          <w:tcPr>
            <w:tcW w:type="dxa" w:w="3600"/>
            <w:vAlign w:val="top"/>
          </w:tcPr>
          <w:p>
            <w:r>
              <w:rPr>
                <w:sz w:val="16"/>
              </w:rPr>
              <w:t>Universal, leadership and functional competencies plus career-level matrix</w:t>
            </w:r>
          </w:p>
        </w:tc>
        <w:tc>
          <w:tcPr>
            <w:tcW w:type="dxa" w:w="3600"/>
            <w:vAlign w:val="top"/>
          </w:tcPr>
          <w:p>
            <w:r>
              <w:rPr>
                <w:sz w:val="16"/>
              </w:rPr>
              <w:t>Competency interpretation, performance framework alignment and talent development context</w:t>
            </w:r>
          </w:p>
        </w:tc>
      </w:tr>
      <w:tr>
        <w:tc>
          <w:tcPr>
            <w:tcW w:type="dxa" w:w="3168"/>
            <w:vAlign w:val="top"/>
          </w:tcPr>
          <w:p>
            <w:r>
              <w:rPr>
                <w:sz w:val="16"/>
              </w:rPr>
              <w:t>meridian_hr_policies.docx</w:t>
            </w:r>
          </w:p>
        </w:tc>
        <w:tc>
          <w:tcPr>
            <w:tcW w:type="dxa" w:w="3600"/>
            <w:vAlign w:val="top"/>
          </w:tcPr>
          <w:p>
            <w:r>
              <w:rPr>
                <w:sz w:val="16"/>
              </w:rPr>
              <w:t>Selected people policies</w:t>
            </w:r>
          </w:p>
        </w:tc>
        <w:tc>
          <w:tcPr>
            <w:tcW w:type="dxa" w:w="3600"/>
            <w:vAlign w:val="top"/>
          </w:tcPr>
          <w:p>
            <w:r>
              <w:rPr>
                <w:sz w:val="16"/>
              </w:rPr>
              <w:t>Policy context for performance, internal mobility, leave and exits; not primary dashboard data</w:t>
            </w:r>
          </w:p>
        </w:tc>
      </w:tr>
    </w:tbl>
    <w:p/>
    <w:p>
      <w:r>
        <w:rPr>
          <w:b/>
        </w:rPr>
        <w:t xml:space="preserve">Note: </w:t>
      </w:r>
      <w:r>
        <w:t>Open data reconciliation item: the workflow guide anticipated approximately 1,200 employees, while the Meridian company overview references approximately 820 employees and the employee master file contains 922 records. Version 0.1 should calculate active headcount from employee_master rather than hard-code any of these figures.</w:t>
      </w:r>
    </w:p>
    <w:p>
      <w:pPr>
        <w:pStyle w:val="Heading1"/>
      </w:pPr>
      <w:r>
        <w:t>7. Information Architecture and Navigation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4E79"/>
            <w:vAlign w:val="center"/>
          </w:tcPr>
          <w:p>
            <w:r>
              <w:rPr>
                <w:b/>
                <w:color w:val="FFFFFF"/>
              </w:rPr>
              <w:t>Page / View</w:t>
            </w:r>
          </w:p>
        </w:tc>
        <w:tc>
          <w:tcPr>
            <w:tcW w:type="dxa" w:w="3456"/>
            <w:shd w:fill="1F4E79"/>
            <w:vAlign w:val="center"/>
          </w:tcPr>
          <w:p>
            <w:r>
              <w:rPr>
                <w:b/>
                <w:color w:val="FFFFFF"/>
              </w:rPr>
              <w:t>Purpose</w:t>
            </w:r>
          </w:p>
        </w:tc>
        <w:tc>
          <w:tcPr>
            <w:tcW w:type="dxa" w:w="4824"/>
            <w:shd w:fill="1F4E79"/>
            <w:vAlign w:val="center"/>
          </w:tcPr>
          <w:p>
            <w:r>
              <w:rPr>
                <w:b/>
                <w:color w:val="FFFFFF"/>
              </w:rPr>
              <w:t>Required Components</w:t>
            </w:r>
          </w:p>
        </w:tc>
      </w:tr>
      <w:tr>
        <w:tc>
          <w:tcPr>
            <w:tcW w:type="dxa" w:w="2088"/>
            <w:vAlign w:val="top"/>
          </w:tcPr>
          <w:p>
            <w:r>
              <w:rPr>
                <w:sz w:val="16"/>
              </w:rPr>
              <w:t>Executive Overview</w:t>
            </w:r>
          </w:p>
        </w:tc>
        <w:tc>
          <w:tcPr>
            <w:tcW w:type="dxa" w:w="3456"/>
            <w:vAlign w:val="top"/>
          </w:tcPr>
          <w:p>
            <w:r>
              <w:rPr>
                <w:sz w:val="16"/>
              </w:rPr>
              <w:t>Give leaders the shortest credible view of workforce health</w:t>
            </w:r>
          </w:p>
        </w:tc>
        <w:tc>
          <w:tcPr>
            <w:tcW w:type="dxa" w:w="4824"/>
            <w:vAlign w:val="top"/>
          </w:tcPr>
          <w:p>
            <w:r>
              <w:rPr>
                <w:sz w:val="16"/>
              </w:rPr>
              <w:t>KPI row, key risks, trend callouts, synthetic-data note, date range and high-priority investigations</w:t>
            </w:r>
          </w:p>
        </w:tc>
      </w:tr>
      <w:tr>
        <w:tc>
          <w:tcPr>
            <w:tcW w:type="dxa" w:w="2088"/>
            <w:vAlign w:val="top"/>
          </w:tcPr>
          <w:p>
            <w:r>
              <w:rPr>
                <w:sz w:val="16"/>
              </w:rPr>
              <w:t>Workforce Composition</w:t>
            </w:r>
          </w:p>
        </w:tc>
        <w:tc>
          <w:tcPr>
            <w:tcW w:type="dxa" w:w="3456"/>
            <w:vAlign w:val="top"/>
          </w:tcPr>
          <w:p>
            <w:r>
              <w:rPr>
                <w:sz w:val="16"/>
              </w:rPr>
              <w:t>Show who works at Meridian and where capacity is concentrated</w:t>
            </w:r>
          </w:p>
        </w:tc>
        <w:tc>
          <w:tcPr>
            <w:tcW w:type="dxa" w:w="4824"/>
            <w:vAlign w:val="top"/>
          </w:tcPr>
          <w:p>
            <w:r>
              <w:rPr>
                <w:sz w:val="16"/>
              </w:rPr>
              <w:t>Headcount by function, department, level, tenure, location, employment type, manager hierarchy and worker class</w:t>
            </w:r>
          </w:p>
        </w:tc>
      </w:tr>
      <w:tr>
        <w:tc>
          <w:tcPr>
            <w:tcW w:type="dxa" w:w="2088"/>
            <w:vAlign w:val="top"/>
          </w:tcPr>
          <w:p>
            <w:r>
              <w:rPr>
                <w:sz w:val="16"/>
              </w:rPr>
              <w:t>Attrition and Retention</w:t>
            </w:r>
          </w:p>
        </w:tc>
        <w:tc>
          <w:tcPr>
            <w:tcW w:type="dxa" w:w="3456"/>
            <w:vAlign w:val="top"/>
          </w:tcPr>
          <w:p>
            <w:r>
              <w:rPr>
                <w:sz w:val="16"/>
              </w:rPr>
              <w:t>Identify where retention concerns are concentrated</w:t>
            </w:r>
          </w:p>
        </w:tc>
        <w:tc>
          <w:tcPr>
            <w:tcW w:type="dxa" w:w="4824"/>
            <w:vAlign w:val="top"/>
          </w:tcPr>
          <w:p>
            <w:r>
              <w:rPr>
                <w:sz w:val="16"/>
              </w:rPr>
              <w:t>Attrition rates, termination type, regrettable flag, manager-level view, tenure-band view and reason codes</w:t>
            </w:r>
          </w:p>
        </w:tc>
      </w:tr>
      <w:tr>
        <w:tc>
          <w:tcPr>
            <w:tcW w:type="dxa" w:w="2088"/>
            <w:vAlign w:val="top"/>
          </w:tcPr>
          <w:p>
            <w:r>
              <w:rPr>
                <w:sz w:val="16"/>
              </w:rPr>
              <w:t>Engagement and Culture</w:t>
            </w:r>
          </w:p>
        </w:tc>
        <w:tc>
          <w:tcPr>
            <w:tcW w:type="dxa" w:w="3456"/>
            <w:vAlign w:val="top"/>
          </w:tcPr>
          <w:p>
            <w:r>
              <w:rPr>
                <w:sz w:val="16"/>
              </w:rPr>
              <w:t>Surface engagement strengths and risk areas</w:t>
            </w:r>
          </w:p>
        </w:tc>
        <w:tc>
          <w:tcPr>
            <w:tcW w:type="dxa" w:w="4824"/>
            <w:vAlign w:val="top"/>
          </w:tcPr>
          <w:p>
            <w:r>
              <w:rPr>
                <w:sz w:val="16"/>
              </w:rPr>
              <w:t>Overall engagement, category scores, eNPS or outcome proxy, participation, wellbeing, manager effectiveness and leadership confidence</w:t>
            </w:r>
          </w:p>
        </w:tc>
      </w:tr>
      <w:tr>
        <w:tc>
          <w:tcPr>
            <w:tcW w:type="dxa" w:w="2088"/>
            <w:vAlign w:val="top"/>
          </w:tcPr>
          <w:p>
            <w:r>
              <w:rPr>
                <w:sz w:val="16"/>
              </w:rPr>
              <w:t>Recruiting and Hiring</w:t>
            </w:r>
          </w:p>
        </w:tc>
        <w:tc>
          <w:tcPr>
            <w:tcW w:type="dxa" w:w="3456"/>
            <w:vAlign w:val="top"/>
          </w:tcPr>
          <w:p>
            <w:r>
              <w:rPr>
                <w:sz w:val="16"/>
              </w:rPr>
              <w:t>Show whether Meridian is hiring at the speed and quality it needs</w:t>
            </w:r>
          </w:p>
        </w:tc>
        <w:tc>
          <w:tcPr>
            <w:tcW w:type="dxa" w:w="4824"/>
            <w:vAlign w:val="top"/>
          </w:tcPr>
          <w:p>
            <w:r>
              <w:rPr>
                <w:sz w:val="16"/>
              </w:rPr>
              <w:t>Open reqs, time-to-fill, funnel conversion, offer acceptance, source effectiveness, hiring plan attainment and recruiter productivity</w:t>
            </w:r>
          </w:p>
        </w:tc>
      </w:tr>
      <w:tr>
        <w:tc>
          <w:tcPr>
            <w:tcW w:type="dxa" w:w="2088"/>
            <w:vAlign w:val="top"/>
          </w:tcPr>
          <w:p>
            <w:r>
              <w:rPr>
                <w:sz w:val="16"/>
              </w:rPr>
              <w:t>Compensation and Rewards</w:t>
            </w:r>
          </w:p>
        </w:tc>
        <w:tc>
          <w:tcPr>
            <w:tcW w:type="dxa" w:w="3456"/>
            <w:vAlign w:val="top"/>
          </w:tcPr>
          <w:p>
            <w:r>
              <w:rPr>
                <w:sz w:val="16"/>
              </w:rPr>
              <w:t>Identify compensation structure and risk patterns</w:t>
            </w:r>
          </w:p>
        </w:tc>
        <w:tc>
          <w:tcPr>
            <w:tcW w:type="dxa" w:w="4824"/>
            <w:vAlign w:val="top"/>
          </w:tcPr>
          <w:p>
            <w:r>
              <w:rPr>
                <w:sz w:val="16"/>
              </w:rPr>
              <w:t>Compa-ratio, range penetration, benchmark comparison, pay zone, bonus targets, salary changes and potential compression indicators</w:t>
            </w:r>
          </w:p>
        </w:tc>
      </w:tr>
      <w:tr>
        <w:tc>
          <w:tcPr>
            <w:tcW w:type="dxa" w:w="2088"/>
            <w:vAlign w:val="top"/>
          </w:tcPr>
          <w:p>
            <w:r>
              <w:rPr>
                <w:sz w:val="16"/>
              </w:rPr>
              <w:t>Performance and Talent</w:t>
            </w:r>
          </w:p>
        </w:tc>
        <w:tc>
          <w:tcPr>
            <w:tcW w:type="dxa" w:w="3456"/>
            <w:vAlign w:val="top"/>
          </w:tcPr>
          <w:p>
            <w:r>
              <w:rPr>
                <w:sz w:val="16"/>
              </w:rPr>
              <w:t>Connect performance, calibration and mobility data</w:t>
            </w:r>
          </w:p>
        </w:tc>
        <w:tc>
          <w:tcPr>
            <w:tcW w:type="dxa" w:w="4824"/>
            <w:vAlign w:val="top"/>
          </w:tcPr>
          <w:p>
            <w:r>
              <w:rPr>
                <w:sz w:val="16"/>
              </w:rPr>
              <w:t>Rating distributions, calibration outliers, nine-box, competency scores, promotion readiness, successor flag and PIP distribution</w:t>
            </w:r>
          </w:p>
        </w:tc>
      </w:tr>
      <w:tr>
        <w:tc>
          <w:tcPr>
            <w:tcW w:type="dxa" w:w="2088"/>
            <w:vAlign w:val="top"/>
          </w:tcPr>
          <w:p>
            <w:r>
              <w:rPr>
                <w:sz w:val="16"/>
              </w:rPr>
              <w:t>Manager Effectiveness</w:t>
            </w:r>
          </w:p>
        </w:tc>
        <w:tc>
          <w:tcPr>
            <w:tcW w:type="dxa" w:w="3456"/>
            <w:vAlign w:val="top"/>
          </w:tcPr>
          <w:p>
            <w:r>
              <w:rPr>
                <w:sz w:val="16"/>
              </w:rPr>
              <w:t>Support managers with evidence, not blame</w:t>
            </w:r>
          </w:p>
        </w:tc>
        <w:tc>
          <w:tcPr>
            <w:tcW w:type="dxa" w:w="4824"/>
            <w:vAlign w:val="top"/>
          </w:tcPr>
          <w:p>
            <w:r>
              <w:rPr>
                <w:sz w:val="16"/>
              </w:rPr>
              <w:t>Span of control, retention, engagement, performance distribution, direct-report count and team risk indicators</w:t>
            </w:r>
          </w:p>
        </w:tc>
      </w:tr>
      <w:tr>
        <w:tc>
          <w:tcPr>
            <w:tcW w:type="dxa" w:w="2088"/>
            <w:vAlign w:val="top"/>
          </w:tcPr>
          <w:p>
            <w:r>
              <w:rPr>
                <w:sz w:val="16"/>
              </w:rPr>
              <w:t>Predictive Risk</w:t>
            </w:r>
          </w:p>
        </w:tc>
        <w:tc>
          <w:tcPr>
            <w:tcW w:type="dxa" w:w="3456"/>
            <w:vAlign w:val="top"/>
          </w:tcPr>
          <w:p>
            <w:r>
              <w:rPr>
                <w:sz w:val="16"/>
              </w:rPr>
              <w:t>Show directional risk signals with explanations</w:t>
            </w:r>
          </w:p>
        </w:tc>
        <w:tc>
          <w:tcPr>
            <w:tcW w:type="dxa" w:w="4824"/>
            <w:vAlign w:val="top"/>
          </w:tcPr>
          <w:p>
            <w:r>
              <w:rPr>
                <w:sz w:val="16"/>
              </w:rPr>
              <w:t>Flight-risk category, risk drivers, high-risk segments, top-performer retention risk and cautionary language</w:t>
            </w:r>
          </w:p>
        </w:tc>
      </w:tr>
      <w:tr>
        <w:tc>
          <w:tcPr>
            <w:tcW w:type="dxa" w:w="2088"/>
            <w:vAlign w:val="top"/>
          </w:tcPr>
          <w:p>
            <w:r>
              <w:rPr>
                <w:sz w:val="16"/>
              </w:rPr>
              <w:t>Data Dictionary / Methodology</w:t>
            </w:r>
          </w:p>
        </w:tc>
        <w:tc>
          <w:tcPr>
            <w:tcW w:type="dxa" w:w="3456"/>
            <w:vAlign w:val="top"/>
          </w:tcPr>
          <w:p>
            <w:r>
              <w:rPr>
                <w:sz w:val="16"/>
              </w:rPr>
              <w:t>Build trust in metric definitions</w:t>
            </w:r>
          </w:p>
        </w:tc>
        <w:tc>
          <w:tcPr>
            <w:tcW w:type="dxa" w:w="4824"/>
            <w:vAlign w:val="top"/>
          </w:tcPr>
          <w:p>
            <w:r>
              <w:rPr>
                <w:sz w:val="16"/>
              </w:rPr>
              <w:t>Metric definitions, source tables, formulas, refresh date, caveats and responsible-use notes</w:t>
            </w:r>
          </w:p>
        </w:tc>
      </w:tr>
    </w:tbl>
    <w:p/>
    <w:p>
      <w:pPr>
        <w:pStyle w:val="Heading1"/>
      </w:pPr>
      <w:r>
        <w:t>8. Functional Requirements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08"/>
            <w:shd w:fill="1F4E79"/>
            <w:vAlign w:val="center"/>
          </w:tcPr>
          <w:p>
            <w:r>
              <w:rPr>
                <w:b/>
                <w:color w:val="FFFFFF"/>
              </w:rPr>
              <w:t>ID</w:t>
            </w:r>
          </w:p>
        </w:tc>
        <w:tc>
          <w:tcPr>
            <w:tcW w:type="dxa" w:w="2016"/>
            <w:shd w:fill="1F4E79"/>
            <w:vAlign w:val="center"/>
          </w:tcPr>
          <w:p>
            <w:r>
              <w:rPr>
                <w:b/>
                <w:color w:val="FFFFFF"/>
              </w:rPr>
              <w:t>Requirement Area</w:t>
            </w:r>
          </w:p>
        </w:tc>
        <w:tc>
          <w:tcPr>
            <w:tcW w:type="dxa" w:w="6552"/>
            <w:shd w:fill="1F4E79"/>
            <w:vAlign w:val="center"/>
          </w:tcPr>
          <w:p>
            <w:r>
              <w:rPr>
                <w:b/>
                <w:color w:val="FFFFFF"/>
              </w:rPr>
              <w:t>Requirement</w:t>
            </w:r>
          </w:p>
        </w:tc>
        <w:tc>
          <w:tcPr>
            <w:tcW w:type="dxa" w:w="1296"/>
            <w:shd w:fill="1F4E79"/>
            <w:vAlign w:val="center"/>
          </w:tcPr>
          <w:p>
            <w:r>
              <w:rPr>
                <w:b/>
                <w:color w:val="FFFFFF"/>
              </w:rPr>
              <w:t>Priority</w:t>
            </w:r>
          </w:p>
        </w:tc>
      </w:tr>
      <w:tr>
        <w:tc>
          <w:tcPr>
            <w:tcW w:type="dxa" w:w="1008"/>
            <w:vAlign w:val="top"/>
          </w:tcPr>
          <w:p>
            <w:r>
              <w:rPr>
                <w:sz w:val="16"/>
              </w:rPr>
              <w:t>FR-001</w:t>
            </w:r>
          </w:p>
        </w:tc>
        <w:tc>
          <w:tcPr>
            <w:tcW w:type="dxa" w:w="2016"/>
            <w:vAlign w:val="top"/>
          </w:tcPr>
          <w:p>
            <w:r>
              <w:rPr>
                <w:sz w:val="16"/>
              </w:rPr>
              <w:t>Authentication</w:t>
            </w:r>
          </w:p>
        </w:tc>
        <w:tc>
          <w:tcPr>
            <w:tcW w:type="dxa" w:w="6552"/>
            <w:vAlign w:val="top"/>
          </w:tcPr>
          <w:p>
            <w:r>
              <w:rPr>
                <w:sz w:val="16"/>
              </w:rPr>
              <w:t>Provide a simple demo login if authentication is enabled; unauthenticated users should not access protected dashboard data.</w:t>
            </w:r>
          </w:p>
        </w:tc>
        <w:tc>
          <w:tcPr>
            <w:tcW w:type="dxa" w:w="1296"/>
            <w:vAlign w:val="top"/>
          </w:tcPr>
          <w:p>
            <w:r>
              <w:rPr>
                <w:sz w:val="16"/>
              </w:rPr>
              <w:t>Must Have</w:t>
            </w:r>
          </w:p>
        </w:tc>
      </w:tr>
      <w:tr>
        <w:tc>
          <w:tcPr>
            <w:tcW w:type="dxa" w:w="1008"/>
            <w:vAlign w:val="top"/>
          </w:tcPr>
          <w:p>
            <w:r>
              <w:rPr>
                <w:sz w:val="16"/>
              </w:rPr>
              <w:t>FR-002</w:t>
            </w:r>
          </w:p>
        </w:tc>
        <w:tc>
          <w:tcPr>
            <w:tcW w:type="dxa" w:w="2016"/>
            <w:vAlign w:val="top"/>
          </w:tcPr>
          <w:p>
            <w:r>
              <w:rPr>
                <w:sz w:val="16"/>
              </w:rPr>
              <w:t>Synthetic Data Disclosure</w:t>
            </w:r>
          </w:p>
        </w:tc>
        <w:tc>
          <w:tcPr>
            <w:tcW w:type="dxa" w:w="6552"/>
            <w:vAlign w:val="top"/>
          </w:tcPr>
          <w:p>
            <w:r>
              <w:rPr>
                <w:sz w:val="16"/>
              </w:rPr>
              <w:t>Every main view must clearly state that the data is synthetic and for learning / demonstration use.</w:t>
            </w:r>
          </w:p>
        </w:tc>
        <w:tc>
          <w:tcPr>
            <w:tcW w:type="dxa" w:w="1296"/>
            <w:vAlign w:val="top"/>
          </w:tcPr>
          <w:p>
            <w:r>
              <w:rPr>
                <w:sz w:val="16"/>
              </w:rPr>
              <w:t>Must Have</w:t>
            </w:r>
          </w:p>
        </w:tc>
      </w:tr>
      <w:tr>
        <w:tc>
          <w:tcPr>
            <w:tcW w:type="dxa" w:w="1008"/>
            <w:vAlign w:val="top"/>
          </w:tcPr>
          <w:p>
            <w:r>
              <w:rPr>
                <w:sz w:val="16"/>
              </w:rPr>
              <w:t>FR-003</w:t>
            </w:r>
          </w:p>
        </w:tc>
        <w:tc>
          <w:tcPr>
            <w:tcW w:type="dxa" w:w="2016"/>
            <w:vAlign w:val="top"/>
          </w:tcPr>
          <w:p>
            <w:r>
              <w:rPr>
                <w:sz w:val="16"/>
              </w:rPr>
              <w:t>Executive KPI Cards</w:t>
            </w:r>
          </w:p>
        </w:tc>
        <w:tc>
          <w:tcPr>
            <w:tcW w:type="dxa" w:w="6552"/>
            <w:vAlign w:val="top"/>
          </w:tcPr>
          <w:p>
            <w:r>
              <w:rPr>
                <w:sz w:val="16"/>
              </w:rPr>
              <w:t>Display top-level KPIs: active headcount, attrition, regrettable attrition, engagement score, open reqs, average time-to-fill, compa-ratio risk and high flight-risk count.</w:t>
            </w:r>
          </w:p>
        </w:tc>
        <w:tc>
          <w:tcPr>
            <w:tcW w:type="dxa" w:w="1296"/>
            <w:vAlign w:val="top"/>
          </w:tcPr>
          <w:p>
            <w:r>
              <w:rPr>
                <w:sz w:val="16"/>
              </w:rPr>
              <w:t>Must Have</w:t>
            </w:r>
          </w:p>
        </w:tc>
      </w:tr>
      <w:tr>
        <w:tc>
          <w:tcPr>
            <w:tcW w:type="dxa" w:w="1008"/>
            <w:vAlign w:val="top"/>
          </w:tcPr>
          <w:p>
            <w:r>
              <w:rPr>
                <w:sz w:val="16"/>
              </w:rPr>
              <w:t>FR-004</w:t>
            </w:r>
          </w:p>
        </w:tc>
        <w:tc>
          <w:tcPr>
            <w:tcW w:type="dxa" w:w="2016"/>
            <w:vAlign w:val="top"/>
          </w:tcPr>
          <w:p>
            <w:r>
              <w:rPr>
                <w:sz w:val="16"/>
              </w:rPr>
              <w:t>Global Filters</w:t>
            </w:r>
          </w:p>
        </w:tc>
        <w:tc>
          <w:tcPr>
            <w:tcW w:type="dxa" w:w="6552"/>
            <w:vAlign w:val="top"/>
          </w:tcPr>
          <w:p>
            <w:r>
              <w:rPr>
                <w:sz w:val="16"/>
              </w:rPr>
              <w:t>Provide filters for date range, function, department, location, level, manager, employment status and employee type where supported.</w:t>
            </w:r>
          </w:p>
        </w:tc>
        <w:tc>
          <w:tcPr>
            <w:tcW w:type="dxa" w:w="1296"/>
            <w:vAlign w:val="top"/>
          </w:tcPr>
          <w:p>
            <w:r>
              <w:rPr>
                <w:sz w:val="16"/>
              </w:rPr>
              <w:t>Must Have</w:t>
            </w:r>
          </w:p>
        </w:tc>
      </w:tr>
      <w:tr>
        <w:tc>
          <w:tcPr>
            <w:tcW w:type="dxa" w:w="1008"/>
            <w:vAlign w:val="top"/>
          </w:tcPr>
          <w:p>
            <w:r>
              <w:rPr>
                <w:sz w:val="16"/>
              </w:rPr>
              <w:t>FR-005</w:t>
            </w:r>
          </w:p>
        </w:tc>
        <w:tc>
          <w:tcPr>
            <w:tcW w:type="dxa" w:w="2016"/>
            <w:vAlign w:val="top"/>
          </w:tcPr>
          <w:p>
            <w:r>
              <w:rPr>
                <w:sz w:val="16"/>
              </w:rPr>
              <w:t>Chart Grid</w:t>
            </w:r>
          </w:p>
        </w:tc>
        <w:tc>
          <w:tcPr>
            <w:tcW w:type="dxa" w:w="6552"/>
            <w:vAlign w:val="top"/>
          </w:tcPr>
          <w:p>
            <w:r>
              <w:rPr>
                <w:sz w:val="16"/>
              </w:rPr>
              <w:t>Render readable charts for each primary analytics domain. Charts must include labels, legends and empty-state handling.</w:t>
            </w:r>
          </w:p>
        </w:tc>
        <w:tc>
          <w:tcPr>
            <w:tcW w:type="dxa" w:w="1296"/>
            <w:vAlign w:val="top"/>
          </w:tcPr>
          <w:p>
            <w:r>
              <w:rPr>
                <w:sz w:val="16"/>
              </w:rPr>
              <w:t>Must Have</w:t>
            </w:r>
          </w:p>
        </w:tc>
      </w:tr>
      <w:tr>
        <w:tc>
          <w:tcPr>
            <w:tcW w:type="dxa" w:w="1008"/>
            <w:vAlign w:val="top"/>
          </w:tcPr>
          <w:p>
            <w:r>
              <w:rPr>
                <w:sz w:val="16"/>
              </w:rPr>
              <w:t>FR-006</w:t>
            </w:r>
          </w:p>
        </w:tc>
        <w:tc>
          <w:tcPr>
            <w:tcW w:type="dxa" w:w="2016"/>
            <w:vAlign w:val="top"/>
          </w:tcPr>
          <w:p>
            <w:r>
              <w:rPr>
                <w:sz w:val="16"/>
              </w:rPr>
              <w:t>Detail Tables</w:t>
            </w:r>
          </w:p>
        </w:tc>
        <w:tc>
          <w:tcPr>
            <w:tcW w:type="dxa" w:w="6552"/>
            <w:vAlign w:val="top"/>
          </w:tcPr>
          <w:p>
            <w:r>
              <w:rPr>
                <w:sz w:val="16"/>
              </w:rPr>
              <w:t>Allow users to inspect the underlying segment-level details behind key charts without exposing unnecessary personal information.</w:t>
            </w:r>
          </w:p>
        </w:tc>
        <w:tc>
          <w:tcPr>
            <w:tcW w:type="dxa" w:w="1296"/>
            <w:vAlign w:val="top"/>
          </w:tcPr>
          <w:p>
            <w:r>
              <w:rPr>
                <w:sz w:val="16"/>
              </w:rPr>
              <w:t>Must Have</w:t>
            </w:r>
          </w:p>
        </w:tc>
      </w:tr>
      <w:tr>
        <w:tc>
          <w:tcPr>
            <w:tcW w:type="dxa" w:w="1008"/>
            <w:vAlign w:val="top"/>
          </w:tcPr>
          <w:p>
            <w:r>
              <w:rPr>
                <w:sz w:val="16"/>
              </w:rPr>
              <w:t>FR-007</w:t>
            </w:r>
          </w:p>
        </w:tc>
        <w:tc>
          <w:tcPr>
            <w:tcW w:type="dxa" w:w="2016"/>
            <w:vAlign w:val="top"/>
          </w:tcPr>
          <w:p>
            <w:r>
              <w:rPr>
                <w:sz w:val="16"/>
              </w:rPr>
              <w:t>Manager Views</w:t>
            </w:r>
          </w:p>
        </w:tc>
        <w:tc>
          <w:tcPr>
            <w:tcW w:type="dxa" w:w="6552"/>
            <w:vAlign w:val="top"/>
          </w:tcPr>
          <w:p>
            <w:r>
              <w:rPr>
                <w:sz w:val="16"/>
              </w:rPr>
              <w:t>Provide manager-level patterns for span, attrition, engagement, ratings and team risk.</w:t>
            </w:r>
          </w:p>
        </w:tc>
        <w:tc>
          <w:tcPr>
            <w:tcW w:type="dxa" w:w="1296"/>
            <w:vAlign w:val="top"/>
          </w:tcPr>
          <w:p>
            <w:r>
              <w:rPr>
                <w:sz w:val="16"/>
              </w:rPr>
              <w:t>Should Have</w:t>
            </w:r>
          </w:p>
        </w:tc>
      </w:tr>
      <w:tr>
        <w:tc>
          <w:tcPr>
            <w:tcW w:type="dxa" w:w="1008"/>
            <w:vAlign w:val="top"/>
          </w:tcPr>
          <w:p>
            <w:r>
              <w:rPr>
                <w:sz w:val="16"/>
              </w:rPr>
              <w:t>FR-008</w:t>
            </w:r>
          </w:p>
        </w:tc>
        <w:tc>
          <w:tcPr>
            <w:tcW w:type="dxa" w:w="2016"/>
            <w:vAlign w:val="top"/>
          </w:tcPr>
          <w:p>
            <w:r>
              <w:rPr>
                <w:sz w:val="16"/>
              </w:rPr>
              <w:t>Compensation Risk View</w:t>
            </w:r>
          </w:p>
        </w:tc>
        <w:tc>
          <w:tcPr>
            <w:tcW w:type="dxa" w:w="6552"/>
            <w:vAlign w:val="top"/>
          </w:tcPr>
          <w:p>
            <w:r>
              <w:rPr>
                <w:sz w:val="16"/>
              </w:rPr>
              <w:t>Compare employee compensation to salary range and market benchmark where available.</w:t>
            </w:r>
          </w:p>
        </w:tc>
        <w:tc>
          <w:tcPr>
            <w:tcW w:type="dxa" w:w="1296"/>
            <w:vAlign w:val="top"/>
          </w:tcPr>
          <w:p>
            <w:r>
              <w:rPr>
                <w:sz w:val="16"/>
              </w:rPr>
              <w:t>Should Have</w:t>
            </w:r>
          </w:p>
        </w:tc>
      </w:tr>
      <w:tr>
        <w:tc>
          <w:tcPr>
            <w:tcW w:type="dxa" w:w="1008"/>
            <w:vAlign w:val="top"/>
          </w:tcPr>
          <w:p>
            <w:r>
              <w:rPr>
                <w:sz w:val="16"/>
              </w:rPr>
              <w:t>FR-009</w:t>
            </w:r>
          </w:p>
        </w:tc>
        <w:tc>
          <w:tcPr>
            <w:tcW w:type="dxa" w:w="2016"/>
            <w:vAlign w:val="top"/>
          </w:tcPr>
          <w:p>
            <w:r>
              <w:rPr>
                <w:sz w:val="16"/>
              </w:rPr>
              <w:t>Recruiting Funnel View</w:t>
            </w:r>
          </w:p>
        </w:tc>
        <w:tc>
          <w:tcPr>
            <w:tcW w:type="dxa" w:w="6552"/>
            <w:vAlign w:val="top"/>
          </w:tcPr>
          <w:p>
            <w:r>
              <w:rPr>
                <w:sz w:val="16"/>
              </w:rPr>
              <w:t>Show requisition funnel conversion, time-to-fill and offer outcomes by function, level and location.</w:t>
            </w:r>
          </w:p>
        </w:tc>
        <w:tc>
          <w:tcPr>
            <w:tcW w:type="dxa" w:w="1296"/>
            <w:vAlign w:val="top"/>
          </w:tcPr>
          <w:p>
            <w:r>
              <w:rPr>
                <w:sz w:val="16"/>
              </w:rPr>
              <w:t>Should Have</w:t>
            </w:r>
          </w:p>
        </w:tc>
      </w:tr>
      <w:tr>
        <w:tc>
          <w:tcPr>
            <w:tcW w:type="dxa" w:w="1008"/>
            <w:vAlign w:val="top"/>
          </w:tcPr>
          <w:p>
            <w:r>
              <w:rPr>
                <w:sz w:val="16"/>
              </w:rPr>
              <w:t>FR-010</w:t>
            </w:r>
          </w:p>
        </w:tc>
        <w:tc>
          <w:tcPr>
            <w:tcW w:type="dxa" w:w="2016"/>
            <w:vAlign w:val="top"/>
          </w:tcPr>
          <w:p>
            <w:r>
              <w:rPr>
                <w:sz w:val="16"/>
              </w:rPr>
              <w:t>Performance Calibration View</w:t>
            </w:r>
          </w:p>
        </w:tc>
        <w:tc>
          <w:tcPr>
            <w:tcW w:type="dxa" w:w="6552"/>
            <w:vAlign w:val="top"/>
          </w:tcPr>
          <w:p>
            <w:r>
              <w:rPr>
                <w:sz w:val="16"/>
              </w:rPr>
              <w:t>Show rating distributions and calibration adjustments by function, level, reviewer and manager where data supports it.</w:t>
            </w:r>
          </w:p>
        </w:tc>
        <w:tc>
          <w:tcPr>
            <w:tcW w:type="dxa" w:w="1296"/>
            <w:vAlign w:val="top"/>
          </w:tcPr>
          <w:p>
            <w:r>
              <w:rPr>
                <w:sz w:val="16"/>
              </w:rPr>
              <w:t>Should Have</w:t>
            </w:r>
          </w:p>
        </w:tc>
      </w:tr>
      <w:tr>
        <w:tc>
          <w:tcPr>
            <w:tcW w:type="dxa" w:w="1008"/>
            <w:vAlign w:val="top"/>
          </w:tcPr>
          <w:p>
            <w:r>
              <w:rPr>
                <w:sz w:val="16"/>
              </w:rPr>
              <w:t>FR-011</w:t>
            </w:r>
          </w:p>
        </w:tc>
        <w:tc>
          <w:tcPr>
            <w:tcW w:type="dxa" w:w="2016"/>
            <w:vAlign w:val="top"/>
          </w:tcPr>
          <w:p>
            <w:r>
              <w:rPr>
                <w:sz w:val="16"/>
              </w:rPr>
              <w:t>Predictive Risk Categories</w:t>
            </w:r>
          </w:p>
        </w:tc>
        <w:tc>
          <w:tcPr>
            <w:tcW w:type="dxa" w:w="6552"/>
            <w:vAlign w:val="top"/>
          </w:tcPr>
          <w:p>
            <w:r>
              <w:rPr>
                <w:sz w:val="16"/>
              </w:rPr>
              <w:t>Generate low / medium / high risk categories based on transparent rules and show explanation factors.</w:t>
            </w:r>
          </w:p>
        </w:tc>
        <w:tc>
          <w:tcPr>
            <w:tcW w:type="dxa" w:w="1296"/>
            <w:vAlign w:val="top"/>
          </w:tcPr>
          <w:p>
            <w:r>
              <w:rPr>
                <w:sz w:val="16"/>
              </w:rPr>
              <w:t>Must Have</w:t>
            </w:r>
          </w:p>
        </w:tc>
      </w:tr>
      <w:tr>
        <w:tc>
          <w:tcPr>
            <w:tcW w:type="dxa" w:w="1008"/>
            <w:vAlign w:val="top"/>
          </w:tcPr>
          <w:p>
            <w:r>
              <w:rPr>
                <w:sz w:val="16"/>
              </w:rPr>
              <w:t>FR-012</w:t>
            </w:r>
          </w:p>
        </w:tc>
        <w:tc>
          <w:tcPr>
            <w:tcW w:type="dxa" w:w="2016"/>
            <w:vAlign w:val="top"/>
          </w:tcPr>
          <w:p>
            <w:r>
              <w:rPr>
                <w:sz w:val="16"/>
              </w:rPr>
              <w:t>Methodology Panel</w:t>
            </w:r>
          </w:p>
        </w:tc>
        <w:tc>
          <w:tcPr>
            <w:tcW w:type="dxa" w:w="6552"/>
            <w:vAlign w:val="top"/>
          </w:tcPr>
          <w:p>
            <w:r>
              <w:rPr>
                <w:sz w:val="16"/>
              </w:rPr>
              <w:t>Expose metric definitions, source data and caveats in the UI.</w:t>
            </w:r>
          </w:p>
        </w:tc>
        <w:tc>
          <w:tcPr>
            <w:tcW w:type="dxa" w:w="1296"/>
            <w:vAlign w:val="top"/>
          </w:tcPr>
          <w:p>
            <w:r>
              <w:rPr>
                <w:sz w:val="16"/>
              </w:rPr>
              <w:t>Must Have</w:t>
            </w:r>
          </w:p>
        </w:tc>
      </w:tr>
      <w:tr>
        <w:tc>
          <w:tcPr>
            <w:tcW w:type="dxa" w:w="1008"/>
            <w:vAlign w:val="top"/>
          </w:tcPr>
          <w:p>
            <w:r>
              <w:rPr>
                <w:sz w:val="16"/>
              </w:rPr>
              <w:t>FR-013</w:t>
            </w:r>
          </w:p>
        </w:tc>
        <w:tc>
          <w:tcPr>
            <w:tcW w:type="dxa" w:w="2016"/>
            <w:vAlign w:val="top"/>
          </w:tcPr>
          <w:p>
            <w:r>
              <w:rPr>
                <w:sz w:val="16"/>
              </w:rPr>
              <w:t>Error and Loading States</w:t>
            </w:r>
          </w:p>
        </w:tc>
        <w:tc>
          <w:tcPr>
            <w:tcW w:type="dxa" w:w="6552"/>
            <w:vAlign w:val="top"/>
          </w:tcPr>
          <w:p>
            <w:r>
              <w:rPr>
                <w:sz w:val="16"/>
              </w:rPr>
              <w:t>Show non-technical loading, error and no-data messages.</w:t>
            </w:r>
          </w:p>
        </w:tc>
        <w:tc>
          <w:tcPr>
            <w:tcW w:type="dxa" w:w="1296"/>
            <w:vAlign w:val="top"/>
          </w:tcPr>
          <w:p>
            <w:r>
              <w:rPr>
                <w:sz w:val="16"/>
              </w:rPr>
              <w:t>Must Have</w:t>
            </w:r>
          </w:p>
        </w:tc>
      </w:tr>
      <w:tr>
        <w:tc>
          <w:tcPr>
            <w:tcW w:type="dxa" w:w="1008"/>
            <w:vAlign w:val="top"/>
          </w:tcPr>
          <w:p>
            <w:r>
              <w:rPr>
                <w:sz w:val="16"/>
              </w:rPr>
              <w:t>FR-014</w:t>
            </w:r>
          </w:p>
        </w:tc>
        <w:tc>
          <w:tcPr>
            <w:tcW w:type="dxa" w:w="2016"/>
            <w:vAlign w:val="top"/>
          </w:tcPr>
          <w:p>
            <w:r>
              <w:rPr>
                <w:sz w:val="16"/>
              </w:rPr>
              <w:t>Deployment</w:t>
            </w:r>
          </w:p>
        </w:tc>
        <w:tc>
          <w:tcPr>
            <w:tcW w:type="dxa" w:w="6552"/>
            <w:vAlign w:val="top"/>
          </w:tcPr>
          <w:p>
            <w:r>
              <w:rPr>
                <w:sz w:val="16"/>
              </w:rPr>
              <w:t>Deploy the application to Render and connect it to the Supabase development database.</w:t>
            </w:r>
          </w:p>
        </w:tc>
        <w:tc>
          <w:tcPr>
            <w:tcW w:type="dxa" w:w="1296"/>
            <w:vAlign w:val="top"/>
          </w:tcPr>
          <w:p>
            <w:r>
              <w:rPr>
                <w:sz w:val="16"/>
              </w:rPr>
              <w:t>Must Have</w:t>
            </w:r>
          </w:p>
        </w:tc>
      </w:tr>
    </w:tbl>
    <w:p/>
    <w:p>
      <w:pPr>
        <w:pStyle w:val="Heading1"/>
      </w:pPr>
      <w:r>
        <w:t>9. Non-Functional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F4E79"/>
            <w:vAlign w:val="center"/>
          </w:tcPr>
          <w:p>
            <w:r>
              <w:rPr>
                <w:b/>
                <w:color w:val="FFFFFF"/>
              </w:rPr>
              <w:t>Category</w:t>
            </w:r>
          </w:p>
        </w:tc>
        <w:tc>
          <w:tcPr>
            <w:tcW w:type="dxa" w:w="8064"/>
            <w:shd w:fill="1F4E79"/>
            <w:vAlign w:val="center"/>
          </w:tcPr>
          <w:p>
            <w:r>
              <w:rPr>
                <w:b/>
                <w:color w:val="FFFFFF"/>
              </w:rPr>
              <w:t>Requirement</w:t>
            </w:r>
          </w:p>
        </w:tc>
      </w:tr>
      <w:tr>
        <w:tc>
          <w:tcPr>
            <w:tcW w:type="dxa" w:w="2304"/>
            <w:vAlign w:val="top"/>
          </w:tcPr>
          <w:p>
            <w:r>
              <w:rPr>
                <w:sz w:val="16"/>
              </w:rPr>
              <w:t>Usability</w:t>
            </w:r>
          </w:p>
        </w:tc>
        <w:tc>
          <w:tcPr>
            <w:tcW w:type="dxa" w:w="8064"/>
            <w:vAlign w:val="top"/>
          </w:tcPr>
          <w:p>
            <w:r>
              <w:rPr>
                <w:sz w:val="16"/>
              </w:rPr>
              <w:t>The dashboard must be readable by a senior HR leader without technical explanation. Use concise labels, clear metric definitions and accessible chart design.</w:t>
            </w:r>
          </w:p>
        </w:tc>
      </w:tr>
      <w:tr>
        <w:tc>
          <w:tcPr>
            <w:tcW w:type="dxa" w:w="2304"/>
            <w:vAlign w:val="top"/>
          </w:tcPr>
          <w:p>
            <w:r>
              <w:rPr>
                <w:sz w:val="16"/>
              </w:rPr>
              <w:t>Performance</w:t>
            </w:r>
          </w:p>
        </w:tc>
        <w:tc>
          <w:tcPr>
            <w:tcW w:type="dxa" w:w="8064"/>
            <w:vAlign w:val="top"/>
          </w:tcPr>
          <w:p>
            <w:r>
              <w:rPr>
                <w:sz w:val="16"/>
              </w:rPr>
              <w:t>Initial dashboard load should target under three seconds for the seeded synthetic dataset in development conditions. Heavy views may load progressively.</w:t>
            </w:r>
          </w:p>
        </w:tc>
      </w:tr>
      <w:tr>
        <w:tc>
          <w:tcPr>
            <w:tcW w:type="dxa" w:w="2304"/>
            <w:vAlign w:val="top"/>
          </w:tcPr>
          <w:p>
            <w:r>
              <w:rPr>
                <w:sz w:val="16"/>
              </w:rPr>
              <w:t>Reliability</w:t>
            </w:r>
          </w:p>
        </w:tc>
        <w:tc>
          <w:tcPr>
            <w:tcW w:type="dxa" w:w="8064"/>
            <w:vAlign w:val="top"/>
          </w:tcPr>
          <w:p>
            <w:r>
              <w:rPr>
                <w:sz w:val="16"/>
              </w:rPr>
              <w:t>The app should fail gracefully when a query returns no rows, a chart has insufficient data or Supabase is unavailable.</w:t>
            </w:r>
          </w:p>
        </w:tc>
      </w:tr>
      <w:tr>
        <w:tc>
          <w:tcPr>
            <w:tcW w:type="dxa" w:w="2304"/>
            <w:vAlign w:val="top"/>
          </w:tcPr>
          <w:p>
            <w:r>
              <w:rPr>
                <w:sz w:val="16"/>
              </w:rPr>
              <w:t>Security</w:t>
            </w:r>
          </w:p>
        </w:tc>
        <w:tc>
          <w:tcPr>
            <w:tcW w:type="dxa" w:w="8064"/>
            <w:vAlign w:val="top"/>
          </w:tcPr>
          <w:p>
            <w:r>
              <w:rPr>
                <w:sz w:val="16"/>
              </w:rPr>
              <w:t>No secrets may be committed to GitHub. Service role keys must never be exposed in frontend code. Environment variables must be handled through .env.local locally and Render environment settings in deployment.</w:t>
            </w:r>
          </w:p>
        </w:tc>
      </w:tr>
      <w:tr>
        <w:tc>
          <w:tcPr>
            <w:tcW w:type="dxa" w:w="2304"/>
            <w:vAlign w:val="top"/>
          </w:tcPr>
          <w:p>
            <w:r>
              <w:rPr>
                <w:sz w:val="16"/>
              </w:rPr>
              <w:t>Data governance</w:t>
            </w:r>
          </w:p>
        </w:tc>
        <w:tc>
          <w:tcPr>
            <w:tcW w:type="dxa" w:w="8064"/>
            <w:vAlign w:val="top"/>
          </w:tcPr>
          <w:p>
            <w:r>
              <w:rPr>
                <w:sz w:val="16"/>
              </w:rPr>
              <w:t>All schema changes must be represented as migration files. Direct manual database changes should be avoided except for controlled bootcamp review and emergency debugging.</w:t>
            </w:r>
          </w:p>
        </w:tc>
      </w:tr>
      <w:tr>
        <w:tc>
          <w:tcPr>
            <w:tcW w:type="dxa" w:w="2304"/>
            <w:vAlign w:val="top"/>
          </w:tcPr>
          <w:p>
            <w:r>
              <w:rPr>
                <w:sz w:val="16"/>
              </w:rPr>
              <w:t>Maintainability</w:t>
            </w:r>
          </w:p>
        </w:tc>
        <w:tc>
          <w:tcPr>
            <w:tcW w:type="dxa" w:w="8064"/>
            <w:vAlign w:val="top"/>
          </w:tcPr>
          <w:p>
            <w:r>
              <w:rPr>
                <w:sz w:val="16"/>
              </w:rPr>
              <w:t>Frontend components, backend analytics functions and database migrations should be modular and documented enough for two workstreams to work simultaneously.</w:t>
            </w:r>
          </w:p>
        </w:tc>
      </w:tr>
      <w:tr>
        <w:tc>
          <w:tcPr>
            <w:tcW w:type="dxa" w:w="2304"/>
            <w:vAlign w:val="top"/>
          </w:tcPr>
          <w:p>
            <w:r>
              <w:rPr>
                <w:sz w:val="16"/>
              </w:rPr>
              <w:t>Accessibility</w:t>
            </w:r>
          </w:p>
        </w:tc>
        <w:tc>
          <w:tcPr>
            <w:tcW w:type="dxa" w:w="8064"/>
            <w:vAlign w:val="top"/>
          </w:tcPr>
          <w:p>
            <w:r>
              <w:rPr>
                <w:sz w:val="16"/>
              </w:rPr>
              <w:t>Use sufficient color contrast, readable font sizes, labels beyond color alone and keyboard-friendly controls where practical for Version 0.1.</w:t>
            </w:r>
          </w:p>
        </w:tc>
      </w:tr>
      <w:tr>
        <w:tc>
          <w:tcPr>
            <w:tcW w:type="dxa" w:w="2304"/>
            <w:vAlign w:val="top"/>
          </w:tcPr>
          <w:p>
            <w:r>
              <w:rPr>
                <w:sz w:val="16"/>
              </w:rPr>
              <w:t>Responsible AI / Analytics</w:t>
            </w:r>
          </w:p>
        </w:tc>
        <w:tc>
          <w:tcPr>
            <w:tcW w:type="dxa" w:w="8064"/>
            <w:vAlign w:val="top"/>
          </w:tcPr>
          <w:p>
            <w:r>
              <w:rPr>
                <w:sz w:val="16"/>
              </w:rPr>
              <w:t>Predictive outputs must be framed as directional indicators for investigation, not employment decisions. Risk explanations and caveats are mandatory.</w:t>
            </w:r>
          </w:p>
        </w:tc>
      </w:tr>
    </w:tbl>
    <w:p/>
    <w:p>
      <w:pPr>
        <w:pStyle w:val="Heading1"/>
      </w:pPr>
      <w:r>
        <w:t>10. Metric Requirements and Definitions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448"/>
            <w:shd w:fill="1F4E79"/>
            <w:vAlign w:val="center"/>
          </w:tcPr>
          <w:p>
            <w:r>
              <w:rPr>
                <w:b/>
                <w:color w:val="FFFFFF"/>
              </w:rPr>
              <w:t>Metric</w:t>
            </w:r>
          </w:p>
        </w:tc>
        <w:tc>
          <w:tcPr>
            <w:tcW w:type="dxa" w:w="3672"/>
            <w:shd w:fill="1F4E79"/>
            <w:vAlign w:val="center"/>
          </w:tcPr>
          <w:p>
            <w:r>
              <w:rPr>
                <w:b/>
                <w:color w:val="FFFFFF"/>
              </w:rPr>
              <w:t>Definition</w:t>
            </w:r>
          </w:p>
        </w:tc>
        <w:tc>
          <w:tcPr>
            <w:tcW w:type="dxa" w:w="2304"/>
            <w:shd w:fill="1F4E79"/>
            <w:vAlign w:val="center"/>
          </w:tcPr>
          <w:p>
            <w:r>
              <w:rPr>
                <w:b/>
                <w:color w:val="FFFFFF"/>
              </w:rPr>
              <w:t>Primary Source</w:t>
            </w:r>
          </w:p>
        </w:tc>
        <w:tc>
          <w:tcPr>
            <w:tcW w:type="dxa" w:w="2304"/>
            <w:shd w:fill="1F4E79"/>
            <w:vAlign w:val="center"/>
          </w:tcPr>
          <w:p>
            <w:r>
              <w:rPr>
                <w:b/>
                <w:color w:val="FFFFFF"/>
              </w:rPr>
              <w:t>Display / Use</w:t>
            </w:r>
          </w:p>
        </w:tc>
      </w:tr>
      <w:tr>
        <w:tc>
          <w:tcPr>
            <w:tcW w:type="dxa" w:w="2448"/>
            <w:vAlign w:val="top"/>
          </w:tcPr>
          <w:p>
            <w:r>
              <w:rPr>
                <w:sz w:val="16"/>
              </w:rPr>
              <w:t>Active Headcount</w:t>
            </w:r>
          </w:p>
        </w:tc>
        <w:tc>
          <w:tcPr>
            <w:tcW w:type="dxa" w:w="3672"/>
            <w:vAlign w:val="top"/>
          </w:tcPr>
          <w:p>
            <w:r>
              <w:rPr>
                <w:sz w:val="16"/>
              </w:rPr>
              <w:t>Count of employees with active employment status as of selected date</w:t>
            </w:r>
          </w:p>
        </w:tc>
        <w:tc>
          <w:tcPr>
            <w:tcW w:type="dxa" w:w="2304"/>
            <w:vAlign w:val="top"/>
          </w:tcPr>
          <w:p>
            <w:r>
              <w:rPr>
                <w:sz w:val="16"/>
              </w:rPr>
              <w:t>Employee Master</w:t>
            </w:r>
          </w:p>
        </w:tc>
        <w:tc>
          <w:tcPr>
            <w:tcW w:type="dxa" w:w="2304"/>
            <w:vAlign w:val="top"/>
          </w:tcPr>
          <w:p>
            <w:r>
              <w:rPr>
                <w:sz w:val="16"/>
              </w:rPr>
              <w:t>KPI, trend, department / function breakdown</w:t>
            </w:r>
          </w:p>
        </w:tc>
      </w:tr>
      <w:tr>
        <w:tc>
          <w:tcPr>
            <w:tcW w:type="dxa" w:w="2448"/>
            <w:vAlign w:val="top"/>
          </w:tcPr>
          <w:p>
            <w:r>
              <w:rPr>
                <w:sz w:val="16"/>
              </w:rPr>
              <w:t>Voluntary Attrition Rate</w:t>
            </w:r>
          </w:p>
        </w:tc>
        <w:tc>
          <w:tcPr>
            <w:tcW w:type="dxa" w:w="3672"/>
            <w:vAlign w:val="top"/>
          </w:tcPr>
          <w:p>
            <w:r>
              <w:rPr>
                <w:sz w:val="16"/>
              </w:rPr>
              <w:t>Voluntary terminations divided by average active headcount for period</w:t>
            </w:r>
          </w:p>
        </w:tc>
        <w:tc>
          <w:tcPr>
            <w:tcW w:type="dxa" w:w="2304"/>
            <w:vAlign w:val="top"/>
          </w:tcPr>
          <w:p>
            <w:r>
              <w:rPr>
                <w:sz w:val="16"/>
              </w:rPr>
              <w:t>Employee Master / termination fields</w:t>
            </w:r>
          </w:p>
        </w:tc>
        <w:tc>
          <w:tcPr>
            <w:tcW w:type="dxa" w:w="2304"/>
            <w:vAlign w:val="top"/>
          </w:tcPr>
          <w:p>
            <w:r>
              <w:rPr>
                <w:sz w:val="16"/>
              </w:rPr>
              <w:t>Trend, function, manager and tenure cuts</w:t>
            </w:r>
          </w:p>
        </w:tc>
      </w:tr>
      <w:tr>
        <w:tc>
          <w:tcPr>
            <w:tcW w:type="dxa" w:w="2448"/>
            <w:vAlign w:val="top"/>
          </w:tcPr>
          <w:p>
            <w:r>
              <w:rPr>
                <w:sz w:val="16"/>
              </w:rPr>
              <w:t>Regrettable Attrition Rate</w:t>
            </w:r>
          </w:p>
        </w:tc>
        <w:tc>
          <w:tcPr>
            <w:tcW w:type="dxa" w:w="3672"/>
            <w:vAlign w:val="top"/>
          </w:tcPr>
          <w:p>
            <w:r>
              <w:rPr>
                <w:sz w:val="16"/>
              </w:rPr>
              <w:t>Regrettable voluntary exits divided by average active headcount or total exits, depending on definition adopted</w:t>
            </w:r>
          </w:p>
        </w:tc>
        <w:tc>
          <w:tcPr>
            <w:tcW w:type="dxa" w:w="2304"/>
            <w:vAlign w:val="top"/>
          </w:tcPr>
          <w:p>
            <w:r>
              <w:rPr>
                <w:sz w:val="16"/>
              </w:rPr>
              <w:t>Employee Master / attrition fields</w:t>
            </w:r>
          </w:p>
        </w:tc>
        <w:tc>
          <w:tcPr>
            <w:tcW w:type="dxa" w:w="2304"/>
            <w:vAlign w:val="top"/>
          </w:tcPr>
          <w:p>
            <w:r>
              <w:rPr>
                <w:sz w:val="16"/>
              </w:rPr>
              <w:t>Executive risk indicator</w:t>
            </w:r>
          </w:p>
        </w:tc>
      </w:tr>
      <w:tr>
        <w:tc>
          <w:tcPr>
            <w:tcW w:type="dxa" w:w="2448"/>
            <w:vAlign w:val="top"/>
          </w:tcPr>
          <w:p>
            <w:r>
              <w:rPr>
                <w:sz w:val="16"/>
              </w:rPr>
              <w:t>Engagement Score</w:t>
            </w:r>
          </w:p>
        </w:tc>
        <w:tc>
          <w:tcPr>
            <w:tcW w:type="dxa" w:w="3672"/>
            <w:vAlign w:val="top"/>
          </w:tcPr>
          <w:p>
            <w:r>
              <w:rPr>
                <w:sz w:val="16"/>
              </w:rPr>
              <w:t>Average survey score by question category or overall outcome category</w:t>
            </w:r>
          </w:p>
        </w:tc>
        <w:tc>
          <w:tcPr>
            <w:tcW w:type="dxa" w:w="2304"/>
            <w:vAlign w:val="top"/>
          </w:tcPr>
          <w:p>
            <w:r>
              <w:rPr>
                <w:sz w:val="16"/>
              </w:rPr>
              <w:t>Engagement survey response data</w:t>
            </w:r>
          </w:p>
        </w:tc>
        <w:tc>
          <w:tcPr>
            <w:tcW w:type="dxa" w:w="2304"/>
            <w:vAlign w:val="top"/>
          </w:tcPr>
          <w:p>
            <w:r>
              <w:rPr>
                <w:sz w:val="16"/>
              </w:rPr>
              <w:t>Category heatmaps, segment analysis</w:t>
            </w:r>
          </w:p>
        </w:tc>
      </w:tr>
      <w:tr>
        <w:tc>
          <w:tcPr>
            <w:tcW w:type="dxa" w:w="2448"/>
            <w:vAlign w:val="top"/>
          </w:tcPr>
          <w:p>
            <w:r>
              <w:rPr>
                <w:sz w:val="16"/>
              </w:rPr>
              <w:t>Engagement Participation</w:t>
            </w:r>
          </w:p>
        </w:tc>
        <w:tc>
          <w:tcPr>
            <w:tcW w:type="dxa" w:w="3672"/>
            <w:vAlign w:val="top"/>
          </w:tcPr>
          <w:p>
            <w:r>
              <w:rPr>
                <w:sz w:val="16"/>
              </w:rPr>
              <w:t>Survey responses divided by eligible population or available population proxy</w:t>
            </w:r>
          </w:p>
        </w:tc>
        <w:tc>
          <w:tcPr>
            <w:tcW w:type="dxa" w:w="2304"/>
            <w:vAlign w:val="top"/>
          </w:tcPr>
          <w:p>
            <w:r>
              <w:rPr>
                <w:sz w:val="16"/>
              </w:rPr>
              <w:t>Engagement survey + employee master</w:t>
            </w:r>
          </w:p>
        </w:tc>
        <w:tc>
          <w:tcPr>
            <w:tcW w:type="dxa" w:w="2304"/>
            <w:vAlign w:val="top"/>
          </w:tcPr>
          <w:p>
            <w:r>
              <w:rPr>
                <w:sz w:val="16"/>
              </w:rPr>
              <w:t>Credibility indicator for engagement cuts</w:t>
            </w:r>
          </w:p>
        </w:tc>
      </w:tr>
      <w:tr>
        <w:tc>
          <w:tcPr>
            <w:tcW w:type="dxa" w:w="2448"/>
            <w:vAlign w:val="top"/>
          </w:tcPr>
          <w:p>
            <w:r>
              <w:rPr>
                <w:sz w:val="16"/>
              </w:rPr>
              <w:t>Average Time-to-Fill</w:t>
            </w:r>
          </w:p>
        </w:tc>
        <w:tc>
          <w:tcPr>
            <w:tcW w:type="dxa" w:w="3672"/>
            <w:vAlign w:val="top"/>
          </w:tcPr>
          <w:p>
            <w:r>
              <w:rPr>
                <w:sz w:val="16"/>
              </w:rPr>
              <w:t>Average days between requisition open and close for filled roles</w:t>
            </w:r>
          </w:p>
        </w:tc>
        <w:tc>
          <w:tcPr>
            <w:tcW w:type="dxa" w:w="2304"/>
            <w:vAlign w:val="top"/>
          </w:tcPr>
          <w:p>
            <w:r>
              <w:rPr>
                <w:sz w:val="16"/>
              </w:rPr>
              <w:t>Recruiting funnel requisitions</w:t>
            </w:r>
          </w:p>
        </w:tc>
        <w:tc>
          <w:tcPr>
            <w:tcW w:type="dxa" w:w="2304"/>
            <w:vAlign w:val="top"/>
          </w:tcPr>
          <w:p>
            <w:r>
              <w:rPr>
                <w:sz w:val="16"/>
              </w:rPr>
              <w:t>Hiring velocity KPI and trend</w:t>
            </w:r>
          </w:p>
        </w:tc>
      </w:tr>
      <w:tr>
        <w:tc>
          <w:tcPr>
            <w:tcW w:type="dxa" w:w="2448"/>
            <w:vAlign w:val="top"/>
          </w:tcPr>
          <w:p>
            <w:r>
              <w:rPr>
                <w:sz w:val="16"/>
              </w:rPr>
              <w:t>Offer Acceptance Rate</w:t>
            </w:r>
          </w:p>
        </w:tc>
        <w:tc>
          <w:tcPr>
            <w:tcW w:type="dxa" w:w="3672"/>
            <w:vAlign w:val="top"/>
          </w:tcPr>
          <w:p>
            <w:r>
              <w:rPr>
                <w:sz w:val="16"/>
              </w:rPr>
              <w:t>Accepted offers divided by offers made</w:t>
            </w:r>
          </w:p>
        </w:tc>
        <w:tc>
          <w:tcPr>
            <w:tcW w:type="dxa" w:w="2304"/>
            <w:vAlign w:val="top"/>
          </w:tcPr>
          <w:p>
            <w:r>
              <w:rPr>
                <w:sz w:val="16"/>
              </w:rPr>
              <w:t>Offer outcomes / Reqs Master</w:t>
            </w:r>
          </w:p>
        </w:tc>
        <w:tc>
          <w:tcPr>
            <w:tcW w:type="dxa" w:w="2304"/>
            <w:vAlign w:val="top"/>
          </w:tcPr>
          <w:p>
            <w:r>
              <w:rPr>
                <w:sz w:val="16"/>
              </w:rPr>
              <w:t>Hiring quality and market competitiveness</w:t>
            </w:r>
          </w:p>
        </w:tc>
      </w:tr>
      <w:tr>
        <w:tc>
          <w:tcPr>
            <w:tcW w:type="dxa" w:w="2448"/>
            <w:vAlign w:val="top"/>
          </w:tcPr>
          <w:p>
            <w:r>
              <w:rPr>
                <w:sz w:val="16"/>
              </w:rPr>
              <w:t>Funnel Conversion</w:t>
            </w:r>
          </w:p>
        </w:tc>
        <w:tc>
          <w:tcPr>
            <w:tcW w:type="dxa" w:w="3672"/>
            <w:vAlign w:val="top"/>
          </w:tcPr>
          <w:p>
            <w:r>
              <w:rPr>
                <w:sz w:val="16"/>
              </w:rPr>
              <w:t>Candidates advancing between recruiting stages divided by prior-stage volume</w:t>
            </w:r>
          </w:p>
        </w:tc>
        <w:tc>
          <w:tcPr>
            <w:tcW w:type="dxa" w:w="2304"/>
            <w:vAlign w:val="top"/>
          </w:tcPr>
          <w:p>
            <w:r>
              <w:rPr>
                <w:sz w:val="16"/>
              </w:rPr>
              <w:t>Funnel events / Reqs Master</w:t>
            </w:r>
          </w:p>
        </w:tc>
        <w:tc>
          <w:tcPr>
            <w:tcW w:type="dxa" w:w="2304"/>
            <w:vAlign w:val="top"/>
          </w:tcPr>
          <w:p>
            <w:r>
              <w:rPr>
                <w:sz w:val="16"/>
              </w:rPr>
              <w:t>Recruiting process health</w:t>
            </w:r>
          </w:p>
        </w:tc>
      </w:tr>
      <w:tr>
        <w:tc>
          <w:tcPr>
            <w:tcW w:type="dxa" w:w="2448"/>
            <w:vAlign w:val="top"/>
          </w:tcPr>
          <w:p>
            <w:r>
              <w:rPr>
                <w:sz w:val="16"/>
              </w:rPr>
              <w:t>Compa-Ratio</w:t>
            </w:r>
          </w:p>
        </w:tc>
        <w:tc>
          <w:tcPr>
            <w:tcW w:type="dxa" w:w="3672"/>
            <w:vAlign w:val="top"/>
          </w:tcPr>
          <w:p>
            <w:r>
              <w:rPr>
                <w:sz w:val="16"/>
              </w:rPr>
              <w:t>Base salary divided by salary range midpoint</w:t>
            </w:r>
          </w:p>
        </w:tc>
        <w:tc>
          <w:tcPr>
            <w:tcW w:type="dxa" w:w="2304"/>
            <w:vAlign w:val="top"/>
          </w:tcPr>
          <w:p>
            <w:r>
              <w:rPr>
                <w:sz w:val="16"/>
              </w:rPr>
              <w:t>Employee Master / Compensation History</w:t>
            </w:r>
          </w:p>
        </w:tc>
        <w:tc>
          <w:tcPr>
            <w:tcW w:type="dxa" w:w="2304"/>
            <w:vAlign w:val="top"/>
          </w:tcPr>
          <w:p>
            <w:r>
              <w:rPr>
                <w:sz w:val="16"/>
              </w:rPr>
              <w:t>Compensation positioning and risk</w:t>
            </w:r>
          </w:p>
        </w:tc>
      </w:tr>
      <w:tr>
        <w:tc>
          <w:tcPr>
            <w:tcW w:type="dxa" w:w="2448"/>
            <w:vAlign w:val="top"/>
          </w:tcPr>
          <w:p>
            <w:r>
              <w:rPr>
                <w:sz w:val="16"/>
              </w:rPr>
              <w:t>Range Penetration</w:t>
            </w:r>
          </w:p>
        </w:tc>
        <w:tc>
          <w:tcPr>
            <w:tcW w:type="dxa" w:w="3672"/>
            <w:vAlign w:val="top"/>
          </w:tcPr>
          <w:p>
            <w:r>
              <w:rPr>
                <w:sz w:val="16"/>
              </w:rPr>
              <w:t>Position of salary within range between minimum and maximum</w:t>
            </w:r>
          </w:p>
        </w:tc>
        <w:tc>
          <w:tcPr>
            <w:tcW w:type="dxa" w:w="2304"/>
            <w:vAlign w:val="top"/>
          </w:tcPr>
          <w:p>
            <w:r>
              <w:rPr>
                <w:sz w:val="16"/>
              </w:rPr>
              <w:t>Employee Master</w:t>
            </w:r>
          </w:p>
        </w:tc>
        <w:tc>
          <w:tcPr>
            <w:tcW w:type="dxa" w:w="2304"/>
            <w:vAlign w:val="top"/>
          </w:tcPr>
          <w:p>
            <w:r>
              <w:rPr>
                <w:sz w:val="16"/>
              </w:rPr>
              <w:t>Compression and progression analysis</w:t>
            </w:r>
          </w:p>
        </w:tc>
      </w:tr>
      <w:tr>
        <w:tc>
          <w:tcPr>
            <w:tcW w:type="dxa" w:w="2448"/>
            <w:vAlign w:val="top"/>
          </w:tcPr>
          <w:p>
            <w:r>
              <w:rPr>
                <w:sz w:val="16"/>
              </w:rPr>
              <w:t>Market Benchmark Position</w:t>
            </w:r>
          </w:p>
        </w:tc>
        <w:tc>
          <w:tcPr>
            <w:tcW w:type="dxa" w:w="3672"/>
            <w:vAlign w:val="top"/>
          </w:tcPr>
          <w:p>
            <w:r>
              <w:rPr>
                <w:sz w:val="16"/>
              </w:rPr>
              <w:t>Internal salary compared to benchmark P25 / P50 / P75 by function, level and pay zone</w:t>
            </w:r>
          </w:p>
        </w:tc>
        <w:tc>
          <w:tcPr>
            <w:tcW w:type="dxa" w:w="2304"/>
            <w:vAlign w:val="top"/>
          </w:tcPr>
          <w:p>
            <w:r>
              <w:rPr>
                <w:sz w:val="16"/>
              </w:rPr>
              <w:t>ACI compensation benchmark data</w:t>
            </w:r>
          </w:p>
        </w:tc>
        <w:tc>
          <w:tcPr>
            <w:tcW w:type="dxa" w:w="2304"/>
            <w:vAlign w:val="top"/>
          </w:tcPr>
          <w:p>
            <w:r>
              <w:rPr>
                <w:sz w:val="16"/>
              </w:rPr>
              <w:t>Market competitiveness analysis</w:t>
            </w:r>
          </w:p>
        </w:tc>
      </w:tr>
      <w:tr>
        <w:tc>
          <w:tcPr>
            <w:tcW w:type="dxa" w:w="2448"/>
            <w:vAlign w:val="top"/>
          </w:tcPr>
          <w:p>
            <w:r>
              <w:rPr>
                <w:sz w:val="16"/>
              </w:rPr>
              <w:t>Span of Control</w:t>
            </w:r>
          </w:p>
        </w:tc>
        <w:tc>
          <w:tcPr>
            <w:tcW w:type="dxa" w:w="3672"/>
            <w:vAlign w:val="top"/>
          </w:tcPr>
          <w:p>
            <w:r>
              <w:rPr>
                <w:sz w:val="16"/>
              </w:rPr>
              <w:t>Number of direct reports per manager</w:t>
            </w:r>
          </w:p>
        </w:tc>
        <w:tc>
          <w:tcPr>
            <w:tcW w:type="dxa" w:w="2304"/>
            <w:vAlign w:val="top"/>
          </w:tcPr>
          <w:p>
            <w:r>
              <w:rPr>
                <w:sz w:val="16"/>
              </w:rPr>
              <w:t>Employee Master</w:t>
            </w:r>
          </w:p>
        </w:tc>
        <w:tc>
          <w:tcPr>
            <w:tcW w:type="dxa" w:w="2304"/>
            <w:vAlign w:val="top"/>
          </w:tcPr>
          <w:p>
            <w:r>
              <w:rPr>
                <w:sz w:val="16"/>
              </w:rPr>
              <w:t>Manager effectiveness and org design</w:t>
            </w:r>
          </w:p>
        </w:tc>
      </w:tr>
      <w:tr>
        <w:tc>
          <w:tcPr>
            <w:tcW w:type="dxa" w:w="2448"/>
            <w:vAlign w:val="top"/>
          </w:tcPr>
          <w:p>
            <w:r>
              <w:rPr>
                <w:sz w:val="16"/>
              </w:rPr>
              <w:t>Rating Distribution</w:t>
            </w:r>
          </w:p>
        </w:tc>
        <w:tc>
          <w:tcPr>
            <w:tcW w:type="dxa" w:w="3672"/>
            <w:vAlign w:val="top"/>
          </w:tcPr>
          <w:p>
            <w:r>
              <w:rPr>
                <w:sz w:val="16"/>
              </w:rPr>
              <w:t>Distribution of final performance ratings by function, manager, level and reviewer</w:t>
            </w:r>
          </w:p>
        </w:tc>
        <w:tc>
          <w:tcPr>
            <w:tcW w:type="dxa" w:w="2304"/>
            <w:vAlign w:val="top"/>
          </w:tcPr>
          <w:p>
            <w:r>
              <w:rPr>
                <w:sz w:val="16"/>
              </w:rPr>
              <w:t>Performance Review History</w:t>
            </w:r>
          </w:p>
        </w:tc>
        <w:tc>
          <w:tcPr>
            <w:tcW w:type="dxa" w:w="2304"/>
            <w:vAlign w:val="top"/>
          </w:tcPr>
          <w:p>
            <w:r>
              <w:rPr>
                <w:sz w:val="16"/>
              </w:rPr>
              <w:t>Calibration and consistency view</w:t>
            </w:r>
          </w:p>
        </w:tc>
      </w:tr>
      <w:tr>
        <w:tc>
          <w:tcPr>
            <w:tcW w:type="dxa" w:w="2448"/>
            <w:vAlign w:val="top"/>
          </w:tcPr>
          <w:p>
            <w:r>
              <w:rPr>
                <w:sz w:val="16"/>
              </w:rPr>
              <w:t>Calibration Adjustment Rate</w:t>
            </w:r>
          </w:p>
        </w:tc>
        <w:tc>
          <w:tcPr>
            <w:tcW w:type="dxa" w:w="3672"/>
            <w:vAlign w:val="top"/>
          </w:tcPr>
          <w:p>
            <w:r>
              <w:rPr>
                <w:sz w:val="16"/>
              </w:rPr>
              <w:t>Reviews with calibration-adjusted flag divided by completed reviews</w:t>
            </w:r>
          </w:p>
        </w:tc>
        <w:tc>
          <w:tcPr>
            <w:tcW w:type="dxa" w:w="2304"/>
            <w:vAlign w:val="top"/>
          </w:tcPr>
          <w:p>
            <w:r>
              <w:rPr>
                <w:sz w:val="16"/>
              </w:rPr>
              <w:t>Performance Review History</w:t>
            </w:r>
          </w:p>
        </w:tc>
        <w:tc>
          <w:tcPr>
            <w:tcW w:type="dxa" w:w="2304"/>
            <w:vAlign w:val="top"/>
          </w:tcPr>
          <w:p>
            <w:r>
              <w:rPr>
                <w:sz w:val="16"/>
              </w:rPr>
              <w:t>Calibration consistency analysis</w:t>
            </w:r>
          </w:p>
        </w:tc>
      </w:tr>
      <w:tr>
        <w:tc>
          <w:tcPr>
            <w:tcW w:type="dxa" w:w="2448"/>
            <w:vAlign w:val="top"/>
          </w:tcPr>
          <w:p>
            <w:r>
              <w:rPr>
                <w:sz w:val="16"/>
              </w:rPr>
              <w:t>Promotion Readiness</w:t>
            </w:r>
          </w:p>
        </w:tc>
        <w:tc>
          <w:tcPr>
            <w:tcW w:type="dxa" w:w="3672"/>
            <w:vAlign w:val="top"/>
          </w:tcPr>
          <w:p>
            <w:r>
              <w:rPr>
                <w:sz w:val="16"/>
              </w:rPr>
              <w:t>Employees marked ready now or ready in less than one year</w:t>
            </w:r>
          </w:p>
        </w:tc>
        <w:tc>
          <w:tcPr>
            <w:tcW w:type="dxa" w:w="2304"/>
            <w:vAlign w:val="top"/>
          </w:tcPr>
          <w:p>
            <w:r>
              <w:rPr>
                <w:sz w:val="16"/>
              </w:rPr>
              <w:t>Employee Master / Performance data</w:t>
            </w:r>
          </w:p>
        </w:tc>
        <w:tc>
          <w:tcPr>
            <w:tcW w:type="dxa" w:w="2304"/>
            <w:vAlign w:val="top"/>
          </w:tcPr>
          <w:p>
            <w:r>
              <w:rPr>
                <w:sz w:val="16"/>
              </w:rPr>
              <w:t>Succession and mobility signal</w:t>
            </w:r>
          </w:p>
        </w:tc>
      </w:tr>
      <w:tr>
        <w:tc>
          <w:tcPr>
            <w:tcW w:type="dxa" w:w="2448"/>
            <w:vAlign w:val="top"/>
          </w:tcPr>
          <w:p>
            <w:r>
              <w:rPr>
                <w:sz w:val="16"/>
              </w:rPr>
              <w:t>Internal Mobility Rate</w:t>
            </w:r>
          </w:p>
        </w:tc>
        <w:tc>
          <w:tcPr>
            <w:tcW w:type="dxa" w:w="3672"/>
            <w:vAlign w:val="top"/>
          </w:tcPr>
          <w:p>
            <w:r>
              <w:rPr>
                <w:sz w:val="16"/>
              </w:rPr>
              <w:t>Employees with internal moves or promotions divided by eligible employees</w:t>
            </w:r>
          </w:p>
        </w:tc>
        <w:tc>
          <w:tcPr>
            <w:tcW w:type="dxa" w:w="2304"/>
            <w:vAlign w:val="top"/>
          </w:tcPr>
          <w:p>
            <w:r>
              <w:rPr>
                <w:sz w:val="16"/>
              </w:rPr>
              <w:t>Employee Master / Compensation History</w:t>
            </w:r>
          </w:p>
        </w:tc>
        <w:tc>
          <w:tcPr>
            <w:tcW w:type="dxa" w:w="2304"/>
            <w:vAlign w:val="top"/>
          </w:tcPr>
          <w:p>
            <w:r>
              <w:rPr>
                <w:sz w:val="16"/>
              </w:rPr>
              <w:t>Talent development signal</w:t>
            </w:r>
          </w:p>
        </w:tc>
      </w:tr>
      <w:tr>
        <w:tc>
          <w:tcPr>
            <w:tcW w:type="dxa" w:w="2448"/>
            <w:vAlign w:val="top"/>
          </w:tcPr>
          <w:p>
            <w:r>
              <w:rPr>
                <w:sz w:val="16"/>
              </w:rPr>
              <w:t>Headcount Plan Attainment</w:t>
            </w:r>
          </w:p>
        </w:tc>
        <w:tc>
          <w:tcPr>
            <w:tcW w:type="dxa" w:w="3672"/>
            <w:vAlign w:val="top"/>
          </w:tcPr>
          <w:p>
            <w:r>
              <w:rPr>
                <w:sz w:val="16"/>
              </w:rPr>
              <w:t>Actual hires or run-rate forecast compared to FY26 plan</w:t>
            </w:r>
          </w:p>
        </w:tc>
        <w:tc>
          <w:tcPr>
            <w:tcW w:type="dxa" w:w="2304"/>
            <w:vAlign w:val="top"/>
          </w:tcPr>
          <w:p>
            <w:r>
              <w:rPr>
                <w:sz w:val="16"/>
              </w:rPr>
              <w:t>FY26 Headcount Plan</w:t>
            </w:r>
          </w:p>
        </w:tc>
        <w:tc>
          <w:tcPr>
            <w:tcW w:type="dxa" w:w="2304"/>
            <w:vAlign w:val="top"/>
          </w:tcPr>
          <w:p>
            <w:r>
              <w:rPr>
                <w:sz w:val="16"/>
              </w:rPr>
              <w:t>Workforce planning performance</w:t>
            </w:r>
          </w:p>
        </w:tc>
      </w:tr>
      <w:tr>
        <w:tc>
          <w:tcPr>
            <w:tcW w:type="dxa" w:w="2448"/>
            <w:vAlign w:val="top"/>
          </w:tcPr>
          <w:p>
            <w:r>
              <w:rPr>
                <w:sz w:val="16"/>
              </w:rPr>
              <w:t>Flight Risk Category</w:t>
            </w:r>
          </w:p>
        </w:tc>
        <w:tc>
          <w:tcPr>
            <w:tcW w:type="dxa" w:w="3672"/>
            <w:vAlign w:val="top"/>
          </w:tcPr>
          <w:p>
            <w:r>
              <w:rPr>
                <w:sz w:val="16"/>
              </w:rPr>
              <w:t>Low / medium / high directional risk based on transparent rules</w:t>
            </w:r>
          </w:p>
        </w:tc>
        <w:tc>
          <w:tcPr>
            <w:tcW w:type="dxa" w:w="2304"/>
            <w:vAlign w:val="top"/>
          </w:tcPr>
          <w:p>
            <w:r>
              <w:rPr>
                <w:sz w:val="16"/>
              </w:rPr>
              <w:t>Employee Master + engagement + performance + compensation</w:t>
            </w:r>
          </w:p>
        </w:tc>
        <w:tc>
          <w:tcPr>
            <w:tcW w:type="dxa" w:w="2304"/>
            <w:vAlign w:val="top"/>
          </w:tcPr>
          <w:p>
            <w:r>
              <w:rPr>
                <w:sz w:val="16"/>
              </w:rPr>
              <w:t>Predictive risk view with explanation</w:t>
            </w:r>
          </w:p>
        </w:tc>
      </w:tr>
    </w:tbl>
    <w:p/>
    <w:p>
      <w:pPr>
        <w:pStyle w:val="Heading1"/>
      </w:pPr>
      <w:r>
        <w:t>11. Initial Data Model and Tables</w:t>
      </w:r>
    </w:p>
    <w:p>
      <w:r>
        <w:t>The database model should normalize source data enough to support reliable analytics while remaining simple enough for a live build. The table names below are the recommended Version 0.1 Supabase model. Actual field-level migration scripts should be generated from this PRD and reviewed before implementation.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1F4E79"/>
            <w:vAlign w:val="center"/>
          </w:tcPr>
          <w:p>
            <w:r>
              <w:rPr>
                <w:b/>
                <w:color w:val="FFFFFF"/>
              </w:rPr>
              <w:t>Table</w:t>
            </w:r>
          </w:p>
        </w:tc>
        <w:tc>
          <w:tcPr>
            <w:tcW w:type="dxa" w:w="3024"/>
            <w:shd w:fill="1F4E79"/>
            <w:vAlign w:val="center"/>
          </w:tcPr>
          <w:p>
            <w:r>
              <w:rPr>
                <w:b/>
                <w:color w:val="FFFFFF"/>
              </w:rPr>
              <w:t>Purpose</w:t>
            </w:r>
          </w:p>
        </w:tc>
        <w:tc>
          <w:tcPr>
            <w:tcW w:type="dxa" w:w="5400"/>
            <w:shd w:fill="1F4E79"/>
            <w:vAlign w:val="center"/>
          </w:tcPr>
          <w:p>
            <w:r>
              <w:rPr>
                <w:b/>
                <w:color w:val="FFFFFF"/>
              </w:rPr>
              <w:t>Representative Fields</w:t>
            </w:r>
          </w:p>
        </w:tc>
      </w:tr>
      <w:tr>
        <w:tc>
          <w:tcPr>
            <w:tcW w:type="dxa" w:w="2232"/>
            <w:vAlign w:val="top"/>
          </w:tcPr>
          <w:p>
            <w:r>
              <w:rPr>
                <w:sz w:val="16"/>
              </w:rPr>
              <w:t>employees</w:t>
            </w:r>
          </w:p>
        </w:tc>
        <w:tc>
          <w:tcPr>
            <w:tcW w:type="dxa" w:w="3024"/>
            <w:vAlign w:val="top"/>
          </w:tcPr>
          <w:p>
            <w:r>
              <w:rPr>
                <w:sz w:val="16"/>
              </w:rPr>
              <w:t>One row per employee or worker in the synthetic population</w:t>
            </w:r>
          </w:p>
        </w:tc>
        <w:tc>
          <w:tcPr>
            <w:tcW w:type="dxa" w:w="5400"/>
            <w:vAlign w:val="top"/>
          </w:tcPr>
          <w:p>
            <w:r>
              <w:rPr>
                <w:sz w:val="16"/>
              </w:rPr>
              <w:t>employee_id, name fields, work_email, employment_status, employment_type, hire_date, termination_date, department_id, manager_employee_id, job_title, job_family, career_level, location_id</w:t>
            </w:r>
          </w:p>
        </w:tc>
      </w:tr>
      <w:tr>
        <w:tc>
          <w:tcPr>
            <w:tcW w:type="dxa" w:w="2232"/>
            <w:vAlign w:val="top"/>
          </w:tcPr>
          <w:p>
            <w:r>
              <w:rPr>
                <w:sz w:val="16"/>
              </w:rPr>
              <w:t>employee_demographics</w:t>
            </w:r>
          </w:p>
        </w:tc>
        <w:tc>
          <w:tcPr>
            <w:tcW w:type="dxa" w:w="3024"/>
            <w:vAlign w:val="top"/>
          </w:tcPr>
          <w:p>
            <w:r>
              <w:rPr>
                <w:sz w:val="16"/>
              </w:rPr>
              <w:t>Optional separated demographic fields for responsible analysis and access control</w:t>
            </w:r>
          </w:p>
        </w:tc>
        <w:tc>
          <w:tcPr>
            <w:tcW w:type="dxa" w:w="5400"/>
            <w:vAlign w:val="top"/>
          </w:tcPr>
          <w:p>
            <w:r>
              <w:rPr>
                <w:sz w:val="16"/>
              </w:rPr>
              <w:t>employee_id, age_band, gender, race_ethnicity, veteran_status, disability_self_id</w:t>
            </w:r>
          </w:p>
        </w:tc>
      </w:tr>
      <w:tr>
        <w:tc>
          <w:tcPr>
            <w:tcW w:type="dxa" w:w="2232"/>
            <w:vAlign w:val="top"/>
          </w:tcPr>
          <w:p>
            <w:r>
              <w:rPr>
                <w:sz w:val="16"/>
              </w:rPr>
              <w:t>departments</w:t>
            </w:r>
          </w:p>
        </w:tc>
        <w:tc>
          <w:tcPr>
            <w:tcW w:type="dxa" w:w="3024"/>
            <w:vAlign w:val="top"/>
          </w:tcPr>
          <w:p>
            <w:r>
              <w:rPr>
                <w:sz w:val="16"/>
              </w:rPr>
              <w:t>Department and function hierarchy</w:t>
            </w:r>
          </w:p>
        </w:tc>
        <w:tc>
          <w:tcPr>
            <w:tcW w:type="dxa" w:w="5400"/>
            <w:vAlign w:val="top"/>
          </w:tcPr>
          <w:p>
            <w:r>
              <w:rPr>
                <w:sz w:val="16"/>
              </w:rPr>
              <w:t>department_id, function, department, cost_center, business_unit_id</w:t>
            </w:r>
          </w:p>
        </w:tc>
      </w:tr>
      <w:tr>
        <w:tc>
          <w:tcPr>
            <w:tcW w:type="dxa" w:w="2232"/>
            <w:vAlign w:val="top"/>
          </w:tcPr>
          <w:p>
            <w:r>
              <w:rPr>
                <w:sz w:val="16"/>
              </w:rPr>
              <w:t>locations</w:t>
            </w:r>
          </w:p>
        </w:tc>
        <w:tc>
          <w:tcPr>
            <w:tcW w:type="dxa" w:w="3024"/>
            <w:vAlign w:val="top"/>
          </w:tcPr>
          <w:p>
            <w:r>
              <w:rPr>
                <w:sz w:val="16"/>
              </w:rPr>
              <w:t>Work locations and pay zones</w:t>
            </w:r>
          </w:p>
        </w:tc>
        <w:tc>
          <w:tcPr>
            <w:tcW w:type="dxa" w:w="5400"/>
            <w:vAlign w:val="top"/>
          </w:tcPr>
          <w:p>
            <w:r>
              <w:rPr>
                <w:sz w:val="16"/>
              </w:rPr>
              <w:t>location_id, office_location, country, state_province, city, pay_zone, work_arrangement</w:t>
            </w:r>
          </w:p>
        </w:tc>
      </w:tr>
      <w:tr>
        <w:tc>
          <w:tcPr>
            <w:tcW w:type="dxa" w:w="2232"/>
            <w:vAlign w:val="top"/>
          </w:tcPr>
          <w:p>
            <w:r>
              <w:rPr>
                <w:sz w:val="16"/>
              </w:rPr>
              <w:t>compensation_records</w:t>
            </w:r>
          </w:p>
        </w:tc>
        <w:tc>
          <w:tcPr>
            <w:tcW w:type="dxa" w:w="3024"/>
            <w:vAlign w:val="top"/>
          </w:tcPr>
          <w:p>
            <w:r>
              <w:rPr>
                <w:sz w:val="16"/>
              </w:rPr>
              <w:t>Current or point-in-time compensation state</w:t>
            </w:r>
          </w:p>
        </w:tc>
        <w:tc>
          <w:tcPr>
            <w:tcW w:type="dxa" w:w="5400"/>
            <w:vAlign w:val="top"/>
          </w:tcPr>
          <w:p>
            <w:r>
              <w:rPr>
                <w:sz w:val="16"/>
              </w:rPr>
              <w:t>employee_id, currency, base_salary, pay_frequency, target_bonus_pct, salary_range_min, salary_range_mid, salary_range_max, compa_ratio, range_penetration</w:t>
            </w:r>
          </w:p>
        </w:tc>
      </w:tr>
      <w:tr>
        <w:tc>
          <w:tcPr>
            <w:tcW w:type="dxa" w:w="2232"/>
            <w:vAlign w:val="top"/>
          </w:tcPr>
          <w:p>
            <w:r>
              <w:rPr>
                <w:sz w:val="16"/>
              </w:rPr>
              <w:t>compensation_events</w:t>
            </w:r>
          </w:p>
        </w:tc>
        <w:tc>
          <w:tcPr>
            <w:tcW w:type="dxa" w:w="3024"/>
            <w:vAlign w:val="top"/>
          </w:tcPr>
          <w:p>
            <w:r>
              <w:rPr>
                <w:sz w:val="16"/>
              </w:rPr>
              <w:t>Historical compensation changes and equity events</w:t>
            </w:r>
          </w:p>
        </w:tc>
        <w:tc>
          <w:tcPr>
            <w:tcW w:type="dxa" w:w="5400"/>
            <w:vAlign w:val="top"/>
          </w:tcPr>
          <w:p>
            <w:r>
              <w:rPr>
                <w:sz w:val="16"/>
              </w:rPr>
              <w:t>event_id, employee_id, event_date, event_type, prior_base_salary, new_base_salary, salary_change_pct, equity_grant_type, equity_shares, reason</w:t>
            </w:r>
          </w:p>
        </w:tc>
      </w:tr>
      <w:tr>
        <w:tc>
          <w:tcPr>
            <w:tcW w:type="dxa" w:w="2232"/>
            <w:vAlign w:val="top"/>
          </w:tcPr>
          <w:p>
            <w:r>
              <w:rPr>
                <w:sz w:val="16"/>
              </w:rPr>
              <w:t>performance_reviews</w:t>
            </w:r>
          </w:p>
        </w:tc>
        <w:tc>
          <w:tcPr>
            <w:tcW w:type="dxa" w:w="3024"/>
            <w:vAlign w:val="top"/>
          </w:tcPr>
          <w:p>
            <w:r>
              <w:rPr>
                <w:sz w:val="16"/>
              </w:rPr>
              <w:t>Review-level performance history</w:t>
            </w:r>
          </w:p>
        </w:tc>
        <w:tc>
          <w:tcPr>
            <w:tcW w:type="dxa" w:w="5400"/>
            <w:vAlign w:val="top"/>
          </w:tcPr>
          <w:p>
            <w:r>
              <w:rPr>
                <w:sz w:val="16"/>
              </w:rPr>
              <w:t>review_id, employee_id, cycle_name, effective_date, reviewer_employee_id, final_rating, calibration_adjusted, nine_box_placement, promotion_recommended</w:t>
            </w:r>
          </w:p>
        </w:tc>
      </w:tr>
      <w:tr>
        <w:tc>
          <w:tcPr>
            <w:tcW w:type="dxa" w:w="2232"/>
            <w:vAlign w:val="top"/>
          </w:tcPr>
          <w:p>
            <w:r>
              <w:rPr>
                <w:sz w:val="16"/>
              </w:rPr>
              <w:t>competency_scores</w:t>
            </w:r>
          </w:p>
        </w:tc>
        <w:tc>
          <w:tcPr>
            <w:tcW w:type="dxa" w:w="3024"/>
            <w:vAlign w:val="top"/>
          </w:tcPr>
          <w:p>
            <w:r>
              <w:rPr>
                <w:sz w:val="16"/>
              </w:rPr>
              <w:t>Long-format competency scores from review cycles</w:t>
            </w:r>
          </w:p>
        </w:tc>
        <w:tc>
          <w:tcPr>
            <w:tcW w:type="dxa" w:w="5400"/>
            <w:vAlign w:val="top"/>
          </w:tcPr>
          <w:p>
            <w:r>
              <w:rPr>
                <w:sz w:val="16"/>
              </w:rPr>
              <w:t>review_id, employee_id, competency_id, competency_name, competency_type, score</w:t>
            </w:r>
          </w:p>
        </w:tc>
      </w:tr>
      <w:tr>
        <w:tc>
          <w:tcPr>
            <w:tcW w:type="dxa" w:w="2232"/>
            <w:vAlign w:val="top"/>
          </w:tcPr>
          <w:p>
            <w:r>
              <w:rPr>
                <w:sz w:val="16"/>
              </w:rPr>
              <w:t>engagement_responses</w:t>
            </w:r>
          </w:p>
        </w:tc>
        <w:tc>
          <w:tcPr>
            <w:tcW w:type="dxa" w:w="3024"/>
            <w:vAlign w:val="top"/>
          </w:tcPr>
          <w:p>
            <w:r>
              <w:rPr>
                <w:sz w:val="16"/>
              </w:rPr>
              <w:t>Anonymous or segment-level survey responses</w:t>
            </w:r>
          </w:p>
        </w:tc>
        <w:tc>
          <w:tcPr>
            <w:tcW w:type="dxa" w:w="5400"/>
            <w:vAlign w:val="top"/>
          </w:tcPr>
          <w:p>
            <w:r>
              <w:rPr>
                <w:sz w:val="16"/>
              </w:rPr>
              <w:t>response_id, response_date, function, department, level_band, tenure_band, office_location, is_manager, Q01 through Q30</w:t>
            </w:r>
          </w:p>
        </w:tc>
      </w:tr>
      <w:tr>
        <w:tc>
          <w:tcPr>
            <w:tcW w:type="dxa" w:w="2232"/>
            <w:vAlign w:val="top"/>
          </w:tcPr>
          <w:p>
            <w:r>
              <w:rPr>
                <w:sz w:val="16"/>
              </w:rPr>
              <w:t>engagement_questions</w:t>
            </w:r>
          </w:p>
        </w:tc>
        <w:tc>
          <w:tcPr>
            <w:tcW w:type="dxa" w:w="3024"/>
            <w:vAlign w:val="top"/>
          </w:tcPr>
          <w:p>
            <w:r>
              <w:rPr>
                <w:sz w:val="16"/>
              </w:rPr>
              <w:t>Survey question library</w:t>
            </w:r>
          </w:p>
        </w:tc>
        <w:tc>
          <w:tcPr>
            <w:tcW w:type="dxa" w:w="5400"/>
            <w:vAlign w:val="top"/>
          </w:tcPr>
          <w:p>
            <w:r>
              <w:rPr>
                <w:sz w:val="16"/>
              </w:rPr>
              <w:t>question_id, category, question_text, type</w:t>
            </w:r>
          </w:p>
        </w:tc>
      </w:tr>
      <w:tr>
        <w:tc>
          <w:tcPr>
            <w:tcW w:type="dxa" w:w="2232"/>
            <w:vAlign w:val="top"/>
          </w:tcPr>
          <w:p>
            <w:r>
              <w:rPr>
                <w:sz w:val="16"/>
              </w:rPr>
              <w:t>requisitions</w:t>
            </w:r>
          </w:p>
        </w:tc>
        <w:tc>
          <w:tcPr>
            <w:tcW w:type="dxa" w:w="3024"/>
            <w:vAlign w:val="top"/>
          </w:tcPr>
          <w:p>
            <w:r>
              <w:rPr>
                <w:sz w:val="16"/>
              </w:rPr>
              <w:t>One row per job requisition</w:t>
            </w:r>
          </w:p>
        </w:tc>
        <w:tc>
          <w:tcPr>
            <w:tcW w:type="dxa" w:w="5400"/>
            <w:vAlign w:val="top"/>
          </w:tcPr>
          <w:p>
            <w:r>
              <w:rPr>
                <w:sz w:val="16"/>
              </w:rPr>
              <w:t>req_id, function, level, job_title, office_location, open_date, close_date, time_to_fill_days, outcome, hiring_manager_id, recruiter_id</w:t>
            </w:r>
          </w:p>
        </w:tc>
      </w:tr>
      <w:tr>
        <w:tc>
          <w:tcPr>
            <w:tcW w:type="dxa" w:w="2232"/>
            <w:vAlign w:val="top"/>
          </w:tcPr>
          <w:p>
            <w:r>
              <w:rPr>
                <w:sz w:val="16"/>
              </w:rPr>
              <w:t>recruiting_funnel_events</w:t>
            </w:r>
          </w:p>
        </w:tc>
        <w:tc>
          <w:tcPr>
            <w:tcW w:type="dxa" w:w="3024"/>
            <w:vAlign w:val="top"/>
          </w:tcPr>
          <w:p>
            <w:r>
              <w:rPr>
                <w:sz w:val="16"/>
              </w:rPr>
              <w:t>Candidate or stage-level recruiting funnel events</w:t>
            </w:r>
          </w:p>
        </w:tc>
        <w:tc>
          <w:tcPr>
            <w:tcW w:type="dxa" w:w="5400"/>
            <w:vAlign w:val="top"/>
          </w:tcPr>
          <w:p>
            <w:r>
              <w:rPr>
                <w:sz w:val="16"/>
              </w:rPr>
              <w:t>req_id, stage, event_date, candidate_count or candidate_id, recruiter_id</w:t>
            </w:r>
          </w:p>
        </w:tc>
      </w:tr>
      <w:tr>
        <w:tc>
          <w:tcPr>
            <w:tcW w:type="dxa" w:w="2232"/>
            <w:vAlign w:val="top"/>
          </w:tcPr>
          <w:p>
            <w:r>
              <w:rPr>
                <w:sz w:val="16"/>
              </w:rPr>
              <w:t>application_sources</w:t>
            </w:r>
          </w:p>
        </w:tc>
        <w:tc>
          <w:tcPr>
            <w:tcW w:type="dxa" w:w="3024"/>
            <w:vAlign w:val="top"/>
          </w:tcPr>
          <w:p>
            <w:r>
              <w:rPr>
                <w:sz w:val="16"/>
              </w:rPr>
              <w:t>Application source counts by requisition</w:t>
            </w:r>
          </w:p>
        </w:tc>
        <w:tc>
          <w:tcPr>
            <w:tcW w:type="dxa" w:w="5400"/>
            <w:vAlign w:val="top"/>
          </w:tcPr>
          <w:p>
            <w:r>
              <w:rPr>
                <w:sz w:val="16"/>
              </w:rPr>
              <w:t>req_id, source, applications</w:t>
            </w:r>
          </w:p>
        </w:tc>
      </w:tr>
      <w:tr>
        <w:tc>
          <w:tcPr>
            <w:tcW w:type="dxa" w:w="2232"/>
            <w:vAlign w:val="top"/>
          </w:tcPr>
          <w:p>
            <w:r>
              <w:rPr>
                <w:sz w:val="16"/>
              </w:rPr>
              <w:t>offer_outcomes</w:t>
            </w:r>
          </w:p>
        </w:tc>
        <w:tc>
          <w:tcPr>
            <w:tcW w:type="dxa" w:w="3024"/>
            <w:vAlign w:val="top"/>
          </w:tcPr>
          <w:p>
            <w:r>
              <w:rPr>
                <w:sz w:val="16"/>
              </w:rPr>
              <w:t>Offer-level outcomes</w:t>
            </w:r>
          </w:p>
        </w:tc>
        <w:tc>
          <w:tcPr>
            <w:tcW w:type="dxa" w:w="5400"/>
            <w:vAlign w:val="top"/>
          </w:tcPr>
          <w:p>
            <w:r>
              <w:rPr>
                <w:sz w:val="16"/>
              </w:rPr>
              <w:t>offer_id, req_id, offer_date, outcome, decline_reason</w:t>
            </w:r>
          </w:p>
        </w:tc>
      </w:tr>
      <w:tr>
        <w:tc>
          <w:tcPr>
            <w:tcW w:type="dxa" w:w="2232"/>
            <w:vAlign w:val="top"/>
          </w:tcPr>
          <w:p>
            <w:r>
              <w:rPr>
                <w:sz w:val="16"/>
              </w:rPr>
              <w:t>headcount_plan</w:t>
            </w:r>
          </w:p>
        </w:tc>
        <w:tc>
          <w:tcPr>
            <w:tcW w:type="dxa" w:w="3024"/>
            <w:vAlign w:val="top"/>
          </w:tcPr>
          <w:p>
            <w:r>
              <w:rPr>
                <w:sz w:val="16"/>
              </w:rPr>
              <w:t>Planned hires and actuals by period and function</w:t>
            </w:r>
          </w:p>
        </w:tc>
        <w:tc>
          <w:tcPr>
            <w:tcW w:type="dxa" w:w="5400"/>
            <w:vAlign w:val="top"/>
          </w:tcPr>
          <w:p>
            <w:r>
              <w:rPr>
                <w:sz w:val="16"/>
              </w:rPr>
              <w:t>function, current_hc, q1_plan, q2_plan, q3_plan, q4_plan, total_plan, actual_ytd, run_rate_forecast</w:t>
            </w:r>
          </w:p>
        </w:tc>
      </w:tr>
      <w:tr>
        <w:tc>
          <w:tcPr>
            <w:tcW w:type="dxa" w:w="2232"/>
            <w:vAlign w:val="top"/>
          </w:tcPr>
          <w:p>
            <w:r>
              <w:rPr>
                <w:sz w:val="16"/>
              </w:rPr>
              <w:t>predictive_scores</w:t>
            </w:r>
          </w:p>
        </w:tc>
        <w:tc>
          <w:tcPr>
            <w:tcW w:type="dxa" w:w="3024"/>
            <w:vAlign w:val="top"/>
          </w:tcPr>
          <w:p>
            <w:r>
              <w:rPr>
                <w:sz w:val="16"/>
              </w:rPr>
              <w:t>Generated directional risk indicators</w:t>
            </w:r>
          </w:p>
        </w:tc>
        <w:tc>
          <w:tcPr>
            <w:tcW w:type="dxa" w:w="5400"/>
            <w:vAlign w:val="top"/>
          </w:tcPr>
          <w:p>
            <w:r>
              <w:rPr>
                <w:sz w:val="16"/>
              </w:rPr>
              <w:t>employee_id or segment_id, score_date, flight_risk_category, risk_score, explanation_factors, model_version</w:t>
            </w:r>
          </w:p>
        </w:tc>
      </w:tr>
    </w:tbl>
    <w:p/>
    <w:p>
      <w:pPr>
        <w:pStyle w:val="Heading1"/>
      </w:pPr>
      <w:r>
        <w:t>12. Predictive Risk Logic, Transparency and Responsible Use</w:t>
      </w:r>
    </w:p>
    <w:p>
      <w:r>
        <w:t>Version 0.1 should use transparent indicators rather than an opaque machine learning model. The goal is to demonstrate predictive analytics responsibly: show where risk may be elevated, explain why the system flagged it and invite further investigation. The dashboard must not label employees as problems or recommend employment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1F4E79"/>
            <w:vAlign w:val="center"/>
          </w:tcPr>
          <w:p>
            <w:r>
              <w:rPr>
                <w:b/>
                <w:color w:val="FFFFFF"/>
              </w:rPr>
              <w:t>Risk Driver</w:t>
            </w:r>
          </w:p>
        </w:tc>
        <w:tc>
          <w:tcPr>
            <w:tcW w:type="dxa" w:w="3672"/>
            <w:shd w:fill="1F4E79"/>
            <w:vAlign w:val="center"/>
          </w:tcPr>
          <w:p>
            <w:r>
              <w:rPr>
                <w:b/>
                <w:color w:val="FFFFFF"/>
              </w:rPr>
              <w:t>Example Rule / Signal</w:t>
            </w:r>
          </w:p>
        </w:tc>
        <w:tc>
          <w:tcPr>
            <w:tcW w:type="dxa" w:w="4320"/>
            <w:shd w:fill="1F4E79"/>
            <w:vAlign w:val="center"/>
          </w:tcPr>
          <w:p>
            <w:r>
              <w:rPr>
                <w:b/>
                <w:color w:val="FFFFFF"/>
              </w:rPr>
              <w:t>Explanation Text Example</w:t>
            </w:r>
          </w:p>
        </w:tc>
      </w:tr>
      <w:tr>
        <w:tc>
          <w:tcPr>
            <w:tcW w:type="dxa" w:w="2448"/>
            <w:vAlign w:val="top"/>
          </w:tcPr>
          <w:p>
            <w:r>
              <w:rPr>
                <w:sz w:val="16"/>
              </w:rPr>
              <w:t>Engagement decline</w:t>
            </w:r>
          </w:p>
        </w:tc>
        <w:tc>
          <w:tcPr>
            <w:tcW w:type="dxa" w:w="3672"/>
            <w:vAlign w:val="top"/>
          </w:tcPr>
          <w:p>
            <w:r>
              <w:rPr>
                <w:sz w:val="16"/>
              </w:rPr>
              <w:t>Latest engagement score below threshold or lower than prior period if trend exists</w:t>
            </w:r>
          </w:p>
        </w:tc>
        <w:tc>
          <w:tcPr>
            <w:tcW w:type="dxa" w:w="4320"/>
            <w:vAlign w:val="top"/>
          </w:tcPr>
          <w:p>
            <w:r>
              <w:rPr>
                <w:sz w:val="16"/>
              </w:rPr>
              <w:t>Engagement is lower than comparable peer segments or has declined materially.</w:t>
            </w:r>
          </w:p>
        </w:tc>
      </w:tr>
      <w:tr>
        <w:tc>
          <w:tcPr>
            <w:tcW w:type="dxa" w:w="2448"/>
            <w:vAlign w:val="top"/>
          </w:tcPr>
          <w:p>
            <w:r>
              <w:rPr>
                <w:sz w:val="16"/>
              </w:rPr>
              <w:t>Compensation position</w:t>
            </w:r>
          </w:p>
        </w:tc>
        <w:tc>
          <w:tcPr>
            <w:tcW w:type="dxa" w:w="3672"/>
            <w:vAlign w:val="top"/>
          </w:tcPr>
          <w:p>
            <w:r>
              <w:rPr>
                <w:sz w:val="16"/>
              </w:rPr>
              <w:t>Compa-ratio below defined threshold or range penetration unusually low for level / tenure</w:t>
            </w:r>
          </w:p>
        </w:tc>
        <w:tc>
          <w:tcPr>
            <w:tcW w:type="dxa" w:w="4320"/>
            <w:vAlign w:val="top"/>
          </w:tcPr>
          <w:p>
            <w:r>
              <w:rPr>
                <w:sz w:val="16"/>
              </w:rPr>
              <w:t>Compensation position is below expected range for role, level or tenure.</w:t>
            </w:r>
          </w:p>
        </w:tc>
      </w:tr>
      <w:tr>
        <w:tc>
          <w:tcPr>
            <w:tcW w:type="dxa" w:w="2448"/>
            <w:vAlign w:val="top"/>
          </w:tcPr>
          <w:p>
            <w:r>
              <w:rPr>
                <w:sz w:val="16"/>
              </w:rPr>
              <w:t>Performance and mobility</w:t>
            </w:r>
          </w:p>
        </w:tc>
        <w:tc>
          <w:tcPr>
            <w:tcW w:type="dxa" w:w="3672"/>
            <w:vAlign w:val="top"/>
          </w:tcPr>
          <w:p>
            <w:r>
              <w:rPr>
                <w:sz w:val="16"/>
              </w:rPr>
              <w:t>High performer with no promotion or mobility movement after defined period</w:t>
            </w:r>
          </w:p>
        </w:tc>
        <w:tc>
          <w:tcPr>
            <w:tcW w:type="dxa" w:w="4320"/>
            <w:vAlign w:val="top"/>
          </w:tcPr>
          <w:p>
            <w:r>
              <w:rPr>
                <w:sz w:val="16"/>
              </w:rPr>
              <w:t>Strong performance with limited recent growth movement may increase retention attention.</w:t>
            </w:r>
          </w:p>
        </w:tc>
      </w:tr>
      <w:tr>
        <w:tc>
          <w:tcPr>
            <w:tcW w:type="dxa" w:w="2448"/>
            <w:vAlign w:val="top"/>
          </w:tcPr>
          <w:p>
            <w:r>
              <w:rPr>
                <w:sz w:val="16"/>
              </w:rPr>
              <w:t>Manager/team context</w:t>
            </w:r>
          </w:p>
        </w:tc>
        <w:tc>
          <w:tcPr>
            <w:tcW w:type="dxa" w:w="3672"/>
            <w:vAlign w:val="top"/>
          </w:tcPr>
          <w:p>
            <w:r>
              <w:rPr>
                <w:sz w:val="16"/>
              </w:rPr>
              <w:t>Manager team shows elevated attrition, low engagement or high span</w:t>
            </w:r>
          </w:p>
        </w:tc>
        <w:tc>
          <w:tcPr>
            <w:tcW w:type="dxa" w:w="4320"/>
            <w:vAlign w:val="top"/>
          </w:tcPr>
          <w:p>
            <w:r>
              <w:rPr>
                <w:sz w:val="16"/>
              </w:rPr>
              <w:t>Team-level patterns suggest the manager may need support or deeper diagnosis.</w:t>
            </w:r>
          </w:p>
        </w:tc>
      </w:tr>
      <w:tr>
        <w:tc>
          <w:tcPr>
            <w:tcW w:type="dxa" w:w="2448"/>
            <w:vAlign w:val="top"/>
          </w:tcPr>
          <w:p>
            <w:r>
              <w:rPr>
                <w:sz w:val="16"/>
              </w:rPr>
              <w:t>Tenure stage</w:t>
            </w:r>
          </w:p>
        </w:tc>
        <w:tc>
          <w:tcPr>
            <w:tcW w:type="dxa" w:w="3672"/>
            <w:vAlign w:val="top"/>
          </w:tcPr>
          <w:p>
            <w:r>
              <w:rPr>
                <w:sz w:val="16"/>
              </w:rPr>
              <w:t>New-hire window, mid-tenure plateau or long-tenured disengagement pattern</w:t>
            </w:r>
          </w:p>
        </w:tc>
        <w:tc>
          <w:tcPr>
            <w:tcW w:type="dxa" w:w="4320"/>
            <w:vAlign w:val="top"/>
          </w:tcPr>
          <w:p>
            <w:r>
              <w:rPr>
                <w:sz w:val="16"/>
              </w:rPr>
              <w:t>Tenure cohort has historically shown elevated risk or lower engagement.</w:t>
            </w:r>
          </w:p>
        </w:tc>
      </w:tr>
      <w:tr>
        <w:tc>
          <w:tcPr>
            <w:tcW w:type="dxa" w:w="2448"/>
            <w:vAlign w:val="top"/>
          </w:tcPr>
          <w:p>
            <w:r>
              <w:rPr>
                <w:sz w:val="16"/>
              </w:rPr>
              <w:t>Recent organizational changes</w:t>
            </w:r>
          </w:p>
        </w:tc>
        <w:tc>
          <w:tcPr>
            <w:tcW w:type="dxa" w:w="3672"/>
            <w:vAlign w:val="top"/>
          </w:tcPr>
          <w:p>
            <w:r>
              <w:rPr>
                <w:sz w:val="16"/>
              </w:rPr>
              <w:t>Promotion, internal move, PIP, leave or compensation event where relevant</w:t>
            </w:r>
          </w:p>
        </w:tc>
        <w:tc>
          <w:tcPr>
            <w:tcW w:type="dxa" w:w="4320"/>
            <w:vAlign w:val="top"/>
          </w:tcPr>
          <w:p>
            <w:r>
              <w:rPr>
                <w:sz w:val="16"/>
              </w:rPr>
              <w:t>Recent employment events may require context before interpretation.</w:t>
            </w:r>
          </w:p>
        </w:tc>
      </w:tr>
    </w:tbl>
    <w:p/>
    <w:p>
      <w:pPr>
        <w:pStyle w:val="ListBullet"/>
      </w:pPr>
      <w:r>
        <w:t>The UI must show risk categories, not definitive predictions.</w:t>
      </w:r>
    </w:p>
    <w:p>
      <w:pPr>
        <w:pStyle w:val="ListBullet"/>
      </w:pPr>
      <w:r>
        <w:t>Every risk score must include explanation factors.</w:t>
      </w:r>
    </w:p>
    <w:p>
      <w:pPr>
        <w:pStyle w:val="ListBullet"/>
      </w:pPr>
      <w:r>
        <w:t>The system should prioritize segment and cohort insights over individual naming where possible.</w:t>
      </w:r>
    </w:p>
    <w:p>
      <w:pPr>
        <w:pStyle w:val="ListBullet"/>
      </w:pPr>
      <w:r>
        <w:t>Any individual-level risk view must include explicit cautionary language and should be framed for support and follow-up, not action.</w:t>
      </w:r>
    </w:p>
    <w:p>
      <w:pPr>
        <w:pStyle w:val="ListBullet"/>
      </w:pPr>
      <w:r>
        <w:t>Predictive indicators should be disabled or hidden if required source fields are missing or unreliable.</w:t>
      </w:r>
    </w:p>
    <w:p>
      <w:pPr>
        <w:pStyle w:val="Heading1"/>
      </w:pPr>
      <w:r>
        <w:t>13. User Stories and Acceptance Criteria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936"/>
            <w:shd w:fill="1F4E79"/>
            <w:vAlign w:val="center"/>
          </w:tcPr>
          <w:p>
            <w:r>
              <w:rPr>
                <w:b/>
                <w:color w:val="FFFFFF"/>
              </w:rPr>
              <w:t>ID</w:t>
            </w:r>
          </w:p>
        </w:tc>
        <w:tc>
          <w:tcPr>
            <w:tcW w:type="dxa" w:w="4392"/>
            <w:shd w:fill="1F4E79"/>
            <w:vAlign w:val="center"/>
          </w:tcPr>
          <w:p>
            <w:r>
              <w:rPr>
                <w:b/>
                <w:color w:val="FFFFFF"/>
              </w:rPr>
              <w:t>User Story</w:t>
            </w:r>
          </w:p>
        </w:tc>
        <w:tc>
          <w:tcPr>
            <w:tcW w:type="dxa" w:w="5112"/>
            <w:shd w:fill="1F4E79"/>
            <w:vAlign w:val="center"/>
          </w:tcPr>
          <w:p>
            <w:r>
              <w:rPr>
                <w:b/>
                <w:color w:val="FFFFFF"/>
              </w:rPr>
              <w:t>Acceptance Criteria</w:t>
            </w:r>
          </w:p>
        </w:tc>
      </w:tr>
      <w:tr>
        <w:tc>
          <w:tcPr>
            <w:tcW w:type="dxa" w:w="936"/>
            <w:vAlign w:val="top"/>
          </w:tcPr>
          <w:p>
            <w:r>
              <w:rPr>
                <w:sz w:val="16"/>
              </w:rPr>
              <w:t>US-001</w:t>
            </w:r>
          </w:p>
        </w:tc>
        <w:tc>
          <w:tcPr>
            <w:tcW w:type="dxa" w:w="4392"/>
            <w:vAlign w:val="top"/>
          </w:tcPr>
          <w:p>
            <w:r>
              <w:rPr>
                <w:sz w:val="16"/>
              </w:rPr>
              <w:t>As a CHRO, I want an executive overview so I can quickly see workforce health before an ELT meeting.</w:t>
            </w:r>
          </w:p>
        </w:tc>
        <w:tc>
          <w:tcPr>
            <w:tcW w:type="dxa" w:w="5112"/>
            <w:vAlign w:val="top"/>
          </w:tcPr>
          <w:p>
            <w:r>
              <w:rPr>
                <w:sz w:val="16"/>
              </w:rPr>
              <w:t>Overview loads with top KPI cards, top risks, filters and synthetic-data disclosure.</w:t>
            </w:r>
          </w:p>
        </w:tc>
      </w:tr>
      <w:tr>
        <w:tc>
          <w:tcPr>
            <w:tcW w:type="dxa" w:w="936"/>
            <w:vAlign w:val="top"/>
          </w:tcPr>
          <w:p>
            <w:r>
              <w:rPr>
                <w:sz w:val="16"/>
              </w:rPr>
              <w:t>US-002</w:t>
            </w:r>
          </w:p>
        </w:tc>
        <w:tc>
          <w:tcPr>
            <w:tcW w:type="dxa" w:w="4392"/>
            <w:vAlign w:val="top"/>
          </w:tcPr>
          <w:p>
            <w:r>
              <w:rPr>
                <w:sz w:val="16"/>
              </w:rPr>
              <w:t>As a people analytics practitioner, I want metric definitions so I can validate the credibility of the dashboard.</w:t>
            </w:r>
          </w:p>
        </w:tc>
        <w:tc>
          <w:tcPr>
            <w:tcW w:type="dxa" w:w="5112"/>
            <w:vAlign w:val="top"/>
          </w:tcPr>
          <w:p>
            <w:r>
              <w:rPr>
                <w:sz w:val="16"/>
              </w:rPr>
              <w:t>Every major metric links to a definition, formula and source table.</w:t>
            </w:r>
          </w:p>
        </w:tc>
      </w:tr>
      <w:tr>
        <w:tc>
          <w:tcPr>
            <w:tcW w:type="dxa" w:w="936"/>
            <w:vAlign w:val="top"/>
          </w:tcPr>
          <w:p>
            <w:r>
              <w:rPr>
                <w:sz w:val="16"/>
              </w:rPr>
              <w:t>US-003</w:t>
            </w:r>
          </w:p>
        </w:tc>
        <w:tc>
          <w:tcPr>
            <w:tcW w:type="dxa" w:w="4392"/>
            <w:vAlign w:val="top"/>
          </w:tcPr>
          <w:p>
            <w:r>
              <w:rPr>
                <w:sz w:val="16"/>
              </w:rPr>
              <w:t>As an HRBP, I want to filter by department, manager and location so I can find where support may be needed.</w:t>
            </w:r>
          </w:p>
        </w:tc>
        <w:tc>
          <w:tcPr>
            <w:tcW w:type="dxa" w:w="5112"/>
            <w:vAlign w:val="top"/>
          </w:tcPr>
          <w:p>
            <w:r>
              <w:rPr>
                <w:sz w:val="16"/>
              </w:rPr>
              <w:t>Filters update charts and tables without page reload and show empty states when no data is available.</w:t>
            </w:r>
          </w:p>
        </w:tc>
      </w:tr>
      <w:tr>
        <w:tc>
          <w:tcPr>
            <w:tcW w:type="dxa" w:w="936"/>
            <w:vAlign w:val="top"/>
          </w:tcPr>
          <w:p>
            <w:r>
              <w:rPr>
                <w:sz w:val="16"/>
              </w:rPr>
              <w:t>US-004</w:t>
            </w:r>
          </w:p>
        </w:tc>
        <w:tc>
          <w:tcPr>
            <w:tcW w:type="dxa" w:w="4392"/>
            <w:vAlign w:val="top"/>
          </w:tcPr>
          <w:p>
            <w:r>
              <w:rPr>
                <w:sz w:val="16"/>
              </w:rPr>
              <w:t>As a CFO partner, I want compensation and headcount planning views so I can assess workforce cost and plan execution.</w:t>
            </w:r>
          </w:p>
        </w:tc>
        <w:tc>
          <w:tcPr>
            <w:tcW w:type="dxa" w:w="5112"/>
            <w:vAlign w:val="top"/>
          </w:tcPr>
          <w:p>
            <w:r>
              <w:rPr>
                <w:sz w:val="16"/>
              </w:rPr>
              <w:t>Compensation and plan views show compa-ratio, benchmark position, plan vs actual and hiring run-rate.</w:t>
            </w:r>
          </w:p>
        </w:tc>
      </w:tr>
      <w:tr>
        <w:tc>
          <w:tcPr>
            <w:tcW w:type="dxa" w:w="936"/>
            <w:vAlign w:val="top"/>
          </w:tcPr>
          <w:p>
            <w:r>
              <w:rPr>
                <w:sz w:val="16"/>
              </w:rPr>
              <w:t>US-005</w:t>
            </w:r>
          </w:p>
        </w:tc>
        <w:tc>
          <w:tcPr>
            <w:tcW w:type="dxa" w:w="4392"/>
            <w:vAlign w:val="top"/>
          </w:tcPr>
          <w:p>
            <w:r>
              <w:rPr>
                <w:sz w:val="16"/>
              </w:rPr>
              <w:t>As a talent leader, I want to see performance distribution and promotion readiness so I can prepare calibration and succession conversations.</w:t>
            </w:r>
          </w:p>
        </w:tc>
        <w:tc>
          <w:tcPr>
            <w:tcW w:type="dxa" w:w="5112"/>
            <w:vAlign w:val="top"/>
          </w:tcPr>
          <w:p>
            <w:r>
              <w:rPr>
                <w:sz w:val="16"/>
              </w:rPr>
              <w:t>Performance view shows rating distributions, calibration adjustments, nine-box and readiness signals.</w:t>
            </w:r>
          </w:p>
        </w:tc>
      </w:tr>
      <w:tr>
        <w:tc>
          <w:tcPr>
            <w:tcW w:type="dxa" w:w="936"/>
            <w:vAlign w:val="top"/>
          </w:tcPr>
          <w:p>
            <w:r>
              <w:rPr>
                <w:sz w:val="16"/>
              </w:rPr>
              <w:t>US-006</w:t>
            </w:r>
          </w:p>
        </w:tc>
        <w:tc>
          <w:tcPr>
            <w:tcW w:type="dxa" w:w="4392"/>
            <w:vAlign w:val="top"/>
          </w:tcPr>
          <w:p>
            <w:r>
              <w:rPr>
                <w:sz w:val="16"/>
              </w:rPr>
              <w:t>As a recruiting leader, I want to see hiring bottlenecks so I can address funnel and offer issues.</w:t>
            </w:r>
          </w:p>
        </w:tc>
        <w:tc>
          <w:tcPr>
            <w:tcW w:type="dxa" w:w="5112"/>
            <w:vAlign w:val="top"/>
          </w:tcPr>
          <w:p>
            <w:r>
              <w:rPr>
                <w:sz w:val="16"/>
              </w:rPr>
              <w:t>Recruiting view shows time-to-fill, funnel conversion, offer acceptance and source effectiveness.</w:t>
            </w:r>
          </w:p>
        </w:tc>
      </w:tr>
      <w:tr>
        <w:tc>
          <w:tcPr>
            <w:tcW w:type="dxa" w:w="936"/>
            <w:vAlign w:val="top"/>
          </w:tcPr>
          <w:p>
            <w:r>
              <w:rPr>
                <w:sz w:val="16"/>
              </w:rPr>
              <w:t>US-007</w:t>
            </w:r>
          </w:p>
        </w:tc>
        <w:tc>
          <w:tcPr>
            <w:tcW w:type="dxa" w:w="4392"/>
            <w:vAlign w:val="top"/>
          </w:tcPr>
          <w:p>
            <w:r>
              <w:rPr>
                <w:sz w:val="16"/>
              </w:rPr>
              <w:t>As a manager effectiveness lead, I want to identify managers who may need support so I can avoid blame and target enablement.</w:t>
            </w:r>
          </w:p>
        </w:tc>
        <w:tc>
          <w:tcPr>
            <w:tcW w:type="dxa" w:w="5112"/>
            <w:vAlign w:val="top"/>
          </w:tcPr>
          <w:p>
            <w:r>
              <w:rPr>
                <w:sz w:val="16"/>
              </w:rPr>
              <w:t>Manager view presents span, engagement, attrition and ratings with language that frames support, not punishment.</w:t>
            </w:r>
          </w:p>
        </w:tc>
      </w:tr>
      <w:tr>
        <w:tc>
          <w:tcPr>
            <w:tcW w:type="dxa" w:w="936"/>
            <w:vAlign w:val="top"/>
          </w:tcPr>
          <w:p>
            <w:r>
              <w:rPr>
                <w:sz w:val="16"/>
              </w:rPr>
              <w:t>US-008</w:t>
            </w:r>
          </w:p>
        </w:tc>
        <w:tc>
          <w:tcPr>
            <w:tcW w:type="dxa" w:w="4392"/>
            <w:vAlign w:val="top"/>
          </w:tcPr>
          <w:p>
            <w:r>
              <w:rPr>
                <w:sz w:val="16"/>
              </w:rPr>
              <w:t>As an executive user, I want flight-risk indicators with explanations so I can investigate responsibly.</w:t>
            </w:r>
          </w:p>
        </w:tc>
        <w:tc>
          <w:tcPr>
            <w:tcW w:type="dxa" w:w="5112"/>
            <w:vAlign w:val="top"/>
          </w:tcPr>
          <w:p>
            <w:r>
              <w:rPr>
                <w:sz w:val="16"/>
              </w:rPr>
              <w:t>Risk view shows low / medium / high categories, explanation factors and caution language.</w:t>
            </w:r>
          </w:p>
        </w:tc>
      </w:tr>
    </w:tbl>
    <w:p/>
    <w:p>
      <w:pPr>
        <w:pStyle w:val="Heading1"/>
      </w:pPr>
      <w:r>
        <w:t>14. Technical Architecture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9"/>
            <w:vAlign w:val="center"/>
          </w:tcPr>
          <w:p>
            <w:r>
              <w:rPr>
                <w:b/>
                <w:color w:val="FFFFFF"/>
              </w:rPr>
              <w:t>Layer</w:t>
            </w:r>
          </w:p>
        </w:tc>
        <w:tc>
          <w:tcPr>
            <w:tcW w:type="dxa" w:w="7920"/>
            <w:shd w:fill="1F4E79"/>
            <w:vAlign w:val="center"/>
          </w:tcPr>
          <w:p>
            <w:r>
              <w:rPr>
                <w:b/>
                <w:color w:val="FFFFFF"/>
              </w:rPr>
              <w:t>Recommended Version 0.1 Approach</w:t>
            </w:r>
          </w:p>
        </w:tc>
      </w:tr>
      <w:tr>
        <w:tc>
          <w:tcPr>
            <w:tcW w:type="dxa" w:w="2448"/>
            <w:vAlign w:val="top"/>
          </w:tcPr>
          <w:p>
            <w:r>
              <w:rPr>
                <w:sz w:val="16"/>
              </w:rPr>
              <w:t>Source control</w:t>
            </w:r>
          </w:p>
        </w:tc>
        <w:tc>
          <w:tcPr>
            <w:tcW w:type="dxa" w:w="7920"/>
            <w:vAlign w:val="top"/>
          </w:tcPr>
          <w:p>
            <w:r>
              <w:rPr>
                <w:sz w:val="16"/>
              </w:rPr>
              <w:t>GitHub repository with main as stable branch and feature branches for frontend and backend workstreams.</w:t>
            </w:r>
          </w:p>
        </w:tc>
      </w:tr>
      <w:tr>
        <w:tc>
          <w:tcPr>
            <w:tcW w:type="dxa" w:w="2448"/>
            <w:vAlign w:val="top"/>
          </w:tcPr>
          <w:p>
            <w:r>
              <w:rPr>
                <w:sz w:val="16"/>
              </w:rPr>
              <w:t>Frontend</w:t>
            </w:r>
          </w:p>
        </w:tc>
        <w:tc>
          <w:tcPr>
            <w:tcW w:type="dxa" w:w="7920"/>
            <w:vAlign w:val="top"/>
          </w:tcPr>
          <w:p>
            <w:r>
              <w:rPr>
                <w:sz w:val="16"/>
              </w:rPr>
              <w:t>React-based dashboard interface with modular chart components, KPI cards, filters, insight panels and detail tables.</w:t>
            </w:r>
          </w:p>
        </w:tc>
      </w:tr>
      <w:tr>
        <w:tc>
          <w:tcPr>
            <w:tcW w:type="dxa" w:w="2448"/>
            <w:vAlign w:val="top"/>
          </w:tcPr>
          <w:p>
            <w:r>
              <w:rPr>
                <w:sz w:val="16"/>
              </w:rPr>
              <w:t>Backend / API</w:t>
            </w:r>
          </w:p>
        </w:tc>
        <w:tc>
          <w:tcPr>
            <w:tcW w:type="dxa" w:w="7920"/>
            <w:vAlign w:val="top"/>
          </w:tcPr>
          <w:p>
            <w:r>
              <w:rPr>
                <w:sz w:val="16"/>
              </w:rPr>
              <w:t>Server-side query and analytics functions for metrics, transformations and risk scoring. Exact framework can follow the chosen app scaffold.</w:t>
            </w:r>
          </w:p>
        </w:tc>
      </w:tr>
      <w:tr>
        <w:tc>
          <w:tcPr>
            <w:tcW w:type="dxa" w:w="2448"/>
            <w:vAlign w:val="top"/>
          </w:tcPr>
          <w:p>
            <w:r>
              <w:rPr>
                <w:sz w:val="16"/>
              </w:rPr>
              <w:t>Database</w:t>
            </w:r>
          </w:p>
        </w:tc>
        <w:tc>
          <w:tcPr>
            <w:tcW w:type="dxa" w:w="7920"/>
            <w:vAlign w:val="top"/>
          </w:tcPr>
          <w:p>
            <w:r>
              <w:rPr>
                <w:sz w:val="16"/>
              </w:rPr>
              <w:t>Supabase Postgres with controlled migrations, seed scripts and row-level security design notes.</w:t>
            </w:r>
          </w:p>
        </w:tc>
      </w:tr>
      <w:tr>
        <w:tc>
          <w:tcPr>
            <w:tcW w:type="dxa" w:w="2448"/>
            <w:vAlign w:val="top"/>
          </w:tcPr>
          <w:p>
            <w:r>
              <w:rPr>
                <w:sz w:val="16"/>
              </w:rPr>
              <w:t>Authentication</w:t>
            </w:r>
          </w:p>
        </w:tc>
        <w:tc>
          <w:tcPr>
            <w:tcW w:type="dxa" w:w="7920"/>
            <w:vAlign w:val="top"/>
          </w:tcPr>
          <w:p>
            <w:r>
              <w:rPr>
                <w:sz w:val="16"/>
              </w:rPr>
              <w:t>Supabase Auth for demo login if included; keep implementation simple for Version 0.1.</w:t>
            </w:r>
          </w:p>
        </w:tc>
      </w:tr>
      <w:tr>
        <w:tc>
          <w:tcPr>
            <w:tcW w:type="dxa" w:w="2448"/>
            <w:vAlign w:val="top"/>
          </w:tcPr>
          <w:p>
            <w:r>
              <w:rPr>
                <w:sz w:val="16"/>
              </w:rPr>
              <w:t>Hosting</w:t>
            </w:r>
          </w:p>
        </w:tc>
        <w:tc>
          <w:tcPr>
            <w:tcW w:type="dxa" w:w="7920"/>
            <w:vAlign w:val="top"/>
          </w:tcPr>
          <w:p>
            <w:r>
              <w:rPr>
                <w:sz w:val="16"/>
              </w:rPr>
              <w:t>Render web service connected to GitHub main branch and configured with environment variables.</w:t>
            </w:r>
          </w:p>
        </w:tc>
      </w:tr>
      <w:tr>
        <w:tc>
          <w:tcPr>
            <w:tcW w:type="dxa" w:w="2448"/>
            <w:vAlign w:val="top"/>
          </w:tcPr>
          <w:p>
            <w:r>
              <w:rPr>
                <w:sz w:val="16"/>
              </w:rPr>
              <w:t>Environment management</w:t>
            </w:r>
          </w:p>
        </w:tc>
        <w:tc>
          <w:tcPr>
            <w:tcW w:type="dxa" w:w="7920"/>
            <w:vAlign w:val="top"/>
          </w:tcPr>
          <w:p>
            <w:r>
              <w:rPr>
                <w:sz w:val="16"/>
              </w:rPr>
              <w:t>.env.local for local development; .env.example committed with placeholders; Render environment settings for deployment.</w:t>
            </w:r>
          </w:p>
        </w:tc>
      </w:tr>
      <w:tr>
        <w:tc>
          <w:tcPr>
            <w:tcW w:type="dxa" w:w="2448"/>
            <w:vAlign w:val="top"/>
          </w:tcPr>
          <w:p>
            <w:r>
              <w:rPr>
                <w:sz w:val="16"/>
              </w:rPr>
              <w:t>AI-assisted work model</w:t>
            </w:r>
          </w:p>
        </w:tc>
        <w:tc>
          <w:tcPr>
            <w:tcW w:type="dxa" w:w="7920"/>
            <w:vAlign w:val="top"/>
          </w:tcPr>
          <w:p>
            <w:r>
              <w:rPr>
                <w:sz w:val="16"/>
              </w:rPr>
              <w:t>Claude Code as frontend-first developer; VS Code plus Codex as backend/data-model developer; each in separate local clone and separate branch.</w:t>
            </w:r>
          </w:p>
        </w:tc>
      </w:tr>
    </w:tbl>
    <w:p/>
    <w:p>
      <w:pPr>
        <w:pStyle w:val="Heading1"/>
      </w:pPr>
      <w:r>
        <w:t>15. Development Workflow and Branching</w:t>
      </w:r>
    </w:p>
    <w:p>
      <w:pPr>
        <w:pStyle w:val="ListBullet"/>
      </w:pPr>
      <w:r>
        <w:t>Main branch is stable and should only receive reviewed changes.</w:t>
      </w:r>
    </w:p>
    <w:p>
      <w:pPr>
        <w:pStyle w:val="ListBullet"/>
      </w:pPr>
      <w:r>
        <w:t>Frontend workstream branch: feature/dashboard-frontend.</w:t>
      </w:r>
    </w:p>
    <w:p>
      <w:pPr>
        <w:pStyle w:val="ListBullet"/>
      </w:pPr>
      <w:r>
        <w:t>Backend/data workstream branch: feature/backend-data-model.</w:t>
      </w:r>
    </w:p>
    <w:p>
      <w:pPr>
        <w:pStyle w:val="ListBullet"/>
      </w:pPr>
      <w:r>
        <w:t>Each AI developer works in its own local clone. Do not manually copy files between clones.</w:t>
      </w:r>
    </w:p>
    <w:p>
      <w:pPr>
        <w:pStyle w:val="ListBullet"/>
      </w:pPr>
      <w:r>
        <w:t>The backend branch should merge first when database schema, migrations and API contracts are involved.</w:t>
      </w:r>
    </w:p>
    <w:p>
      <w:pPr>
        <w:pStyle w:val="ListBullet"/>
      </w:pPr>
      <w:r>
        <w:t>The frontend branch should update from main after backend merge and then connect components to approved data access patterns.</w:t>
      </w:r>
    </w:p>
    <w:p>
      <w:pPr>
        <w:pStyle w:val="ListBullet"/>
      </w:pPr>
      <w:r>
        <w:t>Each change should be small, coherent and committed after local smoke testing.</w:t>
      </w:r>
    </w:p>
    <w:p>
      <w:pPr>
        <w:pStyle w:val="ListBullet"/>
      </w:pPr>
      <w:r>
        <w:t>No AI tool may modify the same major files at the same time unless explicitly instructed.</w:t>
      </w:r>
    </w:p>
    <w:p>
      <w:pPr>
        <w:pStyle w:val="Heading1"/>
      </w:pPr>
      <w:r>
        <w:t>16. Database Migration Governance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center"/>
          </w:tcPr>
          <w:p>
            <w:r>
              <w:rPr>
                <w:b/>
                <w:color w:val="FFFFFF"/>
              </w:rPr>
              <w:t>Standard</w:t>
            </w:r>
          </w:p>
        </w:tc>
        <w:tc>
          <w:tcPr>
            <w:tcW w:type="dxa" w:w="7776"/>
            <w:shd w:fill="1F4E79"/>
            <w:vAlign w:val="center"/>
          </w:tcPr>
          <w:p>
            <w:r>
              <w:rPr>
                <w:b/>
                <w:color w:val="FFFFFF"/>
              </w:rPr>
              <w:t>Requirement</w:t>
            </w:r>
          </w:p>
        </w:tc>
      </w:tr>
      <w:tr>
        <w:tc>
          <w:tcPr>
            <w:tcW w:type="dxa" w:w="2592"/>
            <w:vAlign w:val="top"/>
          </w:tcPr>
          <w:p>
            <w:r>
              <w:rPr>
                <w:sz w:val="16"/>
              </w:rPr>
              <w:t>Naming convention</w:t>
            </w:r>
          </w:p>
        </w:tc>
        <w:tc>
          <w:tcPr>
            <w:tcW w:type="dxa" w:w="7776"/>
            <w:vAlign w:val="top"/>
          </w:tcPr>
          <w:p>
            <w:r>
              <w:rPr>
                <w:sz w:val="16"/>
              </w:rPr>
              <w:t>YYYYMMDDHHMM_description.sql using snake_case and a clear verb such as create, add, update, seed or alter.</w:t>
            </w:r>
          </w:p>
        </w:tc>
      </w:tr>
      <w:tr>
        <w:tc>
          <w:tcPr>
            <w:tcW w:type="dxa" w:w="2592"/>
            <w:vAlign w:val="top"/>
          </w:tcPr>
          <w:p>
            <w:r>
              <w:rPr>
                <w:sz w:val="16"/>
              </w:rPr>
              <w:t>Required header</w:t>
            </w:r>
          </w:p>
        </w:tc>
        <w:tc>
          <w:tcPr>
            <w:tcW w:type="dxa" w:w="7776"/>
            <w:vAlign w:val="top"/>
          </w:tcPr>
          <w:p>
            <w:r>
              <w:rPr>
                <w:sz w:val="16"/>
              </w:rPr>
              <w:t>Each migration must include purpose, authoring tool, date, tables affected, dependencies, indexes, RLS policies and rollback notes.</w:t>
            </w:r>
          </w:p>
        </w:tc>
      </w:tr>
      <w:tr>
        <w:tc>
          <w:tcPr>
            <w:tcW w:type="dxa" w:w="2592"/>
            <w:vAlign w:val="top"/>
          </w:tcPr>
          <w:p>
            <w:r>
              <w:rPr>
                <w:sz w:val="16"/>
              </w:rPr>
              <w:t>Review rule</w:t>
            </w:r>
          </w:p>
        </w:tc>
        <w:tc>
          <w:tcPr>
            <w:tcW w:type="dxa" w:w="7776"/>
            <w:vAlign w:val="top"/>
          </w:tcPr>
          <w:p>
            <w:r>
              <w:rPr>
                <w:sz w:val="16"/>
              </w:rPr>
              <w:t>Claude Code and Codex may propose database changes but must not directly modify production Supabase.</w:t>
            </w:r>
          </w:p>
        </w:tc>
      </w:tr>
      <w:tr>
        <w:tc>
          <w:tcPr>
            <w:tcW w:type="dxa" w:w="2592"/>
            <w:vAlign w:val="top"/>
          </w:tcPr>
          <w:p>
            <w:r>
              <w:rPr>
                <w:sz w:val="16"/>
              </w:rPr>
              <w:t>Source of truth</w:t>
            </w:r>
          </w:p>
        </w:tc>
        <w:tc>
          <w:tcPr>
            <w:tcW w:type="dxa" w:w="7776"/>
            <w:vAlign w:val="top"/>
          </w:tcPr>
          <w:p>
            <w:r>
              <w:rPr>
                <w:sz w:val="16"/>
              </w:rPr>
              <w:t>All database structure changes must be represented as migration files in the repo.</w:t>
            </w:r>
          </w:p>
        </w:tc>
      </w:tr>
      <w:tr>
        <w:tc>
          <w:tcPr>
            <w:tcW w:type="dxa" w:w="2592"/>
            <w:vAlign w:val="top"/>
          </w:tcPr>
          <w:p>
            <w:r>
              <w:rPr>
                <w:sz w:val="16"/>
              </w:rPr>
              <w:t>Bootcamp application</w:t>
            </w:r>
          </w:p>
        </w:tc>
        <w:tc>
          <w:tcPr>
            <w:tcW w:type="dxa" w:w="7776"/>
            <w:vAlign w:val="top"/>
          </w:tcPr>
          <w:p>
            <w:r>
              <w:rPr>
                <w:sz w:val="16"/>
              </w:rPr>
              <w:t>For the live build, migrations should be manually reviewed and applied to the development Supabase project first.</w:t>
            </w:r>
          </w:p>
        </w:tc>
      </w:tr>
      <w:tr>
        <w:tc>
          <w:tcPr>
            <w:tcW w:type="dxa" w:w="2592"/>
            <w:vAlign w:val="top"/>
          </w:tcPr>
          <w:p>
            <w:r>
              <w:rPr>
                <w:sz w:val="16"/>
              </w:rPr>
              <w:t>Merge limitation</w:t>
            </w:r>
          </w:p>
        </w:tc>
        <w:tc>
          <w:tcPr>
            <w:tcW w:type="dxa" w:w="7776"/>
            <w:vAlign w:val="top"/>
          </w:tcPr>
          <w:p>
            <w:r>
              <w:rPr>
                <w:sz w:val="16"/>
              </w:rPr>
              <w:t>Merging a PR does not automatically update Supabase unless a deployment pipeline has been intentionally configured to run migrations.</w:t>
            </w:r>
          </w:p>
        </w:tc>
      </w:tr>
    </w:tbl>
    <w:p/>
    <w:p>
      <w:pPr>
        <w:pStyle w:val="Heading1"/>
      </w:pPr>
      <w:r>
        <w:t>17. Frontend Requirements and Visual Direction</w:t>
      </w:r>
    </w:p>
    <w:p>
      <w:r>
        <w:t>The dashboard should be modern, clean and executive-friendly. It should avoid visual clutter, excessive chart density and overly technical language. The first screen should communicate: company, synthetic-data status, date range, active headcount, attrition rate, engagement score, hiring velocity, compensation risk and elevated flight-risk segments.</w:t>
      </w:r>
    </w:p>
    <w:p>
      <w:pPr>
        <w:pStyle w:val="ListBullet"/>
      </w:pPr>
      <w:r>
        <w:t>Use a top KPI row with 6-8 high-priority cards.</w:t>
      </w:r>
    </w:p>
    <w:p>
      <w:pPr>
        <w:pStyle w:val="ListBullet"/>
      </w:pPr>
      <w:r>
        <w:t>Use a persistent filter bar near the top of each view.</w:t>
      </w:r>
    </w:p>
    <w:p>
      <w:pPr>
        <w:pStyle w:val="ListBullet"/>
      </w:pPr>
      <w:r>
        <w:t>Use chart grids grouped by analytics domain.</w:t>
      </w:r>
    </w:p>
    <w:p>
      <w:pPr>
        <w:pStyle w:val="ListBullet"/>
      </w:pPr>
      <w:r>
        <w:t>Use insight panels that translate charts into plain-English interpretation.</w:t>
      </w:r>
    </w:p>
    <w:p>
      <w:pPr>
        <w:pStyle w:val="ListBullet"/>
      </w:pPr>
      <w:r>
        <w:t>Use detail tables for drill-down, but keep individual-level data restrained and responsible.</w:t>
      </w:r>
    </w:p>
    <w:p>
      <w:pPr>
        <w:pStyle w:val="ListBullet"/>
      </w:pPr>
      <w:r>
        <w:t>Include loading, error and empty states for all data-dependent components.</w:t>
      </w:r>
    </w:p>
    <w:p>
      <w:pPr>
        <w:pStyle w:val="ListBullet"/>
      </w:pPr>
      <w:r>
        <w:t>Use consistent colors for risk categories and include labels beyond color.</w:t>
      </w:r>
    </w:p>
    <w:p>
      <w:pPr>
        <w:pStyle w:val="Heading1"/>
      </w:pPr>
      <w:r>
        <w:t>18. Backend Analytics Requirements</w:t>
      </w:r>
    </w:p>
    <w:p>
      <w:pPr>
        <w:pStyle w:val="ListBullet"/>
      </w:pPr>
      <w:r>
        <w:t>Create reusable query functions for each major metric family rather than embedding calculations directly in frontend components.</w:t>
      </w:r>
    </w:p>
    <w:p>
      <w:pPr>
        <w:pStyle w:val="ListBullet"/>
      </w:pPr>
      <w:r>
        <w:t>Ensure each query can accept supported filters and return both values and metadata needed for chart labels.</w:t>
      </w:r>
    </w:p>
    <w:p>
      <w:pPr>
        <w:pStyle w:val="ListBullet"/>
      </w:pPr>
      <w:r>
        <w:t>Calculate rates with explicit denominators and handle divide-by-zero cases.</w:t>
      </w:r>
    </w:p>
    <w:p>
      <w:pPr>
        <w:pStyle w:val="ListBullet"/>
      </w:pPr>
      <w:r>
        <w:t>Return data freshness metadata or seed date where practical.</w:t>
      </w:r>
    </w:p>
    <w:p>
      <w:pPr>
        <w:pStyle w:val="ListBullet"/>
      </w:pPr>
      <w:r>
        <w:t>Create tests or console checks for row counts, totals and plausibility checks.</w:t>
      </w:r>
    </w:p>
    <w:p>
      <w:pPr>
        <w:pStyle w:val="ListBullet"/>
      </w:pPr>
      <w:r>
        <w:t>Keep risk scoring logic versioned and explainable.</w:t>
      </w:r>
    </w:p>
    <w:p>
      <w:pPr>
        <w:pStyle w:val="Heading1"/>
      </w:pPr>
      <w:r>
        <w:t>19. Testing and Quality Assurance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9"/>
            <w:vAlign w:val="center"/>
          </w:tcPr>
          <w:p>
            <w:r>
              <w:rPr>
                <w:b/>
                <w:color w:val="FFFFFF"/>
              </w:rPr>
              <w:t>Test Type</w:t>
            </w:r>
          </w:p>
        </w:tc>
        <w:tc>
          <w:tcPr>
            <w:tcW w:type="dxa" w:w="7920"/>
            <w:shd w:fill="1F4E79"/>
            <w:vAlign w:val="center"/>
          </w:tcPr>
          <w:p>
            <w:r>
              <w:rPr>
                <w:b/>
                <w:color w:val="FFFFFF"/>
              </w:rPr>
              <w:t>Required Checks</w:t>
            </w:r>
          </w:p>
        </w:tc>
      </w:tr>
      <w:tr>
        <w:tc>
          <w:tcPr>
            <w:tcW w:type="dxa" w:w="2448"/>
            <w:vAlign w:val="top"/>
          </w:tcPr>
          <w:p>
            <w:r>
              <w:rPr>
                <w:sz w:val="16"/>
              </w:rPr>
              <w:t>Technical smoke test</w:t>
            </w:r>
          </w:p>
        </w:tc>
        <w:tc>
          <w:tcPr>
            <w:tcW w:type="dxa" w:w="7920"/>
            <w:vAlign w:val="top"/>
          </w:tcPr>
          <w:p>
            <w:r>
              <w:rPr>
                <w:sz w:val="16"/>
              </w:rPr>
              <w:t>App loads locally, connects to Supabase, cards show numbers, charts render, filters work, refresh does not break the app and no secrets appear in commits.</w:t>
            </w:r>
          </w:p>
        </w:tc>
      </w:tr>
      <w:tr>
        <w:tc>
          <w:tcPr>
            <w:tcW w:type="dxa" w:w="2448"/>
            <w:vAlign w:val="top"/>
          </w:tcPr>
          <w:p>
            <w:r>
              <w:rPr>
                <w:sz w:val="16"/>
              </w:rPr>
              <w:t>Data integrity test</w:t>
            </w:r>
          </w:p>
        </w:tc>
        <w:tc>
          <w:tcPr>
            <w:tcW w:type="dxa" w:w="7920"/>
            <w:vAlign w:val="top"/>
          </w:tcPr>
          <w:p>
            <w:r>
              <w:rPr>
                <w:sz w:val="16"/>
              </w:rPr>
              <w:t>Active headcount matches source logic, attrition denominators are plausible, compensation values are non-empty, benchmark joins work and recruiting counts reconcile.</w:t>
            </w:r>
          </w:p>
        </w:tc>
      </w:tr>
      <w:tr>
        <w:tc>
          <w:tcPr>
            <w:tcW w:type="dxa" w:w="2448"/>
            <w:vAlign w:val="top"/>
          </w:tcPr>
          <w:p>
            <w:r>
              <w:rPr>
                <w:sz w:val="16"/>
              </w:rPr>
              <w:t>Metric definition test</w:t>
            </w:r>
          </w:p>
        </w:tc>
        <w:tc>
          <w:tcPr>
            <w:tcW w:type="dxa" w:w="7920"/>
            <w:vAlign w:val="top"/>
          </w:tcPr>
          <w:p>
            <w:r>
              <w:rPr>
                <w:sz w:val="16"/>
              </w:rPr>
              <w:t>Every major metric has a source, formula and caveat.</w:t>
            </w:r>
          </w:p>
        </w:tc>
      </w:tr>
      <w:tr>
        <w:tc>
          <w:tcPr>
            <w:tcW w:type="dxa" w:w="2448"/>
            <w:vAlign w:val="top"/>
          </w:tcPr>
          <w:p>
            <w:r>
              <w:rPr>
                <w:sz w:val="16"/>
              </w:rPr>
              <w:t>Descriptive analytics test</w:t>
            </w:r>
          </w:p>
        </w:tc>
        <w:tc>
          <w:tcPr>
            <w:tcW w:type="dxa" w:w="7920"/>
            <w:vAlign w:val="top"/>
          </w:tcPr>
          <w:p>
            <w:r>
              <w:rPr>
                <w:sz w:val="16"/>
              </w:rPr>
              <w:t>Dashboard answers workforce composition, attrition, engagement, hiring, compensation, manager effectiveness, performance and business linkage questions.</w:t>
            </w:r>
          </w:p>
        </w:tc>
      </w:tr>
      <w:tr>
        <w:tc>
          <w:tcPr>
            <w:tcW w:type="dxa" w:w="2448"/>
            <w:vAlign w:val="top"/>
          </w:tcPr>
          <w:p>
            <w:r>
              <w:rPr>
                <w:sz w:val="16"/>
              </w:rPr>
              <w:t>Predictive analytics test</w:t>
            </w:r>
          </w:p>
        </w:tc>
        <w:tc>
          <w:tcPr>
            <w:tcW w:type="dxa" w:w="7920"/>
            <w:vAlign w:val="top"/>
          </w:tcPr>
          <w:p>
            <w:r>
              <w:rPr>
                <w:sz w:val="16"/>
              </w:rPr>
              <w:t>Risk categories appear only where source data supports them, explanation factors are visible and caution language is present.</w:t>
            </w:r>
          </w:p>
        </w:tc>
      </w:tr>
      <w:tr>
        <w:tc>
          <w:tcPr>
            <w:tcW w:type="dxa" w:w="2448"/>
            <w:vAlign w:val="top"/>
          </w:tcPr>
          <w:p>
            <w:r>
              <w:rPr>
                <w:sz w:val="16"/>
              </w:rPr>
              <w:t>Responsible-use test</w:t>
            </w:r>
          </w:p>
        </w:tc>
        <w:tc>
          <w:tcPr>
            <w:tcW w:type="dxa" w:w="7920"/>
            <w:vAlign w:val="top"/>
          </w:tcPr>
          <w:p>
            <w:r>
              <w:rPr>
                <w:sz w:val="16"/>
              </w:rPr>
              <w:t>Dashboard avoids simplistic conclusions about demographics, pay equity, managers or individual employees and encourages further investigation.</w:t>
            </w:r>
          </w:p>
        </w:tc>
      </w:tr>
      <w:tr>
        <w:tc>
          <w:tcPr>
            <w:tcW w:type="dxa" w:w="2448"/>
            <w:vAlign w:val="top"/>
          </w:tcPr>
          <w:p>
            <w:r>
              <w:rPr>
                <w:sz w:val="16"/>
              </w:rPr>
              <w:t>Deployment test</w:t>
            </w:r>
          </w:p>
        </w:tc>
        <w:tc>
          <w:tcPr>
            <w:tcW w:type="dxa" w:w="7920"/>
            <w:vAlign w:val="top"/>
          </w:tcPr>
          <w:p>
            <w:r>
              <w:rPr>
                <w:sz w:val="16"/>
              </w:rPr>
              <w:t>Render URL loads, environment variables are configured, Supabase data appears and authentication works if enabled.</w:t>
            </w:r>
          </w:p>
        </w:tc>
      </w:tr>
    </w:tbl>
    <w:p/>
    <w:p>
      <w:pPr>
        <w:pStyle w:val="Heading1"/>
      </w:pPr>
      <w:r>
        <w:t>20. Bootcamp Demo Script Requirements</w:t>
      </w:r>
    </w:p>
    <w:p>
      <w:r>
        <w:t>The live demo should show both the software product and the HR decision workflow. The intended sequence is: open the live URL, introduce Meridian Analytics, explain that the data is synthetic, review the executive overview, apply filters, investigate a specific risk pattern, open the methodology notes and close with Version 2 opportunities.</w:t>
      </w:r>
    </w:p>
    <w:p>
      <w:pPr>
        <w:pStyle w:val="ListBullet"/>
      </w:pPr>
      <w:r>
        <w:t>Ask: Which metric would a CHRO investigate first?</w:t>
      </w:r>
    </w:p>
    <w:p>
      <w:pPr>
        <w:pStyle w:val="ListBullet"/>
      </w:pPr>
      <w:r>
        <w:t>Show workforce composition and identify concentration by function, level and location.</w:t>
      </w:r>
    </w:p>
    <w:p>
      <w:pPr>
        <w:pStyle w:val="ListBullet"/>
      </w:pPr>
      <w:r>
        <w:t>Show attrition and distinguish voluntary, involuntary and regrettable patterns.</w:t>
      </w:r>
    </w:p>
    <w:p>
      <w:pPr>
        <w:pStyle w:val="ListBullet"/>
      </w:pPr>
      <w:r>
        <w:t>Show engagement and identify category or tenure-based patterns.</w:t>
      </w:r>
    </w:p>
    <w:p>
      <w:pPr>
        <w:pStyle w:val="ListBullet"/>
      </w:pPr>
      <w:r>
        <w:t>Show hiring velocity and identify plan gaps or funnel bottlenecks.</w:t>
      </w:r>
    </w:p>
    <w:p>
      <w:pPr>
        <w:pStyle w:val="ListBullet"/>
      </w:pPr>
      <w:r>
        <w:t>Show compensation and discuss compa-ratio, benchmark position and possible risk.</w:t>
      </w:r>
    </w:p>
    <w:p>
      <w:pPr>
        <w:pStyle w:val="ListBullet"/>
      </w:pPr>
      <w:r>
        <w:t>Show manager effectiveness and explicitly frame patterns as support needs, not blame.</w:t>
      </w:r>
    </w:p>
    <w:p>
      <w:pPr>
        <w:pStyle w:val="ListBullet"/>
      </w:pPr>
      <w:r>
        <w:t>Show predictive risk and ask what human context would be required before action.</w:t>
      </w:r>
    </w:p>
    <w:p>
      <w:pPr>
        <w:pStyle w:val="Heading1"/>
      </w:pPr>
      <w:r>
        <w:t>21. Version 0.1 Success Criteria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center"/>
          </w:tcPr>
          <w:p>
            <w:r>
              <w:rPr>
                <w:b/>
                <w:color w:val="FFFFFF"/>
              </w:rPr>
              <w:t>Success Area</w:t>
            </w:r>
          </w:p>
        </w:tc>
        <w:tc>
          <w:tcPr>
            <w:tcW w:type="dxa" w:w="7776"/>
            <w:shd w:fill="1F4E79"/>
            <w:vAlign w:val="center"/>
          </w:tcPr>
          <w:p>
            <w:r>
              <w:rPr>
                <w:b/>
                <w:color w:val="FFFFFF"/>
              </w:rPr>
              <w:t>Criteria</w:t>
            </w:r>
          </w:p>
        </w:tc>
      </w:tr>
      <w:tr>
        <w:tc>
          <w:tcPr>
            <w:tcW w:type="dxa" w:w="2592"/>
            <w:vAlign w:val="top"/>
          </w:tcPr>
          <w:p>
            <w:r>
              <w:rPr>
                <w:sz w:val="16"/>
              </w:rPr>
              <w:t>Product definition</w:t>
            </w:r>
          </w:p>
        </w:tc>
        <w:tc>
          <w:tcPr>
            <w:tcW w:type="dxa" w:w="7776"/>
            <w:vAlign w:val="top"/>
          </w:tcPr>
          <w:p>
            <w:r>
              <w:rPr>
                <w:sz w:val="16"/>
              </w:rPr>
              <w:t>PRD, data dictionary summary, migration standards and AI developer instructions exist and are used by both workstreams.</w:t>
            </w:r>
          </w:p>
        </w:tc>
      </w:tr>
      <w:tr>
        <w:tc>
          <w:tcPr>
            <w:tcW w:type="dxa" w:w="2592"/>
            <w:vAlign w:val="top"/>
          </w:tcPr>
          <w:p>
            <w:r>
              <w:rPr>
                <w:sz w:val="16"/>
              </w:rPr>
              <w:t>Data foundation</w:t>
            </w:r>
          </w:p>
        </w:tc>
        <w:tc>
          <w:tcPr>
            <w:tcW w:type="dxa" w:w="7776"/>
            <w:vAlign w:val="top"/>
          </w:tcPr>
          <w:p>
            <w:r>
              <w:rPr>
                <w:sz w:val="16"/>
              </w:rPr>
              <w:t>Supabase schema exists, synthetic data is seeded and core row counts are verified.</w:t>
            </w:r>
          </w:p>
        </w:tc>
      </w:tr>
      <w:tr>
        <w:tc>
          <w:tcPr>
            <w:tcW w:type="dxa" w:w="2592"/>
            <w:vAlign w:val="top"/>
          </w:tcPr>
          <w:p>
            <w:r>
              <w:rPr>
                <w:sz w:val="16"/>
              </w:rPr>
              <w:t>Dashboard functionality</w:t>
            </w:r>
          </w:p>
        </w:tc>
        <w:tc>
          <w:tcPr>
            <w:tcW w:type="dxa" w:w="7776"/>
            <w:vAlign w:val="top"/>
          </w:tcPr>
          <w:p>
            <w:r>
              <w:rPr>
                <w:sz w:val="16"/>
              </w:rPr>
              <w:t>Core views load, cards and charts display real seeded values and filters work.</w:t>
            </w:r>
          </w:p>
        </w:tc>
      </w:tr>
      <w:tr>
        <w:tc>
          <w:tcPr>
            <w:tcW w:type="dxa" w:w="2592"/>
            <w:vAlign w:val="top"/>
          </w:tcPr>
          <w:p>
            <w:r>
              <w:rPr>
                <w:sz w:val="16"/>
              </w:rPr>
              <w:t>Analytics credibility</w:t>
            </w:r>
          </w:p>
        </w:tc>
        <w:tc>
          <w:tcPr>
            <w:tcW w:type="dxa" w:w="7776"/>
            <w:vAlign w:val="top"/>
          </w:tcPr>
          <w:p>
            <w:r>
              <w:rPr>
                <w:sz w:val="16"/>
              </w:rPr>
              <w:t>Major metrics have definitions, plausible values and clear source mapping.</w:t>
            </w:r>
          </w:p>
        </w:tc>
      </w:tr>
      <w:tr>
        <w:tc>
          <w:tcPr>
            <w:tcW w:type="dxa" w:w="2592"/>
            <w:vAlign w:val="top"/>
          </w:tcPr>
          <w:p>
            <w:r>
              <w:rPr>
                <w:sz w:val="16"/>
              </w:rPr>
              <w:t>Responsible-use compliance</w:t>
            </w:r>
          </w:p>
        </w:tc>
        <w:tc>
          <w:tcPr>
            <w:tcW w:type="dxa" w:w="7776"/>
            <w:vAlign w:val="top"/>
          </w:tcPr>
          <w:p>
            <w:r>
              <w:rPr>
                <w:sz w:val="16"/>
              </w:rPr>
              <w:t>Predictive indicators include explanation factors and cautionary language.</w:t>
            </w:r>
          </w:p>
        </w:tc>
      </w:tr>
      <w:tr>
        <w:tc>
          <w:tcPr>
            <w:tcW w:type="dxa" w:w="2592"/>
            <w:vAlign w:val="top"/>
          </w:tcPr>
          <w:p>
            <w:r>
              <w:rPr>
                <w:sz w:val="16"/>
              </w:rPr>
              <w:t>Workflow demonstration</w:t>
            </w:r>
          </w:p>
        </w:tc>
        <w:tc>
          <w:tcPr>
            <w:tcW w:type="dxa" w:w="7776"/>
            <w:vAlign w:val="top"/>
          </w:tcPr>
          <w:p>
            <w:r>
              <w:rPr>
                <w:sz w:val="16"/>
              </w:rPr>
              <w:t>Two workspaces can work from the same repo through branches and reviewed merges.</w:t>
            </w:r>
          </w:p>
        </w:tc>
      </w:tr>
      <w:tr>
        <w:tc>
          <w:tcPr>
            <w:tcW w:type="dxa" w:w="2592"/>
            <w:vAlign w:val="top"/>
          </w:tcPr>
          <w:p>
            <w:r>
              <w:rPr>
                <w:sz w:val="16"/>
              </w:rPr>
              <w:t>Deployment</w:t>
            </w:r>
          </w:p>
        </w:tc>
        <w:tc>
          <w:tcPr>
            <w:tcW w:type="dxa" w:w="7776"/>
            <w:vAlign w:val="top"/>
          </w:tcPr>
          <w:p>
            <w:r>
              <w:rPr>
                <w:sz w:val="16"/>
              </w:rPr>
              <w:t>Render deployment succeeds and the live URL opens with connected data.</w:t>
            </w:r>
          </w:p>
        </w:tc>
      </w:tr>
      <w:tr>
        <w:tc>
          <w:tcPr>
            <w:tcW w:type="dxa" w:w="2592"/>
            <w:vAlign w:val="top"/>
          </w:tcPr>
          <w:p>
            <w:r>
              <w:rPr>
                <w:sz w:val="16"/>
              </w:rPr>
              <w:t>Learning outcome</w:t>
            </w:r>
          </w:p>
        </w:tc>
        <w:tc>
          <w:tcPr>
            <w:tcW w:type="dxa" w:w="7776"/>
            <w:vAlign w:val="top"/>
          </w:tcPr>
          <w:p>
            <w:r>
              <w:rPr>
                <w:sz w:val="16"/>
              </w:rPr>
              <w:t>Bootcamp participants see how AI-assisted development can build a practical people analytics tool from product definition through deployment.</w:t>
            </w:r>
          </w:p>
        </w:tc>
      </w:tr>
    </w:tbl>
    <w:p/>
    <w:p>
      <w:pPr>
        <w:pStyle w:val="Heading1"/>
      </w:pPr>
      <w:r>
        <w:t>22. Risks, Constraints and Mitigations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096"/>
            <w:shd w:fill="1F4E79"/>
            <w:vAlign w:val="center"/>
          </w:tcPr>
          <w:p>
            <w:r>
              <w:rPr>
                <w:b/>
                <w:color w:val="FFFFFF"/>
              </w:rPr>
              <w:t>Risk / Constraint</w:t>
            </w:r>
          </w:p>
        </w:tc>
        <w:tc>
          <w:tcPr>
            <w:tcW w:type="dxa" w:w="3240"/>
            <w:shd w:fill="1F4E79"/>
            <w:vAlign w:val="center"/>
          </w:tcPr>
          <w:p>
            <w:r>
              <w:rPr>
                <w:b/>
                <w:color w:val="FFFFFF"/>
              </w:rPr>
              <w:t>Impact</w:t>
            </w:r>
          </w:p>
        </w:tc>
        <w:tc>
          <w:tcPr>
            <w:tcW w:type="dxa" w:w="4104"/>
            <w:shd w:fill="1F4E79"/>
            <w:vAlign w:val="center"/>
          </w:tcPr>
          <w:p>
            <w:r>
              <w:rPr>
                <w:b/>
                <w:color w:val="FFFFFF"/>
              </w:rPr>
              <w:t>Mitigation</w:t>
            </w:r>
          </w:p>
        </w:tc>
      </w:tr>
      <w:tr>
        <w:tc>
          <w:tcPr>
            <w:tcW w:type="dxa" w:w="3096"/>
            <w:vAlign w:val="top"/>
          </w:tcPr>
          <w:p>
            <w:r>
              <w:rPr>
                <w:sz w:val="16"/>
              </w:rPr>
              <w:t>Dataset discrepancies across documents</w:t>
            </w:r>
          </w:p>
        </w:tc>
        <w:tc>
          <w:tcPr>
            <w:tcW w:type="dxa" w:w="3240"/>
            <w:vAlign w:val="top"/>
          </w:tcPr>
          <w:p>
            <w:r>
              <w:rPr>
                <w:sz w:val="16"/>
              </w:rPr>
              <w:t>Hard-coded figures may conflict with actual data</w:t>
            </w:r>
          </w:p>
        </w:tc>
        <w:tc>
          <w:tcPr>
            <w:tcW w:type="dxa" w:w="4104"/>
            <w:vAlign w:val="top"/>
          </w:tcPr>
          <w:p>
            <w:r>
              <w:rPr>
                <w:sz w:val="16"/>
              </w:rPr>
              <w:t>Calculate metrics from source tables and document open reconciliation items.</w:t>
            </w:r>
          </w:p>
        </w:tc>
      </w:tr>
      <w:tr>
        <w:tc>
          <w:tcPr>
            <w:tcW w:type="dxa" w:w="3096"/>
            <w:vAlign w:val="top"/>
          </w:tcPr>
          <w:p>
            <w:r>
              <w:rPr>
                <w:sz w:val="16"/>
              </w:rPr>
              <w:t>Overly broad Version 0.1 scope</w:t>
            </w:r>
          </w:p>
        </w:tc>
        <w:tc>
          <w:tcPr>
            <w:tcW w:type="dxa" w:w="3240"/>
            <w:vAlign w:val="top"/>
          </w:tcPr>
          <w:p>
            <w:r>
              <w:rPr>
                <w:sz w:val="16"/>
              </w:rPr>
              <w:t>Live build may become unstable or incomplete</w:t>
            </w:r>
          </w:p>
        </w:tc>
        <w:tc>
          <w:tcPr>
            <w:tcW w:type="dxa" w:w="4104"/>
            <w:vAlign w:val="top"/>
          </w:tcPr>
          <w:p>
            <w:r>
              <w:rPr>
                <w:sz w:val="16"/>
              </w:rPr>
              <w:t>Prioritize overview, key metric families and responsible-risk demonstration.</w:t>
            </w:r>
          </w:p>
        </w:tc>
      </w:tr>
      <w:tr>
        <w:tc>
          <w:tcPr>
            <w:tcW w:type="dxa" w:w="3096"/>
            <w:vAlign w:val="top"/>
          </w:tcPr>
          <w:p>
            <w:r>
              <w:rPr>
                <w:sz w:val="16"/>
              </w:rPr>
              <w:t>AI tools modifying overlapping files</w:t>
            </w:r>
          </w:p>
        </w:tc>
        <w:tc>
          <w:tcPr>
            <w:tcW w:type="dxa" w:w="3240"/>
            <w:vAlign w:val="top"/>
          </w:tcPr>
          <w:p>
            <w:r>
              <w:rPr>
                <w:sz w:val="16"/>
              </w:rPr>
              <w:t>Merge conflicts and unstable code</w:t>
            </w:r>
          </w:p>
        </w:tc>
        <w:tc>
          <w:tcPr>
            <w:tcW w:type="dxa" w:w="4104"/>
            <w:vAlign w:val="top"/>
          </w:tcPr>
          <w:p>
            <w:r>
              <w:rPr>
                <w:sz w:val="16"/>
              </w:rPr>
              <w:t>Separate frontend and backend branches, restrict files and merge one PR at a time.</w:t>
            </w:r>
          </w:p>
        </w:tc>
      </w:tr>
      <w:tr>
        <w:tc>
          <w:tcPr>
            <w:tcW w:type="dxa" w:w="3096"/>
            <w:vAlign w:val="top"/>
          </w:tcPr>
          <w:p>
            <w:r>
              <w:rPr>
                <w:sz w:val="16"/>
              </w:rPr>
              <w:t>Poor metric definitions</w:t>
            </w:r>
          </w:p>
        </w:tc>
        <w:tc>
          <w:tcPr>
            <w:tcW w:type="dxa" w:w="3240"/>
            <w:vAlign w:val="top"/>
          </w:tcPr>
          <w:p>
            <w:r>
              <w:rPr>
                <w:sz w:val="16"/>
              </w:rPr>
              <w:t>Users may distrust or misinterpret analytics</w:t>
            </w:r>
          </w:p>
        </w:tc>
        <w:tc>
          <w:tcPr>
            <w:tcW w:type="dxa" w:w="4104"/>
            <w:vAlign w:val="top"/>
          </w:tcPr>
          <w:p>
            <w:r>
              <w:rPr>
                <w:sz w:val="16"/>
              </w:rPr>
              <w:t>Maintain visible methodology and source mapping.</w:t>
            </w:r>
          </w:p>
        </w:tc>
      </w:tr>
      <w:tr>
        <w:tc>
          <w:tcPr>
            <w:tcW w:type="dxa" w:w="3096"/>
            <w:vAlign w:val="top"/>
          </w:tcPr>
          <w:p>
            <w:r>
              <w:rPr>
                <w:sz w:val="16"/>
              </w:rPr>
              <w:t>Predictive analytics misuse</w:t>
            </w:r>
          </w:p>
        </w:tc>
        <w:tc>
          <w:tcPr>
            <w:tcW w:type="dxa" w:w="3240"/>
            <w:vAlign w:val="top"/>
          </w:tcPr>
          <w:p>
            <w:r>
              <w:rPr>
                <w:sz w:val="16"/>
              </w:rPr>
              <w:t>Users may treat directional indicators as decisions</w:t>
            </w:r>
          </w:p>
        </w:tc>
        <w:tc>
          <w:tcPr>
            <w:tcW w:type="dxa" w:w="4104"/>
            <w:vAlign w:val="top"/>
          </w:tcPr>
          <w:p>
            <w:r>
              <w:rPr>
                <w:sz w:val="16"/>
              </w:rPr>
              <w:t>Use risk categories, explanation factors and explicit caution language.</w:t>
            </w:r>
          </w:p>
        </w:tc>
      </w:tr>
      <w:tr>
        <w:tc>
          <w:tcPr>
            <w:tcW w:type="dxa" w:w="3096"/>
            <w:vAlign w:val="top"/>
          </w:tcPr>
          <w:p>
            <w:r>
              <w:rPr>
                <w:sz w:val="16"/>
              </w:rPr>
              <w:t>Secrets accidentally committed</w:t>
            </w:r>
          </w:p>
        </w:tc>
        <w:tc>
          <w:tcPr>
            <w:tcW w:type="dxa" w:w="3240"/>
            <w:vAlign w:val="top"/>
          </w:tcPr>
          <w:p>
            <w:r>
              <w:rPr>
                <w:sz w:val="16"/>
              </w:rPr>
              <w:t>Security exposure</w:t>
            </w:r>
          </w:p>
        </w:tc>
        <w:tc>
          <w:tcPr>
            <w:tcW w:type="dxa" w:w="4104"/>
            <w:vAlign w:val="top"/>
          </w:tcPr>
          <w:p>
            <w:r>
              <w:rPr>
                <w:sz w:val="16"/>
              </w:rPr>
              <w:t>Use .env.local, .gitignore, .env.example and pre-merge checks.</w:t>
            </w:r>
          </w:p>
        </w:tc>
      </w:tr>
      <w:tr>
        <w:tc>
          <w:tcPr>
            <w:tcW w:type="dxa" w:w="3096"/>
            <w:vAlign w:val="top"/>
          </w:tcPr>
          <w:p>
            <w:r>
              <w:rPr>
                <w:sz w:val="16"/>
              </w:rPr>
              <w:t>Insufficient data for some charts</w:t>
            </w:r>
          </w:p>
        </w:tc>
        <w:tc>
          <w:tcPr>
            <w:tcW w:type="dxa" w:w="3240"/>
            <w:vAlign w:val="top"/>
          </w:tcPr>
          <w:p>
            <w:r>
              <w:rPr>
                <w:sz w:val="16"/>
              </w:rPr>
              <w:t>Broken or misleading visuals</w:t>
            </w:r>
          </w:p>
        </w:tc>
        <w:tc>
          <w:tcPr>
            <w:tcW w:type="dxa" w:w="4104"/>
            <w:vAlign w:val="top"/>
          </w:tcPr>
          <w:p>
            <w:r>
              <w:rPr>
                <w:sz w:val="16"/>
              </w:rPr>
              <w:t>Show empty states and mark unsupported metrics as Version 2.</w:t>
            </w:r>
          </w:p>
        </w:tc>
      </w:tr>
      <w:tr>
        <w:tc>
          <w:tcPr>
            <w:tcW w:type="dxa" w:w="3096"/>
            <w:vAlign w:val="top"/>
          </w:tcPr>
          <w:p>
            <w:r>
              <w:rPr>
                <w:sz w:val="16"/>
              </w:rPr>
              <w:t>Deployment configuration errors</w:t>
            </w:r>
          </w:p>
        </w:tc>
        <w:tc>
          <w:tcPr>
            <w:tcW w:type="dxa" w:w="3240"/>
            <w:vAlign w:val="top"/>
          </w:tcPr>
          <w:p>
            <w:r>
              <w:rPr>
                <w:sz w:val="16"/>
              </w:rPr>
              <w:t>Demo URL may fail</w:t>
            </w:r>
          </w:p>
        </w:tc>
        <w:tc>
          <w:tcPr>
            <w:tcW w:type="dxa" w:w="4104"/>
            <w:vAlign w:val="top"/>
          </w:tcPr>
          <w:p>
            <w:r>
              <w:rPr>
                <w:sz w:val="16"/>
              </w:rPr>
              <w:t>Keep Render deployment simple and test before live use.</w:t>
            </w:r>
          </w:p>
        </w:tc>
      </w:tr>
    </w:tbl>
    <w:p/>
    <w:p>
      <w:pPr>
        <w:pStyle w:val="Heading1"/>
      </w:pPr>
      <w:r>
        <w:t>23. Version 2 Opportunities</w:t>
      </w:r>
    </w:p>
    <w:p>
      <w:pPr>
        <w:pStyle w:val="ListBullet"/>
      </w:pPr>
      <w:r>
        <w:t>Automated CSV import and validation pipeline.</w:t>
      </w:r>
    </w:p>
    <w:p>
      <w:pPr>
        <w:pStyle w:val="ListBullet"/>
      </w:pPr>
      <w:r>
        <w:t>Role-based permissions and segmented access to sensitive views.</w:t>
      </w:r>
    </w:p>
    <w:p>
      <w:pPr>
        <w:pStyle w:val="ListBullet"/>
      </w:pPr>
      <w:r>
        <w:t>Natural-language question interface over approved metrics and source tables.</w:t>
      </w:r>
    </w:p>
    <w:p>
      <w:pPr>
        <w:pStyle w:val="ListBullet"/>
      </w:pPr>
      <w:r>
        <w:t>Exportable executive reports and board-ready PDF summaries.</w:t>
      </w:r>
    </w:p>
    <w:p>
      <w:pPr>
        <w:pStyle w:val="ListBullet"/>
      </w:pPr>
      <w:r>
        <w:t>Scenario planning for headcount, attrition, hiring capacity and compensation investment.</w:t>
      </w:r>
    </w:p>
    <w:p>
      <w:pPr>
        <w:pStyle w:val="ListBullet"/>
      </w:pPr>
      <w:r>
        <w:t>Formal model validation, bias testing and monitoring for predictive indicators.</w:t>
      </w:r>
    </w:p>
    <w:p>
      <w:pPr>
        <w:pStyle w:val="ListBullet"/>
      </w:pPr>
      <w:r>
        <w:t>Deeper benchmark integration for compensation and labor market signals.</w:t>
      </w:r>
    </w:p>
    <w:p>
      <w:pPr>
        <w:pStyle w:val="ListBullet"/>
      </w:pPr>
      <w:r>
        <w:t>Audit logging for user actions, data refreshes and model changes.</w:t>
      </w:r>
    </w:p>
    <w:p>
      <w:pPr>
        <w:pStyle w:val="ListBullet"/>
      </w:pPr>
      <w:r>
        <w:t>Expanded workforce planning and capacity modeling.</w:t>
      </w:r>
    </w:p>
    <w:p>
      <w:pPr>
        <w:pStyle w:val="ListBullet"/>
      </w:pPr>
      <w:r>
        <w:t>Integration with a real HRIS or data warehouse in a future production-like environment.</w:t>
      </w:r>
    </w:p>
    <w:p>
      <w:pPr>
        <w:pStyle w:val="Heading1"/>
      </w:pPr>
      <w:r>
        <w:t>24. Open Questions for the Team</w:t>
      </w:r>
    </w:p>
    <w:p>
      <w:pPr>
        <w:pStyle w:val="ListNumber"/>
      </w:pPr>
      <w:r>
        <w:t>Should Version 0.1 use individual-level employee detail tables, or should all sensitive views be segment-level only?</w:t>
      </w:r>
    </w:p>
    <w:p>
      <w:pPr>
        <w:pStyle w:val="ListNumber"/>
      </w:pPr>
      <w:r>
        <w:t>Which headcount figure should be shown in narrative copy: company overview approximate headcount, active employee count from the master file or total records in the employee master?</w:t>
      </w:r>
    </w:p>
    <w:p>
      <w:pPr>
        <w:pStyle w:val="ListNumber"/>
      </w:pPr>
      <w:r>
        <w:t>Should demographic fields be included in Version 0.1, hidden by default or moved to a later responsible analytics module?</w:t>
      </w:r>
    </w:p>
    <w:p>
      <w:pPr>
        <w:pStyle w:val="ListNumber"/>
      </w:pPr>
      <w:r>
        <w:t>Which metric definitions should be locked before development begins: attrition denominator, engagement score formula, regrettable attrition definition and flight-risk thresholds?</w:t>
      </w:r>
    </w:p>
    <w:p>
      <w:pPr>
        <w:pStyle w:val="ListNumber"/>
      </w:pPr>
      <w:r>
        <w:t>Should authentication be included in the live bootcamp build, or should the first demo use an unprotected synthetic-data dashboard for speed?</w:t>
      </w:r>
    </w:p>
    <w:p>
      <w:pPr>
        <w:pStyle w:val="ListNumber"/>
      </w:pPr>
      <w:r>
        <w:t>Which charting library and app scaffold will be used so both AI developer workstreams follow the same architecture?</w:t>
      </w:r>
    </w:p>
    <w:p>
      <w:pPr>
        <w:pStyle w:val="ListNumber"/>
      </w:pPr>
      <w:r>
        <w:t>Should benchmark comparison be included in Version 0.1 or presented as a Version 2 feature if joins become too complex?</w:t>
      </w:r>
    </w:p>
    <w:p>
      <w:pPr>
        <w:pStyle w:val="ListNumber"/>
      </w:pPr>
      <w:r>
        <w:t>What level of data dictionary detail must be visible in the product UI versus maintained as documentation only?</w:t>
      </w:r>
    </w:p>
    <w:p>
      <w:pPr>
        <w:pStyle w:val="Heading1"/>
      </w:pPr>
      <w:r>
        <w:t>Appendix A: AI Developer Operating Instructions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872"/>
            <w:shd w:fill="1F4E79"/>
            <w:vAlign w:val="center"/>
          </w:tcPr>
          <w:p>
            <w:r>
              <w:rPr>
                <w:b/>
                <w:color w:val="FFFFFF"/>
              </w:rPr>
              <w:t>AI Developer</w:t>
            </w:r>
          </w:p>
        </w:tc>
        <w:tc>
          <w:tcPr>
            <w:tcW w:type="dxa" w:w="3600"/>
            <w:shd w:fill="1F4E79"/>
            <w:vAlign w:val="center"/>
          </w:tcPr>
          <w:p>
            <w:r>
              <w:rPr>
                <w:b/>
                <w:color w:val="FFFFFF"/>
              </w:rPr>
              <w:t>Primary Focus</w:t>
            </w:r>
          </w:p>
        </w:tc>
        <w:tc>
          <w:tcPr>
            <w:tcW w:type="dxa" w:w="4896"/>
            <w:shd w:fill="1F4E79"/>
            <w:vAlign w:val="center"/>
          </w:tcPr>
          <w:p>
            <w:r>
              <w:rPr>
                <w:b/>
                <w:color w:val="FFFFFF"/>
              </w:rPr>
              <w:t>Rules</w:t>
            </w:r>
          </w:p>
        </w:tc>
      </w:tr>
      <w:tr>
        <w:tc>
          <w:tcPr>
            <w:tcW w:type="dxa" w:w="1872"/>
            <w:vAlign w:val="top"/>
          </w:tcPr>
          <w:p>
            <w:r>
              <w:rPr>
                <w:sz w:val="16"/>
              </w:rPr>
              <w:t>Claude Code</w:t>
            </w:r>
          </w:p>
        </w:tc>
        <w:tc>
          <w:tcPr>
            <w:tcW w:type="dxa" w:w="3600"/>
            <w:vAlign w:val="top"/>
          </w:tcPr>
          <w:p>
            <w:r>
              <w:rPr>
                <w:sz w:val="16"/>
              </w:rPr>
              <w:t>Frontend, dashboard UX, charts, filters, user experience, loading states and interpretation panels</w:t>
            </w:r>
          </w:p>
        </w:tc>
        <w:tc>
          <w:tcPr>
            <w:tcW w:type="dxa" w:w="4896"/>
            <w:vAlign w:val="top"/>
          </w:tcPr>
          <w:p>
            <w:r>
              <w:rPr>
                <w:sz w:val="16"/>
              </w:rPr>
              <w:t>Work only in frontend clone and branch. Do not change migrations or backend contracts unless explicitly instructed. Explain changes and testing steps before commit.</w:t>
            </w:r>
          </w:p>
        </w:tc>
      </w:tr>
      <w:tr>
        <w:tc>
          <w:tcPr>
            <w:tcW w:type="dxa" w:w="1872"/>
            <w:vAlign w:val="top"/>
          </w:tcPr>
          <w:p>
            <w:r>
              <w:rPr>
                <w:sz w:val="16"/>
              </w:rPr>
              <w:t>VS Code plus Codex</w:t>
            </w:r>
          </w:p>
        </w:tc>
        <w:tc>
          <w:tcPr>
            <w:tcW w:type="dxa" w:w="3600"/>
            <w:vAlign w:val="top"/>
          </w:tcPr>
          <w:p>
            <w:r>
              <w:rPr>
                <w:sz w:val="16"/>
              </w:rPr>
              <w:t>Backend, database schema, migrations, API routes, analytics calculations, risk scoring and Render configuration</w:t>
            </w:r>
          </w:p>
        </w:tc>
        <w:tc>
          <w:tcPr>
            <w:tcW w:type="dxa" w:w="4896"/>
            <w:vAlign w:val="top"/>
          </w:tcPr>
          <w:p>
            <w:r>
              <w:rPr>
                <w:sz w:val="16"/>
              </w:rPr>
              <w:t>Work only in backend clone and branch. Do not modify frontend layouts unless explicitly instructed. Propose schema before writing migrations.</w:t>
            </w:r>
          </w:p>
        </w:tc>
      </w:tr>
      <w:tr>
        <w:tc>
          <w:tcPr>
            <w:tcW w:type="dxa" w:w="1872"/>
            <w:vAlign w:val="top"/>
          </w:tcPr>
          <w:p>
            <w:r>
              <w:rPr>
                <w:sz w:val="16"/>
              </w:rPr>
              <w:t>Both</w:t>
            </w:r>
          </w:p>
        </w:tc>
        <w:tc>
          <w:tcPr>
            <w:tcW w:type="dxa" w:w="3600"/>
            <w:vAlign w:val="top"/>
          </w:tcPr>
          <w:p>
            <w:r>
              <w:rPr>
                <w:sz w:val="16"/>
              </w:rPr>
              <w:t>Build from PRD, data dictionary, migration standards and current repo state</w:t>
            </w:r>
          </w:p>
        </w:tc>
        <w:tc>
          <w:tcPr>
            <w:tcW w:type="dxa" w:w="4896"/>
            <w:vAlign w:val="top"/>
          </w:tcPr>
          <w:p>
            <w:r>
              <w:rPr>
                <w:sz w:val="16"/>
              </w:rPr>
              <w:t>Use narrow tasks, avoid overlapping files, summarize changes, list assumptions and request review before merge.</w:t>
            </w:r>
          </w:p>
        </w:tc>
      </w:tr>
    </w:tbl>
    <w:p/>
    <w:p>
      <w:pPr>
        <w:pStyle w:val="Heading1"/>
      </w:pPr>
      <w:r>
        <w:t>Appendix B: Recommended Initial Build Order</w:t>
      </w:r>
    </w:p>
    <w:p>
      <w:pPr>
        <w:pStyle w:val="ListNumber"/>
      </w:pPr>
      <w:r>
        <w:t>Finalize PRD and metric definitions for Version 0.1.</w:t>
      </w:r>
    </w:p>
    <w:p>
      <w:pPr>
        <w:pStyle w:val="ListNumber"/>
      </w:pPr>
      <w:r>
        <w:t>Create repository, branches and two local clones.</w:t>
      </w:r>
    </w:p>
    <w:p>
      <w:pPr>
        <w:pStyle w:val="ListNumber"/>
      </w:pPr>
      <w:r>
        <w:t>Generate Supabase schema proposal and review it manually.</w:t>
      </w:r>
    </w:p>
    <w:p>
      <w:pPr>
        <w:pStyle w:val="ListNumber"/>
      </w:pPr>
      <w:r>
        <w:t>Create initial migration and seed scripts.</w:t>
      </w:r>
    </w:p>
    <w:p>
      <w:pPr>
        <w:pStyle w:val="ListNumber"/>
      </w:pPr>
      <w:r>
        <w:t>Load core synthetic data into Supabase development project.</w:t>
      </w:r>
    </w:p>
    <w:p>
      <w:pPr>
        <w:pStyle w:val="ListNumber"/>
      </w:pPr>
      <w:r>
        <w:t>Build backend query functions for executive overview metrics.</w:t>
      </w:r>
    </w:p>
    <w:p>
      <w:pPr>
        <w:pStyle w:val="ListNumber"/>
      </w:pPr>
      <w:r>
        <w:t>Build frontend dashboard shell and KPI cards.</w:t>
      </w:r>
    </w:p>
    <w:p>
      <w:pPr>
        <w:pStyle w:val="ListNumber"/>
      </w:pPr>
      <w:r>
        <w:t>Connect overview to live Supabase data.</w:t>
      </w:r>
    </w:p>
    <w:p>
      <w:pPr>
        <w:pStyle w:val="ListNumber"/>
      </w:pPr>
      <w:r>
        <w:t>Add domain-specific views in this order: workforce, attrition, engagement, recruiting, compensation, performance, manager effectiveness, predictive risk.</w:t>
      </w:r>
    </w:p>
    <w:p>
      <w:pPr>
        <w:pStyle w:val="ListNumber"/>
      </w:pPr>
      <w:r>
        <w:t>Add methodology panel and responsible-use language.</w:t>
      </w:r>
    </w:p>
    <w:p>
      <w:pPr>
        <w:pStyle w:val="ListNumber"/>
      </w:pPr>
      <w:r>
        <w:t>Run smoke tests and metric plausibility tests.</w:t>
      </w:r>
    </w:p>
    <w:p>
      <w:pPr>
        <w:pStyle w:val="ListNumber"/>
      </w:pPr>
      <w:r>
        <w:t>Deploy to Render and verify the live URL.</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Meridian Analytics People Analytics Dashboard PRD v0.1 | Synthetic data and AI-assisted development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08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