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20000" cy="1590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xl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9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0" w:after="120"/>
        <w:jc w:val="center"/>
      </w:pPr>
      <w:r>
        <w:rPr>
          <w:b/>
          <w:color w:val="1B2559"/>
          <w:sz w:val="76"/>
          <w:rFonts w:ascii="Noto Sans" w:hAnsi="Noto Sans" w:cs="Noto Sans" w:eastAsia="Noto Sans"/>
        </w:rPr>
        <w:t>MEMORIA TÉCNICA DEL SERVIDOR</w:t>
      </w:r>
    </w:p>
    <w:p>
      <w:pPr>
        <w:spacing w:after="800"/>
        <w:jc w:val="center"/>
      </w:pPr>
      <w:r>
        <w:rPr>
          <w:b w:val="0"/>
          <w:color w:val="7B849D"/>
          <w:sz w:val="44"/>
          <w:rFonts w:ascii="Noto Sans" w:hAnsi="Noto Sans" w:cs="Noto Sans" w:eastAsia="Noto Sans"/>
        </w:rPr>
        <w:t>Documento de control y especificaciones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2"/>
        <w:gridCol w:w="5052"/>
      </w:tblGrid>
      <w:tr>
        <w:tc>
          <w:tcPr>
            <w:tcW w:type="dxa" w:w="5052"/>
          </w:tcPr>
          <w:p>
            <w:r>
              <w:rPr>
                <w:b/>
                <w:color w:val="1E293B"/>
                <w:sz w:val="26"/>
                <w:rFonts w:ascii="Noto Sans" w:hAnsi="Noto Sans" w:cs="Noto Sans" w:eastAsia="Noto Sans"/>
              </w:rPr>
              <w:t>Título</w:t>
            </w:r>
          </w:p>
        </w:tc>
        <w:tc>
          <w:tcPr>
            <w:tcW w:type="dxa" w:w="5052"/>
          </w:tcPr>
          <w:p>
            <w:r>
              <w:rPr>
                <w:color w:val="1E293B"/>
                <w:sz w:val="26"/>
                <w:rFonts w:ascii="Noto Sans" w:hAnsi="Noto Sans" w:cs="Noto Sans" w:eastAsia="Noto Sans"/>
              </w:rPr>
            </w:r>
          </w:p>
        </w:tc>
      </w:tr>
      <w:tr>
        <w:tc>
          <w:tcPr>
            <w:tcW w:type="dxa" w:w="5052"/>
          </w:tcPr>
          <w:p>
            <w:r>
              <w:rPr>
                <w:b/>
                <w:color w:val="1E293B"/>
                <w:sz w:val="26"/>
                <w:rFonts w:ascii="Noto Sans" w:hAnsi="Noto Sans" w:cs="Noto Sans" w:eastAsia="Noto Sans"/>
              </w:rPr>
              <w:t>código</w:t>
            </w:r>
          </w:p>
        </w:tc>
        <w:tc>
          <w:tcPr>
            <w:tcW w:type="dxa" w:w="5052"/>
          </w:tcPr>
          <w:p>
            <w:r>
              <w:rPr>
                <w:color w:val="1E293B"/>
                <w:sz w:val="26"/>
                <w:rFonts w:ascii="Noto Sans" w:hAnsi="Noto Sans" w:cs="Noto Sans" w:eastAsia="Noto Sans"/>
              </w:rPr>
            </w:r>
          </w:p>
        </w:tc>
      </w:tr>
      <w:tr>
        <w:tc>
          <w:tcPr>
            <w:tcW w:type="dxa" w:w="5052"/>
          </w:tcPr>
          <w:p>
            <w:r>
              <w:rPr>
                <w:b/>
                <w:color w:val="1E293B"/>
                <w:sz w:val="26"/>
                <w:rFonts w:ascii="Noto Sans" w:hAnsi="Noto Sans" w:cs="Noto Sans" w:eastAsia="Noto Sans"/>
              </w:rPr>
              <w:t>versión</w:t>
            </w:r>
          </w:p>
        </w:tc>
        <w:tc>
          <w:tcPr>
            <w:tcW w:type="dxa" w:w="5052"/>
          </w:tcPr>
          <w:p>
            <w:r>
              <w:rPr>
                <w:color w:val="1E293B"/>
                <w:sz w:val="26"/>
                <w:rFonts w:ascii="Noto Sans" w:hAnsi="Noto Sans" w:cs="Noto Sans" w:eastAsia="Noto Sans"/>
              </w:rPr>
            </w:r>
          </w:p>
        </w:tc>
      </w:tr>
      <w:tr>
        <w:tc>
          <w:tcPr>
            <w:tcW w:type="dxa" w:w="5052"/>
          </w:tcPr>
          <w:p>
            <w:r>
              <w:rPr>
                <w:b/>
                <w:color w:val="1E293B"/>
                <w:sz w:val="26"/>
                <w:rFonts w:ascii="Noto Sans" w:hAnsi="Noto Sans" w:cs="Noto Sans" w:eastAsia="Noto Sans"/>
              </w:rPr>
              <w:t>fecha</w:t>
            </w:r>
          </w:p>
        </w:tc>
        <w:tc>
          <w:tcPr>
            <w:tcW w:type="dxa" w:w="5052"/>
          </w:tcPr>
          <w:p>
            <w:r>
              <w:rPr>
                <w:color w:val="1E293B"/>
                <w:sz w:val="26"/>
                <w:rFonts w:ascii="Noto Sans" w:hAnsi="Noto Sans" w:cs="Noto Sans" w:eastAsia="Noto Sans"/>
              </w:rPr>
            </w:r>
          </w:p>
        </w:tc>
      </w:tr>
      <w:tr>
        <w:tc>
          <w:tcPr>
            <w:tcW w:type="dxa" w:w="5052"/>
          </w:tcPr>
          <w:p>
            <w:r>
              <w:rPr>
                <w:b/>
                <w:color w:val="1E293B"/>
                <w:sz w:val="26"/>
                <w:rFonts w:ascii="Noto Sans" w:hAnsi="Noto Sans" w:cs="Noto Sans" w:eastAsia="Noto Sans"/>
              </w:rPr>
              <w:t>autor</w:t>
            </w:r>
          </w:p>
        </w:tc>
        <w:tc>
          <w:tcPr>
            <w:tcW w:type="dxa" w:w="5052"/>
          </w:tcPr>
          <w:p>
            <w:r>
              <w:rPr>
                <w:color w:val="1E293B"/>
                <w:sz w:val="26"/>
                <w:rFonts w:ascii="Noto Sans" w:hAnsi="Noto Sans" w:cs="Noto Sans" w:eastAsia="Noto Sans"/>
              </w:rPr>
            </w:r>
          </w:p>
        </w:tc>
      </w:tr>
      <w:tr>
        <w:tc>
          <w:tcPr>
            <w:tcW w:type="dxa" w:w="5052"/>
          </w:tcPr>
          <w:p>
            <w:r>
              <w:rPr>
                <w:b/>
                <w:color w:val="1E293B"/>
                <w:sz w:val="26"/>
                <w:rFonts w:ascii="Noto Sans" w:hAnsi="Noto Sans" w:cs="Noto Sans" w:eastAsia="Noto Sans"/>
              </w:rPr>
              <w:t>revisor y aprobador</w:t>
            </w:r>
          </w:p>
        </w:tc>
        <w:tc>
          <w:tcPr>
            <w:tcW w:type="dxa" w:w="5052"/>
          </w:tcPr>
          <w:p>
            <w:r>
              <w:rPr>
                <w:color w:val="1E293B"/>
                <w:sz w:val="26"/>
                <w:rFonts w:ascii="Noto Sans" w:hAnsi="Noto Sans" w:cs="Noto Sans" w:eastAsia="Noto Sans"/>
              </w:rPr>
            </w:r>
          </w:p>
        </w:tc>
      </w:tr>
      <w:tr>
        <w:tc>
          <w:tcPr>
            <w:tcW w:type="dxa" w:w="5052"/>
          </w:tcPr>
          <w:p>
            <w:r>
              <w:rPr>
                <w:b/>
                <w:color w:val="1E293B"/>
                <w:sz w:val="26"/>
                <w:rFonts w:ascii="Noto Sans" w:hAnsi="Noto Sans" w:cs="Noto Sans" w:eastAsia="Noto Sans"/>
              </w:rPr>
              <w:t>Historial de cambios</w:t>
            </w:r>
          </w:p>
        </w:tc>
        <w:tc>
          <w:tcPr>
            <w:tcW w:type="dxa" w:w="5052"/>
          </w:tcPr>
          <w:p>
            <w:r>
              <w:rPr>
                <w:color w:val="1E293B"/>
                <w:sz w:val="26"/>
                <w:rFonts w:ascii="Noto Sans" w:hAnsi="Noto Sans" w:cs="Noto Sans" w:eastAsia="Noto Sans"/>
              </w:rPr>
            </w:r>
          </w:p>
        </w:tc>
      </w:tr>
      <w:tr>
        <w:tc>
          <w:tcPr>
            <w:tcW w:type="dxa" w:w="5052"/>
          </w:tcPr>
          <w:p>
            <w:r>
              <w:rPr>
                <w:b/>
                <w:color w:val="1E293B"/>
                <w:sz w:val="26"/>
                <w:rFonts w:ascii="Noto Sans" w:hAnsi="Noto Sans" w:cs="Noto Sans" w:eastAsia="Noto Sans"/>
              </w:rPr>
              <w:t>Clasificación de la información (p. ej. confidencial o uso interno)</w:t>
            </w:r>
          </w:p>
        </w:tc>
        <w:tc>
          <w:tcPr>
            <w:tcW w:type="dxa" w:w="5052"/>
          </w:tcPr>
          <w:p>
            <w:r>
              <w:rPr>
                <w:color w:val="1E293B"/>
                <w:sz w:val="26"/>
                <w:rFonts w:ascii="Noto Sans" w:hAnsi="Noto Sans" w:cs="Noto Sans" w:eastAsia="Noto Sans"/>
              </w:rPr>
            </w:r>
          </w:p>
        </w:tc>
      </w:tr>
    </w:tbl>
    <w:p>
      <w:pPr>
        <w:spacing w:before="600"/>
        <w:jc w:val="center"/>
      </w:pPr>
      <w:r>
        <w:rPr>
          <w:b/>
          <w:color w:val="1E293B"/>
          <w:sz w:val="26"/>
          <w:rFonts w:ascii="Noto Sans" w:hAnsi="Noto Sans" w:cs="Noto Sans" w:eastAsia="Noto Sans"/>
        </w:rPr>
        <w:t>Versión 1.0</w:t>
      </w:r>
    </w:p>
    <w:p>
      <w:r>
        <w:rPr>
          <w:sz w:val="4"/>
          <w:rFonts w:ascii="Noto Sans" w:hAnsi="Noto Sans" w:cs="Noto Sans" w:eastAsia="Noto Sans"/>
        </w:rPr>
        <w:br w:type="page"/>
      </w:r>
    </w:p>
    <w:p>
      <w:pPr>
        <w:spacing w:after="120"/>
        <w:jc w:val="center"/>
      </w:pPr>
      <w:r>
        <w:rPr>
          <w:b/>
          <w:color w:val="1B2559"/>
          <w:sz w:val="34"/>
          <w:rFonts w:ascii="Noto Sans" w:hAnsi="Noto Sans" w:cs="Noto Sans" w:eastAsia="Noto Sans"/>
        </w:rPr>
        <w:t>Índice de Contenidos</w:t>
      </w:r>
    </w:p>
    <w:p>
      <w:pPr>
        <w:spacing w:before="0" w:after="280"/>
        <w:pBdr>
          <w:bottom w:val="single" w:sz="6" w:space="1" w:color="E6EAF2"/>
        </w:pBdr>
      </w:pPr>
      <w:r>
        <w:rPr>
          <w:color w:val="E6EAF2"/>
          <w:sz w:val="4"/>
          <w:rFonts w:ascii="Noto Sans" w:hAnsi="Noto Sans" w:cs="Noto Sans" w:eastAsia="Noto Sans"/>
        </w:rPr>
      </w:r>
    </w:p>
    <w:p>
      <w:pPr>
        <w:tabs>
          <w:tab w:pos="8787" w:val="right" w:leader="dot"/>
        </w:tabs>
      </w:pPr>
      <w:r>
        <w:fldChar w:fldCharType="begin"/>
        <w:instrText xml:space="preserve">TOC \o "1-2" \h \z \u</w:instrText>
        <w:fldChar w:fldCharType="separate"/>
      </w:r>
      <w:r>
        <w:rPr>
          <w:b/>
          <w:color w:val="3B5BFF"/>
          <w:sz w:val="26"/>
          <w:rFonts w:ascii="Noto Sans" w:hAnsi="Noto Sans" w:cs="Noto Sans" w:eastAsia="Noto Sans"/>
        </w:rPr>
        <w:t>2. Identificación y propósito</w:t>
      </w:r>
      <w:r>
        <w:rPr>
          <w:color w:val="1E293B"/>
          <w:sz w:val="26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Hostname, FQDN, alias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Función o servicios que presta (web, correo, BD, hipervisor, etc.)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Cliente o área dueña, responsable técnico y responsable de negocio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Criticidad (Tier), SLA asociado y ventana de mantenimiento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ID en la CMDB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142" w:hanging="142"/>
      </w:pPr>
      <w:r>
        <w:rPr>
          <w:b/>
          <w:color w:val="1E293B"/>
          <w:sz w:val="26"/>
          <w:rFonts w:ascii="Noto Sans" w:hAnsi="Noto Sans" w:cs="Noto Sans" w:eastAsia="Noto Sans"/>
        </w:rPr>
        <w:t xml:space="preserve">▪ </w:t>
      </w:r>
      <w:r>
        <w:rPr>
          <w:b/>
          <w:color w:val="3B5BFF"/>
          <w:sz w:val="26"/>
          <w:rFonts w:ascii="Noto Sans" w:hAnsi="Noto Sans" w:cs="Noto Sans" w:eastAsia="Noto Sans"/>
        </w:rPr>
        <w:t>3. Hardware / plataforma</w:t>
      </w:r>
      <w:r>
        <w:rPr>
          <w:color w:val="1E293B"/>
          <w:sz w:val="26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Tipo: físico, VM, cloud o contenedor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Marca, modelo, número de serie, service tag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CPU, RAM, discos (tipo, capacidad, RAID), NICs, fuentes redundantes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Firmware/BIOS, iDRAC/iLO/IPMI (IP y versión)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Si es VM: host, clúster, datastore, recursos asignados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Garantía y soporte: contrato, vencimiento, proveedor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142" w:hanging="142"/>
      </w:pPr>
      <w:r>
        <w:rPr>
          <w:b/>
          <w:color w:val="1E293B"/>
          <w:sz w:val="26"/>
          <w:rFonts w:ascii="Noto Sans" w:hAnsi="Noto Sans" w:cs="Noto Sans" w:eastAsia="Noto Sans"/>
        </w:rPr>
        <w:t xml:space="preserve">▪ </w:t>
      </w:r>
      <w:r>
        <w:rPr>
          <w:b/>
          <w:color w:val="3B5BFF"/>
          <w:sz w:val="26"/>
          <w:rFonts w:ascii="Noto Sans" w:hAnsi="Noto Sans" w:cs="Noto Sans" w:eastAsia="Noto Sans"/>
        </w:rPr>
        <w:t>4. Ubicación física</w:t>
      </w:r>
      <w:r>
        <w:rPr>
          <w:color w:val="1E293B"/>
          <w:sz w:val="26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Sitio o data center, rack, unidad (U), posición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Conexiones de energía (PDU/UPS) y cableado (patch panel o puerto de switch)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Foto frontal y trasera y diagrama de rack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142" w:hanging="142"/>
      </w:pPr>
      <w:r>
        <w:rPr>
          <w:b/>
          <w:color w:val="1E293B"/>
          <w:sz w:val="26"/>
          <w:rFonts w:ascii="Noto Sans" w:hAnsi="Noto Sans" w:cs="Noto Sans" w:eastAsia="Noto Sans"/>
        </w:rPr>
        <w:t xml:space="preserve">▪ </w:t>
      </w:r>
      <w:r>
        <w:rPr>
          <w:b/>
          <w:color w:val="3B5BFF"/>
          <w:sz w:val="26"/>
          <w:rFonts w:ascii="Noto Sans" w:hAnsi="Noto Sans" w:cs="Noto Sans" w:eastAsia="Noto Sans"/>
        </w:rPr>
        <w:t>5. Sistema operativo</w:t>
      </w:r>
      <w:r>
        <w:rPr>
          <w:color w:val="1E293B"/>
          <w:sz w:val="26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Distribución o edición, versión, kernel o build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Licenciamiento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Particionado, filesystems, LVM, puntos de montaje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Zona horaria, NTP, locale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Política de parches y fecha del último update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142" w:hanging="142"/>
      </w:pPr>
      <w:r>
        <w:rPr>
          <w:b/>
          <w:color w:val="1E293B"/>
          <w:sz w:val="26"/>
          <w:rFonts w:ascii="Noto Sans" w:hAnsi="Noto Sans" w:cs="Noto Sans" w:eastAsia="Noto Sans"/>
        </w:rPr>
        <w:t xml:space="preserve">▪ </w:t>
      </w:r>
      <w:r>
        <w:rPr>
          <w:b/>
          <w:color w:val="3B5BFF"/>
          <w:sz w:val="26"/>
          <w:rFonts w:ascii="Noto Sans" w:hAnsi="Noto Sans" w:cs="Noto Sans" w:eastAsia="Noto Sans"/>
        </w:rPr>
        <w:t>6. Red</w:t>
      </w:r>
      <w:r>
        <w:rPr>
          <w:color w:val="1E293B"/>
          <w:sz w:val="26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Interfaces, IPs (v4/v6), máscara, gateway, VLAN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DNS, dominio, registros DNS asociados (A, PTR, MX, etc.)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Bonding o teaming, MTU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Rutas estáticas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Puertos en escucha y servicios expuestos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Diagrama L2/L3 de conexión (switch, puerto, firewall, NAT/VIP)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142" w:hanging="142"/>
      </w:pPr>
      <w:r>
        <w:rPr>
          <w:b/>
          <w:color w:val="1E293B"/>
          <w:sz w:val="26"/>
          <w:rFonts w:ascii="Noto Sans" w:hAnsi="Noto Sans" w:cs="Noto Sans" w:eastAsia="Noto Sans"/>
        </w:rPr>
        <w:t xml:space="preserve">▪ </w:t>
      </w:r>
      <w:r>
        <w:rPr>
          <w:b/>
          <w:color w:val="3B5BFF"/>
          <w:sz w:val="26"/>
          <w:rFonts w:ascii="Noto Sans" w:hAnsi="Noto Sans" w:cs="Noto Sans" w:eastAsia="Noto Sans"/>
        </w:rPr>
        <w:t>7. Software y servicios</w:t>
      </w:r>
      <w:r>
        <w:rPr>
          <w:color w:val="1E293B"/>
          <w:sz w:val="26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Aplicaciones instaladas con versión (Plesk, Nginx/Apache, PHP, MySQL, etc.)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Servicios activos y arranque automático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Dependencias: otros servidores, APIs, BD, almacenamiento externo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Rutas de configuración y de logs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Certificados TLS (emisor, CN/SAN, vencimiento, renovación)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142" w:hanging="142"/>
      </w:pPr>
      <w:r>
        <w:rPr>
          <w:b/>
          <w:color w:val="1E293B"/>
          <w:sz w:val="26"/>
          <w:rFonts w:ascii="Noto Sans" w:hAnsi="Noto Sans" w:cs="Noto Sans" w:eastAsia="Noto Sans"/>
        </w:rPr>
        <w:t xml:space="preserve">▪ </w:t>
      </w:r>
      <w:r>
        <w:rPr>
          <w:b/>
          <w:color w:val="3B5BFF"/>
          <w:sz w:val="26"/>
          <w:rFonts w:ascii="Noto Sans" w:hAnsi="Noto Sans" w:cs="Noto Sans" w:eastAsia="Noto Sans"/>
        </w:rPr>
        <w:t>8. Seguridad</w:t>
      </w:r>
      <w:r>
        <w:rPr>
          <w:color w:val="1E293B"/>
          <w:sz w:val="26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Hardening aplicado (CIS o baseline interno)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Firewall local (reglas) y firewall perimetral relacionado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Antimalware/EDR, IDS, fail2ban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Accesos: usuarios, grupos, sudoers, método de autenticación (llaves SSH, MFA, LDAP/AD)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Acceso remoto permitido (desde qué IPs, bastión, VPN)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Gestión de contraseñas y dónde se resguardan (bóveda; nunca en el documento)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Resultado del último escaneo de vulnerabilidades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142" w:hanging="142"/>
      </w:pPr>
      <w:r>
        <w:rPr>
          <w:b/>
          <w:color w:val="1E293B"/>
          <w:sz w:val="26"/>
          <w:rFonts w:ascii="Noto Sans" w:hAnsi="Noto Sans" w:cs="Noto Sans" w:eastAsia="Noto Sans"/>
        </w:rPr>
        <w:t xml:space="preserve">▪ </w:t>
      </w:r>
      <w:r>
        <w:rPr>
          <w:b/>
          <w:color w:val="3B5BFF"/>
          <w:sz w:val="26"/>
          <w:rFonts w:ascii="Noto Sans" w:hAnsi="Noto Sans" w:cs="Noto Sans" w:eastAsia="Noto Sans"/>
        </w:rPr>
        <w:t>9. Respaldo y recuperación</w:t>
      </w:r>
      <w:r>
        <w:rPr>
          <w:color w:val="1E293B"/>
          <w:sz w:val="26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Qué se respalda, herramienta, frecuencia, retención y destino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RPO/RTO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Procedimiento de restauración y fecha de la última prueba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Snapshots (si aplica)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Plan de DR o servidor espejo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142" w:hanging="142"/>
      </w:pPr>
      <w:r>
        <w:rPr>
          <w:b/>
          <w:color w:val="1E293B"/>
          <w:sz w:val="26"/>
          <w:rFonts w:ascii="Noto Sans" w:hAnsi="Noto Sans" w:cs="Noto Sans" w:eastAsia="Noto Sans"/>
        </w:rPr>
        <w:t xml:space="preserve">▪ </w:t>
      </w:r>
      <w:r>
        <w:rPr>
          <w:b/>
          <w:color w:val="3B5BFF"/>
          <w:sz w:val="26"/>
          <w:rFonts w:ascii="Noto Sans" w:hAnsi="Noto Sans" w:cs="Noto Sans" w:eastAsia="Noto Sans"/>
        </w:rPr>
        <w:t>10. Monitoreo y logging</w:t>
      </w:r>
      <w:r>
        <w:rPr>
          <w:color w:val="1E293B"/>
          <w:sz w:val="26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Herramienta (Zabbix, PRTG, SNMP, etc.) y métricas monitoreadas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Umbrales y alertas, a quién notifican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Envío de logs a SIEM o syslog central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Línea base de desempeño (CPU, RAM, disco, red)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142" w:hanging="142"/>
      </w:pPr>
      <w:r>
        <w:rPr>
          <w:b/>
          <w:color w:val="1E293B"/>
          <w:sz w:val="26"/>
          <w:rFonts w:ascii="Noto Sans" w:hAnsi="Noto Sans" w:cs="Noto Sans" w:eastAsia="Noto Sans"/>
        </w:rPr>
        <w:t xml:space="preserve">▪ </w:t>
      </w:r>
      <w:r>
        <w:rPr>
          <w:b/>
          <w:color w:val="3B5BFF"/>
          <w:sz w:val="26"/>
          <w:rFonts w:ascii="Noto Sans" w:hAnsi="Noto Sans" w:cs="Noto Sans" w:eastAsia="Noto Sans"/>
        </w:rPr>
        <w:t>11. Operación</w:t>
      </w:r>
      <w:r>
        <w:rPr>
          <w:color w:val="1E293B"/>
          <w:sz w:val="26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Procedimientos de arranque y apagado ordenado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Tareas programadas (cron, tareas de Windows)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Procedimientos de mantenimiento recurrente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Runbook de incidentes comunes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Matriz de escalamiento y contactos (interno y proveedores)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142" w:hanging="142"/>
      </w:pPr>
      <w:r>
        <w:rPr>
          <w:b/>
          <w:color w:val="1E293B"/>
          <w:sz w:val="26"/>
          <w:rFonts w:ascii="Noto Sans" w:hAnsi="Noto Sans" w:cs="Noto Sans" w:eastAsia="Noto Sans"/>
        </w:rPr>
        <w:t xml:space="preserve">▪ </w:t>
      </w:r>
      <w:r>
        <w:rPr>
          <w:b/>
          <w:color w:val="3B5BFF"/>
          <w:sz w:val="26"/>
          <w:rFonts w:ascii="Noto Sans" w:hAnsi="Noto Sans" w:cs="Noto Sans" w:eastAsia="Noto Sans"/>
        </w:rPr>
        <w:t>12. Cumplimiento y gestión</w:t>
      </w:r>
      <w:r>
        <w:rPr>
          <w:color w:val="1E293B"/>
          <w:sz w:val="26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Controles ISO 27001 o normativa aplicable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Riesgos identificados y su tratamiento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Cambios relevantes (referencias RFC/CHG)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Plan de ciclo de vida: fin de soporte de hardware/SO y reemplazo previsto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142" w:hanging="142"/>
      </w:pPr>
      <w:r>
        <w:rPr>
          <w:b/>
          <w:color w:val="1E293B"/>
          <w:sz w:val="26"/>
          <w:rFonts w:ascii="Noto Sans" w:hAnsi="Noto Sans" w:cs="Noto Sans" w:eastAsia="Noto Sans"/>
        </w:rPr>
        <w:t xml:space="preserve">▪ </w:t>
      </w:r>
      <w:r>
        <w:rPr>
          <w:b/>
          <w:color w:val="3B5BFF"/>
          <w:sz w:val="26"/>
          <w:rFonts w:ascii="Noto Sans" w:hAnsi="Noto Sans" w:cs="Noto Sans" w:eastAsia="Noto Sans"/>
        </w:rPr>
        <w:t>13. Anexos</w:t>
      </w:r>
      <w:r>
        <w:rPr>
          <w:color w:val="1E293B"/>
          <w:sz w:val="26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Diagramas (red, rack, flujo de datos)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Salidas de comandos como evidencia (lsblk, ip a, ss -tulpn, systemctl list-units, df -h, etc.)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Configuraciones relevantes (sin secretos)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567"/>
      </w:pPr>
      <w:r>
        <w:rPr>
          <w:b w:val="0"/>
          <w:color w:val="7B849D"/>
          <w:sz w:val="22"/>
          <w:rFonts w:ascii="Noto Sans" w:hAnsi="Noto Sans" w:cs="Noto Sans" w:eastAsia="Noto Sans"/>
        </w:rPr>
        <w:t>Fotos, contratos y licencias</w:t>
      </w:r>
      <w:r>
        <w:rPr>
          <w:color w:val="7B849D"/>
          <w:sz w:val="22"/>
          <w:rFonts w:ascii="Noto Sans" w:hAnsi="Noto Sans" w:cs="Noto Sans" w:eastAsia="Noto Sans"/>
        </w:rPr>
        <w:tab/>
      </w:r>
    </w:p>
    <w:p>
      <w:pPr>
        <w:tabs>
          <w:tab w:pos="8787" w:val="right" w:leader="dot"/>
        </w:tabs>
        <w:spacing w:after="320" w:line="240" w:lineRule="auto"/>
        <w:ind w:left="142" w:hanging="142"/>
      </w:pPr>
      <w:r>
        <w:rPr>
          <w:b/>
          <w:color w:val="1E293B"/>
          <w:sz w:val="26"/>
          <w:rFonts w:ascii="Noto Sans" w:hAnsi="Noto Sans" w:cs="Noto Sans" w:eastAsia="Noto Sans"/>
        </w:rPr>
        <w:t xml:space="preserve">▪ </w:t>
      </w:r>
      <w:r>
        <w:rPr>
          <w:b/>
          <w:color w:val="3B5BFF"/>
          <w:sz w:val="26"/>
          <w:rFonts w:ascii="Noto Sans" w:hAnsi="Noto Sans" w:cs="Noto Sans" w:eastAsia="Noto Sans"/>
        </w:rPr>
        <w:t>Recomendaciones</w:t>
      </w:r>
      <w:r>
        <w:rPr>
          <w:color w:val="1E293B"/>
          <w:sz w:val="26"/>
          <w:rFonts w:ascii="Noto Sans" w:hAnsi="Noto Sans" w:cs="Noto Sans" w:eastAsia="Noto Sans"/>
        </w:rPr>
        <w:tab/>
      </w:r>
      <w:r>
        <w:fldChar w:fldCharType="end"/>
      </w:r>
    </w:p>
    <w:p>
      <w:r>
        <w:rPr>
          <w:sz w:val="4"/>
          <w:rFonts w:ascii="Noto Sans" w:hAnsi="Noto Sans" w:cs="Noto Sans" w:eastAsia="Noto Sans"/>
        </w:rPr>
        <w:br w:type="page"/>
      </w:r>
    </w:p>
    <w:p>
      <w:pPr>
        <w:pStyle w:val="Heading1"/>
        <w:pageBreakBefore/>
        <w:spacing w:after="0"/>
      </w:pPr>
      <w:r>
        <w:t>2. Identificación y propósito</w:t>
      </w:r>
    </w:p>
    <w:p>
      <w:pPr>
        <w:spacing w:before="0" w:after="280"/>
        <w:pBdr>
          <w:bottom w:val="single" w:sz="6" w:space="1" w:color="E6EAF2"/>
        </w:pBdr>
      </w:pPr>
      <w:r>
        <w:rPr>
          <w:color w:val="E6EAF2"/>
          <w:sz w:val="4"/>
          <w:rFonts w:ascii="Noto Sans" w:hAnsi="Noto Sans" w:cs="Noto Sans" w:eastAsia="Noto Sans"/>
        </w:rPr>
      </w:r>
    </w:p>
    <w:p>
      <w:pPr>
        <w:pStyle w:val="Heading2"/>
        <w:spacing w:before="360"/>
      </w:pPr>
      <w:r>
        <w:t>Hostname, FQDN, alias</w:t>
      </w:r>
    </w:p>
    <w:p>
      <w:pPr>
        <w:pStyle w:val="Heading2"/>
        <w:spacing w:before="360"/>
      </w:pPr>
      <w:r>
        <w:t>Función o servicios que presta (web, correo, BD, hipervisor, etc.)</w:t>
      </w:r>
    </w:p>
    <w:p>
      <w:pPr>
        <w:pStyle w:val="Heading2"/>
        <w:spacing w:before="360"/>
      </w:pPr>
      <w:r>
        <w:t>Cliente o área dueña, responsable técnico y responsable de negocio</w:t>
      </w:r>
    </w:p>
    <w:p>
      <w:pPr>
        <w:pStyle w:val="Heading2"/>
        <w:spacing w:before="360"/>
      </w:pPr>
      <w:r>
        <w:t>Criticidad (Tier), SLA asociado y ventana de mantenimiento</w:t>
      </w:r>
    </w:p>
    <w:p>
      <w:pPr>
        <w:pStyle w:val="Heading2"/>
        <w:spacing w:before="360"/>
      </w:pPr>
      <w:r>
        <w:t>ID en la CMDB</w:t>
      </w:r>
    </w:p>
    <w:p>
      <w:pPr>
        <w:pStyle w:val="Heading1"/>
        <w:pageBreakBefore/>
        <w:spacing w:after="0"/>
      </w:pPr>
      <w:r>
        <w:t>3. Hardware / plataforma</w:t>
      </w:r>
    </w:p>
    <w:p>
      <w:pPr>
        <w:spacing w:before="0" w:after="280"/>
        <w:pBdr>
          <w:bottom w:val="single" w:sz="6" w:space="1" w:color="E6EAF2"/>
        </w:pBdr>
      </w:pPr>
      <w:r>
        <w:rPr>
          <w:color w:val="E6EAF2"/>
          <w:sz w:val="4"/>
          <w:rFonts w:ascii="Noto Sans" w:hAnsi="Noto Sans" w:cs="Noto Sans" w:eastAsia="Noto Sans"/>
        </w:rPr>
      </w:r>
    </w:p>
    <w:p>
      <w:pPr>
        <w:pStyle w:val="Heading2"/>
        <w:spacing w:before="360"/>
      </w:pPr>
      <w:r>
        <w:t>Tipo: físico, VM, cloud o contenedor</w:t>
      </w:r>
    </w:p>
    <w:p>
      <w:pPr>
        <w:pStyle w:val="Heading2"/>
        <w:spacing w:before="360"/>
      </w:pPr>
      <w:r>
        <w:t>Marca, modelo, número de serie, service tag</w:t>
      </w:r>
    </w:p>
    <w:p>
      <w:pPr>
        <w:pStyle w:val="Heading2"/>
        <w:spacing w:before="360"/>
      </w:pPr>
      <w:r>
        <w:t>CPU, RAM, discos (tipo, capacidad, RAID), NICs, fuentes redundantes</w:t>
      </w:r>
    </w:p>
    <w:p>
      <w:pPr>
        <w:pStyle w:val="Heading2"/>
        <w:spacing w:before="360"/>
      </w:pPr>
      <w:r>
        <w:t>Firmware/BIOS, iDRAC/iLO/IPMI (IP y versión)</w:t>
      </w:r>
    </w:p>
    <w:p>
      <w:pPr>
        <w:pStyle w:val="Heading2"/>
        <w:spacing w:before="360"/>
      </w:pPr>
      <w:r>
        <w:t>Si es VM: host, clúster, datastore, recursos asignados</w:t>
      </w:r>
    </w:p>
    <w:p>
      <w:pPr>
        <w:pStyle w:val="Heading2"/>
        <w:spacing w:before="360"/>
      </w:pPr>
      <w:r>
        <w:t>Garantía y soporte: contrato, vencimiento, proveedor</w:t>
      </w:r>
    </w:p>
    <w:p>
      <w:pPr>
        <w:pStyle w:val="Heading1"/>
        <w:pageBreakBefore/>
        <w:spacing w:after="0"/>
      </w:pPr>
      <w:r>
        <w:t>4. Ubicación física</w:t>
      </w:r>
    </w:p>
    <w:p>
      <w:pPr>
        <w:spacing w:before="0" w:after="280"/>
        <w:pBdr>
          <w:bottom w:val="single" w:sz="6" w:space="1" w:color="E6EAF2"/>
        </w:pBdr>
      </w:pPr>
      <w:r>
        <w:rPr>
          <w:color w:val="E6EAF2"/>
          <w:sz w:val="4"/>
          <w:rFonts w:ascii="Noto Sans" w:hAnsi="Noto Sans" w:cs="Noto Sans" w:eastAsia="Noto Sans"/>
        </w:rPr>
      </w:r>
    </w:p>
    <w:p>
      <w:pPr>
        <w:pStyle w:val="Heading2"/>
        <w:spacing w:before="360"/>
      </w:pPr>
      <w:r>
        <w:t>Sitio o data center, rack, unidad (U), posición</w:t>
      </w:r>
    </w:p>
    <w:p>
      <w:pPr>
        <w:pStyle w:val="Heading2"/>
        <w:spacing w:before="360"/>
      </w:pPr>
      <w:r>
        <w:t>Conexiones de energía (PDU/UPS) y cableado (patch panel o puerto de switch)</w:t>
      </w:r>
    </w:p>
    <w:p>
      <w:pPr>
        <w:pStyle w:val="Heading2"/>
        <w:spacing w:before="360"/>
      </w:pPr>
      <w:r>
        <w:t>Foto frontal y trasera y diagrama de rack</w:t>
      </w:r>
    </w:p>
    <w:p>
      <w:pPr>
        <w:pStyle w:val="Heading1"/>
        <w:pageBreakBefore/>
        <w:spacing w:after="0"/>
      </w:pPr>
      <w:r>
        <w:t>5. Sistema operativo</w:t>
      </w:r>
    </w:p>
    <w:p>
      <w:pPr>
        <w:spacing w:before="0" w:after="280"/>
        <w:pBdr>
          <w:bottom w:val="single" w:sz="6" w:space="1" w:color="E6EAF2"/>
        </w:pBdr>
      </w:pPr>
      <w:r>
        <w:rPr>
          <w:color w:val="E6EAF2"/>
          <w:sz w:val="4"/>
          <w:rFonts w:ascii="Noto Sans" w:hAnsi="Noto Sans" w:cs="Noto Sans" w:eastAsia="Noto Sans"/>
        </w:rPr>
      </w:r>
    </w:p>
    <w:p>
      <w:pPr>
        <w:pStyle w:val="Heading2"/>
        <w:spacing w:before="360"/>
      </w:pPr>
      <w:r>
        <w:t>Distribución o edición, versión, kernel o build</w:t>
      </w:r>
    </w:p>
    <w:p>
      <w:pPr>
        <w:pStyle w:val="Heading2"/>
        <w:spacing w:before="360"/>
      </w:pPr>
      <w:r>
        <w:t>Licenciamiento</w:t>
      </w:r>
    </w:p>
    <w:p>
      <w:pPr>
        <w:pStyle w:val="Heading2"/>
        <w:spacing w:before="360"/>
      </w:pPr>
      <w:r>
        <w:t>Particionado, filesystems, LVM, puntos de montaje</w:t>
      </w:r>
    </w:p>
    <w:p>
      <w:pPr>
        <w:pStyle w:val="Heading2"/>
        <w:spacing w:before="360"/>
      </w:pPr>
      <w:r>
        <w:t>Zona horaria, NTP, locale</w:t>
      </w:r>
    </w:p>
    <w:p>
      <w:pPr>
        <w:pStyle w:val="Heading2"/>
        <w:spacing w:before="360"/>
      </w:pPr>
      <w:r>
        <w:t>Política de parches y fecha del último update</w:t>
      </w:r>
    </w:p>
    <w:p>
      <w:pPr>
        <w:pStyle w:val="Heading1"/>
        <w:pageBreakBefore/>
        <w:spacing w:after="0"/>
      </w:pPr>
      <w:r>
        <w:t>6. Red</w:t>
      </w:r>
    </w:p>
    <w:p>
      <w:pPr>
        <w:spacing w:before="0" w:after="280"/>
        <w:pBdr>
          <w:bottom w:val="single" w:sz="6" w:space="1" w:color="E6EAF2"/>
        </w:pBdr>
      </w:pPr>
      <w:r>
        <w:rPr>
          <w:color w:val="E6EAF2"/>
          <w:sz w:val="4"/>
          <w:rFonts w:ascii="Noto Sans" w:hAnsi="Noto Sans" w:cs="Noto Sans" w:eastAsia="Noto Sans"/>
        </w:rPr>
      </w:r>
    </w:p>
    <w:p>
      <w:pPr>
        <w:pStyle w:val="Heading2"/>
        <w:spacing w:before="360"/>
      </w:pPr>
      <w:r>
        <w:t>Interfaces, IPs (v4/v6), máscara, gateway, VLAN</w:t>
      </w:r>
    </w:p>
    <w:p>
      <w:pPr>
        <w:pStyle w:val="Heading2"/>
        <w:spacing w:before="360"/>
      </w:pPr>
      <w:r>
        <w:t>DNS, dominio, registros DNS asociados (A, PTR, MX, etc.)</w:t>
      </w:r>
    </w:p>
    <w:p>
      <w:pPr>
        <w:pStyle w:val="Heading2"/>
        <w:spacing w:before="360"/>
      </w:pPr>
      <w:r>
        <w:t>Bonding o teaming, MTU</w:t>
      </w:r>
    </w:p>
    <w:p>
      <w:pPr>
        <w:pStyle w:val="Heading2"/>
        <w:spacing w:before="360"/>
      </w:pPr>
      <w:r>
        <w:t>Rutas estáticas</w:t>
      </w:r>
    </w:p>
    <w:p>
      <w:pPr>
        <w:pStyle w:val="Heading2"/>
        <w:spacing w:before="360"/>
      </w:pPr>
      <w:r>
        <w:t>Puertos en escucha y servicios expuestos</w:t>
      </w:r>
    </w:p>
    <w:p>
      <w:pPr>
        <w:pStyle w:val="Heading2"/>
        <w:spacing w:before="360"/>
      </w:pPr>
      <w:r>
        <w:t>Diagrama L2/L3 de conexión (switch, puerto, firewall, NAT/VIP)</w:t>
      </w:r>
    </w:p>
    <w:p>
      <w:pPr>
        <w:pStyle w:val="Heading1"/>
        <w:pageBreakBefore/>
        <w:spacing w:after="0"/>
      </w:pPr>
      <w:r>
        <w:t>7. Software y servicios</w:t>
      </w:r>
    </w:p>
    <w:p>
      <w:pPr>
        <w:spacing w:before="0" w:after="280"/>
        <w:pBdr>
          <w:bottom w:val="single" w:sz="6" w:space="1" w:color="E6EAF2"/>
        </w:pBdr>
      </w:pPr>
      <w:r>
        <w:rPr>
          <w:color w:val="E6EAF2"/>
          <w:sz w:val="4"/>
          <w:rFonts w:ascii="Noto Sans" w:hAnsi="Noto Sans" w:cs="Noto Sans" w:eastAsia="Noto Sans"/>
        </w:rPr>
      </w:r>
    </w:p>
    <w:p>
      <w:pPr>
        <w:pStyle w:val="Heading2"/>
        <w:spacing w:before="360"/>
      </w:pPr>
      <w:r>
        <w:t>Aplicaciones instaladas con versión (Plesk, Nginx/Apache, PHP, MySQL, etc.)</w:t>
      </w:r>
    </w:p>
    <w:p>
      <w:pPr>
        <w:pStyle w:val="Heading2"/>
        <w:spacing w:before="360"/>
      </w:pPr>
      <w:r>
        <w:t>Servicios activos y arranque automático</w:t>
      </w:r>
    </w:p>
    <w:p>
      <w:pPr>
        <w:pStyle w:val="Heading2"/>
        <w:spacing w:before="360"/>
      </w:pPr>
      <w:r>
        <w:t>Dependencias: otros servidores, APIs, BD, almacenamiento externo</w:t>
      </w:r>
    </w:p>
    <w:p>
      <w:pPr>
        <w:pStyle w:val="Heading2"/>
        <w:spacing w:before="360"/>
      </w:pPr>
      <w:r>
        <w:t>Rutas de configuración y de logs</w:t>
      </w:r>
    </w:p>
    <w:p>
      <w:pPr>
        <w:pStyle w:val="Heading2"/>
        <w:spacing w:before="360"/>
      </w:pPr>
      <w:r>
        <w:t>Certificados TLS (emisor, CN/SAN, vencimiento, renovación)</w:t>
      </w:r>
    </w:p>
    <w:p>
      <w:pPr>
        <w:pStyle w:val="Heading1"/>
        <w:pageBreakBefore/>
        <w:spacing w:after="0"/>
      </w:pPr>
      <w:r>
        <w:t>8. Seguridad</w:t>
      </w:r>
    </w:p>
    <w:p>
      <w:pPr>
        <w:spacing w:before="0" w:after="280"/>
        <w:pBdr>
          <w:bottom w:val="single" w:sz="6" w:space="1" w:color="E6EAF2"/>
        </w:pBdr>
      </w:pPr>
      <w:r>
        <w:rPr>
          <w:color w:val="E6EAF2"/>
          <w:sz w:val="4"/>
          <w:rFonts w:ascii="Noto Sans" w:hAnsi="Noto Sans" w:cs="Noto Sans" w:eastAsia="Noto Sans"/>
        </w:rPr>
      </w:r>
    </w:p>
    <w:p>
      <w:pPr>
        <w:pStyle w:val="Heading2"/>
        <w:spacing w:before="360"/>
      </w:pPr>
      <w:r>
        <w:t>Hardening aplicado (CIS o baseline interno)</w:t>
      </w:r>
    </w:p>
    <w:p>
      <w:pPr>
        <w:pStyle w:val="Heading2"/>
        <w:spacing w:before="360"/>
      </w:pPr>
      <w:r>
        <w:t>Firewall local (reglas) y firewall perimetral relacionado</w:t>
      </w:r>
    </w:p>
    <w:p>
      <w:pPr>
        <w:pStyle w:val="Heading2"/>
        <w:spacing w:before="360"/>
      </w:pPr>
      <w:r>
        <w:t>Antimalware/EDR, IDS, fail2ban</w:t>
      </w:r>
    </w:p>
    <w:p>
      <w:pPr>
        <w:pStyle w:val="Heading2"/>
        <w:spacing w:before="360"/>
      </w:pPr>
      <w:r>
        <w:t>Accesos: usuarios, grupos, sudoers, método de autenticación (llaves SSH, MFA, LDAP/AD)</w:t>
      </w:r>
    </w:p>
    <w:p>
      <w:pPr>
        <w:pStyle w:val="Heading2"/>
        <w:spacing w:before="360"/>
      </w:pPr>
      <w:r>
        <w:t>Acceso remoto permitido (desde qué IPs, bastión, VPN)</w:t>
      </w:r>
    </w:p>
    <w:p>
      <w:pPr>
        <w:pStyle w:val="Heading2"/>
        <w:spacing w:before="360"/>
      </w:pPr>
      <w:r>
        <w:t>Gestión de contraseñas y dónde se resguardan (bóveda; nunca en el documento)</w:t>
      </w:r>
    </w:p>
    <w:p>
      <w:pPr>
        <w:pStyle w:val="Heading2"/>
        <w:spacing w:before="360"/>
      </w:pPr>
      <w:r>
        <w:t>Resultado del último escaneo de vulnerabilidades</w:t>
      </w:r>
    </w:p>
    <w:p>
      <w:pPr>
        <w:pStyle w:val="Heading1"/>
        <w:pageBreakBefore/>
        <w:spacing w:after="0"/>
      </w:pPr>
      <w:r>
        <w:t>9. Respaldo y recuperación</w:t>
      </w:r>
    </w:p>
    <w:p>
      <w:pPr>
        <w:spacing w:before="0" w:after="280"/>
        <w:pBdr>
          <w:bottom w:val="single" w:sz="6" w:space="1" w:color="E6EAF2"/>
        </w:pBdr>
      </w:pPr>
      <w:r>
        <w:rPr>
          <w:color w:val="E6EAF2"/>
          <w:sz w:val="4"/>
          <w:rFonts w:ascii="Noto Sans" w:hAnsi="Noto Sans" w:cs="Noto Sans" w:eastAsia="Noto Sans"/>
        </w:rPr>
      </w:r>
    </w:p>
    <w:p>
      <w:pPr>
        <w:pStyle w:val="Heading2"/>
        <w:spacing w:before="360"/>
      </w:pPr>
      <w:r>
        <w:t>Qué se respalda, herramienta, frecuencia, retención y destino</w:t>
      </w:r>
    </w:p>
    <w:p>
      <w:pPr>
        <w:pStyle w:val="Heading2"/>
        <w:spacing w:before="360"/>
      </w:pPr>
      <w:r>
        <w:t>RPO/RTO</w:t>
      </w:r>
    </w:p>
    <w:p>
      <w:pPr>
        <w:pStyle w:val="Heading2"/>
        <w:spacing w:before="360"/>
      </w:pPr>
      <w:r>
        <w:t>Procedimiento de restauración y fecha de la última prueba</w:t>
      </w:r>
    </w:p>
    <w:p>
      <w:pPr>
        <w:pStyle w:val="Heading2"/>
        <w:spacing w:before="360"/>
      </w:pPr>
      <w:r>
        <w:t>Snapshots (si aplica)</w:t>
      </w:r>
    </w:p>
    <w:p>
      <w:pPr>
        <w:pStyle w:val="Heading2"/>
        <w:spacing w:before="360"/>
      </w:pPr>
      <w:r>
        <w:t>Plan de DR o servidor espejo</w:t>
      </w:r>
    </w:p>
    <w:p>
      <w:pPr>
        <w:pStyle w:val="Heading1"/>
        <w:pageBreakBefore/>
        <w:spacing w:after="0"/>
      </w:pPr>
      <w:r>
        <w:t>10. Monitoreo y logging</w:t>
      </w:r>
    </w:p>
    <w:p>
      <w:pPr>
        <w:spacing w:before="0" w:after="280"/>
        <w:pBdr>
          <w:bottom w:val="single" w:sz="6" w:space="1" w:color="E6EAF2"/>
        </w:pBdr>
      </w:pPr>
      <w:r>
        <w:rPr>
          <w:color w:val="E6EAF2"/>
          <w:sz w:val="4"/>
          <w:rFonts w:ascii="Noto Sans" w:hAnsi="Noto Sans" w:cs="Noto Sans" w:eastAsia="Noto Sans"/>
        </w:rPr>
      </w:r>
    </w:p>
    <w:p>
      <w:pPr>
        <w:pStyle w:val="Heading2"/>
        <w:spacing w:before="360"/>
      </w:pPr>
      <w:r>
        <w:t>Herramienta (Zabbix, PRTG, SNMP, etc.) y métricas monitoreadas</w:t>
      </w:r>
    </w:p>
    <w:p>
      <w:pPr>
        <w:pStyle w:val="Heading2"/>
        <w:spacing w:before="360"/>
      </w:pPr>
      <w:r>
        <w:t>Umbrales y alertas, a quién notifican</w:t>
      </w:r>
    </w:p>
    <w:p>
      <w:pPr>
        <w:pStyle w:val="Heading2"/>
        <w:spacing w:before="360"/>
      </w:pPr>
      <w:r>
        <w:t>Envío de logs a SIEM o syslog central</w:t>
      </w:r>
    </w:p>
    <w:p>
      <w:pPr>
        <w:pStyle w:val="Heading2"/>
        <w:spacing w:before="360"/>
      </w:pPr>
      <w:r>
        <w:t>Línea base de desempeño (CPU, RAM, disco, red)</w:t>
      </w:r>
    </w:p>
    <w:p>
      <w:pPr>
        <w:pStyle w:val="Heading1"/>
        <w:pageBreakBefore/>
        <w:spacing w:after="0"/>
      </w:pPr>
      <w:r>
        <w:t>11. Operación</w:t>
      </w:r>
    </w:p>
    <w:p>
      <w:pPr>
        <w:spacing w:before="0" w:after="280"/>
        <w:pBdr>
          <w:bottom w:val="single" w:sz="6" w:space="1" w:color="E6EAF2"/>
        </w:pBdr>
      </w:pPr>
      <w:r>
        <w:rPr>
          <w:color w:val="E6EAF2"/>
          <w:sz w:val="4"/>
          <w:rFonts w:ascii="Noto Sans" w:hAnsi="Noto Sans" w:cs="Noto Sans" w:eastAsia="Noto Sans"/>
        </w:rPr>
      </w:r>
    </w:p>
    <w:p>
      <w:pPr>
        <w:pStyle w:val="Heading2"/>
        <w:spacing w:before="360"/>
      </w:pPr>
      <w:r>
        <w:t>Procedimientos de arranque y apagado ordenado</w:t>
      </w:r>
    </w:p>
    <w:p>
      <w:pPr>
        <w:pStyle w:val="Heading2"/>
        <w:spacing w:before="360"/>
      </w:pPr>
      <w:r>
        <w:t>Tareas programadas (cron, tareas de Windows)</w:t>
      </w:r>
    </w:p>
    <w:p>
      <w:pPr>
        <w:pStyle w:val="Heading2"/>
        <w:spacing w:before="360"/>
      </w:pPr>
      <w:r>
        <w:t>Procedimientos de mantenimiento recurrente</w:t>
      </w:r>
    </w:p>
    <w:p>
      <w:pPr>
        <w:pStyle w:val="Heading2"/>
        <w:spacing w:before="360"/>
      </w:pPr>
      <w:r>
        <w:t>Runbook de incidentes comunes</w:t>
      </w:r>
    </w:p>
    <w:p>
      <w:pPr>
        <w:pStyle w:val="Heading2"/>
        <w:spacing w:before="360"/>
      </w:pPr>
      <w:r>
        <w:t>Matriz de escalamiento y contactos (interno y proveedores)</w:t>
      </w:r>
    </w:p>
    <w:p>
      <w:pPr>
        <w:pStyle w:val="Heading1"/>
        <w:pageBreakBefore/>
        <w:spacing w:after="0"/>
      </w:pPr>
      <w:r>
        <w:t>12. Cumplimiento y gestión</w:t>
      </w:r>
    </w:p>
    <w:p>
      <w:pPr>
        <w:spacing w:before="0" w:after="280"/>
        <w:pBdr>
          <w:bottom w:val="single" w:sz="6" w:space="1" w:color="E6EAF2"/>
        </w:pBdr>
      </w:pPr>
      <w:r>
        <w:rPr>
          <w:color w:val="E6EAF2"/>
          <w:sz w:val="4"/>
          <w:rFonts w:ascii="Noto Sans" w:hAnsi="Noto Sans" w:cs="Noto Sans" w:eastAsia="Noto Sans"/>
        </w:rPr>
      </w:r>
    </w:p>
    <w:p>
      <w:pPr>
        <w:pStyle w:val="Heading2"/>
        <w:spacing w:before="360"/>
      </w:pPr>
      <w:r>
        <w:t>Controles ISO 27001 o normativa aplicable</w:t>
      </w:r>
    </w:p>
    <w:p>
      <w:pPr>
        <w:pStyle w:val="Heading2"/>
        <w:spacing w:before="360"/>
      </w:pPr>
      <w:r>
        <w:t>Riesgos identificados y su tratamiento</w:t>
      </w:r>
    </w:p>
    <w:p>
      <w:pPr>
        <w:pStyle w:val="Heading2"/>
        <w:spacing w:before="360"/>
      </w:pPr>
      <w:r>
        <w:t>Cambios relevantes (referencias RFC/CHG)</w:t>
      </w:r>
    </w:p>
    <w:p>
      <w:pPr>
        <w:pStyle w:val="Heading2"/>
        <w:spacing w:before="360"/>
      </w:pPr>
      <w:r>
        <w:t>Plan de ciclo de vida: fin de soporte de hardware/SO y reemplazo previsto</w:t>
      </w:r>
    </w:p>
    <w:p>
      <w:pPr>
        <w:pStyle w:val="Heading1"/>
        <w:pageBreakBefore/>
        <w:spacing w:after="0"/>
      </w:pPr>
      <w:r>
        <w:t>13. Anexos</w:t>
      </w:r>
    </w:p>
    <w:p>
      <w:pPr>
        <w:spacing w:before="0" w:after="280"/>
        <w:pBdr>
          <w:bottom w:val="single" w:sz="6" w:space="1" w:color="E6EAF2"/>
        </w:pBdr>
      </w:pPr>
      <w:r>
        <w:rPr>
          <w:color w:val="E6EAF2"/>
          <w:sz w:val="4"/>
          <w:rFonts w:ascii="Noto Sans" w:hAnsi="Noto Sans" w:cs="Noto Sans" w:eastAsia="Noto Sans"/>
        </w:rPr>
      </w:r>
    </w:p>
    <w:p>
      <w:pPr>
        <w:pStyle w:val="Heading2"/>
        <w:spacing w:before="360"/>
      </w:pPr>
      <w:r>
        <w:t>Diagramas (red, rack, flujo de datos)</w:t>
      </w:r>
    </w:p>
    <w:p>
      <w:pPr>
        <w:pStyle w:val="Heading2"/>
        <w:spacing w:before="360"/>
      </w:pPr>
      <w:r>
        <w:t>Salidas de comandos como evidencia (lsblk, ip a, ss -tulpn, systemctl list-units, df -h, etc.)</w:t>
      </w:r>
    </w:p>
    <w:p>
      <w:pPr>
        <w:pStyle w:val="Heading2"/>
        <w:spacing w:before="360"/>
      </w:pPr>
      <w:r>
        <w:t>Configuraciones relevantes (sin secretos)</w:t>
      </w:r>
    </w:p>
    <w:p>
      <w:pPr>
        <w:pStyle w:val="Heading2"/>
        <w:spacing w:before="360"/>
      </w:pPr>
      <w:r>
        <w:t>Fotos, contratos y licencias</w:t>
      </w:r>
    </w:p>
    <w:p>
      <w:pPr>
        <w:pStyle w:val="Heading1"/>
        <w:pageBreakBefore/>
        <w:spacing w:after="0"/>
      </w:pPr>
      <w:r>
        <w:t>Recomendaciones</w:t>
      </w:r>
    </w:p>
    <w:p>
      <w:pPr>
        <w:spacing w:before="0" w:after="280"/>
        <w:pBdr>
          <w:bottom w:val="single" w:sz="6" w:space="1" w:color="E6EAF2"/>
        </w:pBdr>
      </w:pPr>
      <w:r>
        <w:rPr>
          <w:color w:val="E6EAF2"/>
          <w:sz w:val="4"/>
          <w:rFonts w:ascii="Noto Sans" w:hAnsi="Noto Sans" w:cs="Noto Sans" w:eastAsia="Noto Sans"/>
        </w:rPr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134" w:right="901" w:bottom="1247" w:left="901" w:header="567" w:footer="17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sz w:val="4"/>
        <w:rFonts w:ascii="Noto Sans" w:hAnsi="Noto Sans" w:cs="Noto Sans" w:eastAsia="Noto Sans"/>
      </w:rPr>
    </w:r>
    <w:r>
      <w:drawing xmlns:a="http://schemas.openxmlformats.org/drawingml/2006/main" xmlns:pic="http://schemas.openxmlformats.org/drawingml/2006/picture">
        <wp:anchor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10170000</wp:posOffset>
          </wp:positionV>
          <wp:extent cx="7560000" cy="334800"/>
          <wp:effectExtent l="0" t="0" r="0" b="0"/>
          <wp:wrapNone/>
          <wp:docPr id="1001" name="banda foote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01" name="banda foote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33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051"/>
      <w:gridCol w:w="5051"/>
    </w:tblGrid>
    <w:tr>
      <w:tc>
        <w:tcPr>
          <w:tcW w:type="dxa" w:w="8736"/>
          <w:tcW w:w="8736" w:type="dxa"/>
        </w:tcPr>
        <w:p>
          <w:pPr>
            <w:spacing w:before="40" w:after="0"/>
          </w:pPr>
          <w:r>
            <w:rPr>
              <w:b/>
              <w:color w:val="FFFFFF"/>
              <w:sz w:val="15"/>
              <w:rFonts w:ascii="Noto Sans" w:hAnsi="Noto Sans" w:cs="Noto Sans" w:eastAsia="Noto Sans"/>
            </w:rPr>
            <w:t>MEMORIA TÉCNICA DEL SERVIDOR</w:t>
          </w:r>
        </w:p>
      </w:tc>
      <w:tc>
        <w:tcPr>
          <w:tcW w:type="dxa" w:w="1366"/>
          <w:tcW w:w="1366" w:type="dxa"/>
        </w:tcPr>
        <w:p>
          <w:pPr>
            <w:spacing w:before="40" w:after="0"/>
            <w:jc w:val="right"/>
          </w:pPr>
          <w:r>
            <w:rPr>
              <w:b/>
              <w:color w:val="FFFFFF"/>
              <w:sz w:val="15"/>
              <w:rFonts w:ascii="Noto Sans" w:hAnsi="Noto Sans" w:cs="Noto Sans" w:eastAsia="Noto Sans"/>
            </w:rPr>
            <w:t xml:space="preserve">Página </w:t>
          </w:r>
          <w:r>
            <w:rPr>
              <w:b/>
              <w:color w:val="FFFFFF"/>
              <w:sz w:val="15"/>
              <w:rFonts w:ascii="Noto Sans" w:hAnsi="Noto Sans" w:cs="Noto Sans" w:eastAsia="Noto Sans"/>
            </w:rPr>
            <w:fldChar w:fldCharType="begin"/>
          </w:r>
          <w:r>
            <w:rPr>
              <w:b/>
              <w:color w:val="FFFFFF"/>
              <w:sz w:val="15"/>
              <w:rFonts w:ascii="Noto Sans" w:hAnsi="Noto Sans" w:cs="Noto Sans" w:eastAsia="Noto Sans"/>
            </w:rPr>
            <w:instrText xml:space="preserve">PAGE</w:instrText>
          </w:r>
          <w:r>
            <w:rPr>
              <w:b/>
              <w:color w:val="FFFFFF"/>
              <w:sz w:val="15"/>
              <w:rFonts w:ascii="Noto Sans" w:hAnsi="Noto Sans" w:cs="Noto Sans" w:eastAsia="Noto Sans"/>
            </w:rPr>
            <w:fldChar w:fldCharType="separate"/>
          </w:r>
          <w:r>
            <w:rPr>
              <w:b/>
              <w:color w:val="FFFFFF"/>
              <w:sz w:val="15"/>
              <w:rFonts w:ascii="Noto Sans" w:hAnsi="Noto Sans" w:cs="Noto Sans" w:eastAsia="Noto Sans"/>
            </w:rPr>
            <w:t>1</w:t>
          </w:r>
          <w:r>
            <w:rPr>
              <w:b/>
              <w:color w:val="FFFFFF"/>
              <w:sz w:val="15"/>
              <w:rFonts w:ascii="Noto Sans" w:hAnsi="Noto Sans" w:cs="Noto Sans" w:eastAsia="Noto Sans"/>
            </w:rPr>
            <w:fldChar w:fldCharType="end"/>
          </w:r>
        </w:p>
      </w:tc>
    </w:tr>
  </w:tbl>
  <w:p>
    <w:pPr>
      <w:spacing w:before="0" w:after="0" w:line="260" w:lineRule="exact"/>
    </w:pPr>
    <w:r>
      <w:rPr>
        <w:color w:val="FFFFFF"/>
        <w:sz w:val="4"/>
        <w:rFonts w:ascii="Noto Sans" w:hAnsi="Noto Sans" w:cs="Noto Sans" w:eastAsia="Noto Sans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sz w:val="4"/>
        <w:rFonts w:ascii="Noto Sans" w:hAnsi="Noto Sans" w:cs="Noto Sans" w:eastAsia="Noto Sans"/>
      </w:rPr>
    </w:r>
    <w:r>
      <w:drawing xmlns:a="http://schemas.openxmlformats.org/drawingml/2006/main" xmlns:pic="http://schemas.openxmlformats.org/drawingml/2006/picture">
        <wp:anchor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10170000</wp:posOffset>
          </wp:positionV>
          <wp:extent cx="7560000" cy="334800"/>
          <wp:effectExtent l="0" t="0" r="0" b="0"/>
          <wp:wrapNone/>
          <wp:docPr id="1002" name="banda foote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02" name="banda foote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33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051"/>
      <w:gridCol w:w="5051"/>
    </w:tblGrid>
    <w:tr>
      <w:tc>
        <w:tcPr>
          <w:tcW w:type="dxa" w:w="8736"/>
          <w:tcW w:w="8736" w:type="dxa"/>
        </w:tcPr>
        <w:p>
          <w:pPr>
            <w:spacing w:before="40" w:after="0"/>
          </w:pPr>
          <w:r>
            <w:rPr>
              <w:b/>
              <w:color w:val="FFFFFF"/>
              <w:sz w:val="15"/>
              <w:rFonts w:ascii="Noto Sans" w:hAnsi="Noto Sans" w:cs="Noto Sans" w:eastAsia="Noto Sans"/>
            </w:rPr>
            <w:t>MEMORIA TÉCNICA DEL SERVIDOR</w:t>
          </w:r>
        </w:p>
      </w:tc>
      <w:tc>
        <w:tcPr>
          <w:tcW w:type="dxa" w:w="1366"/>
          <w:tcW w:w="1366" w:type="dxa"/>
        </w:tcPr>
        <w:p>
          <w:pPr>
            <w:spacing w:before="40" w:after="0"/>
            <w:jc w:val="right"/>
          </w:pPr>
          <w:r>
            <w:rPr>
              <w:b/>
              <w:color w:val="FFFFFF"/>
              <w:sz w:val="15"/>
              <w:rFonts w:ascii="Noto Sans" w:hAnsi="Noto Sans" w:cs="Noto Sans" w:eastAsia="Noto Sans"/>
            </w:rPr>
            <w:t xml:space="preserve">Página </w:t>
          </w:r>
          <w:r>
            <w:rPr>
              <w:b/>
              <w:color w:val="FFFFFF"/>
              <w:sz w:val="15"/>
              <w:rFonts w:ascii="Noto Sans" w:hAnsi="Noto Sans" w:cs="Noto Sans" w:eastAsia="Noto Sans"/>
            </w:rPr>
            <w:fldChar w:fldCharType="begin"/>
          </w:r>
          <w:r>
            <w:rPr>
              <w:b/>
              <w:color w:val="FFFFFF"/>
              <w:sz w:val="15"/>
              <w:rFonts w:ascii="Noto Sans" w:hAnsi="Noto Sans" w:cs="Noto Sans" w:eastAsia="Noto Sans"/>
            </w:rPr>
            <w:instrText xml:space="preserve">PAGE</w:instrText>
          </w:r>
          <w:r>
            <w:rPr>
              <w:b/>
              <w:color w:val="FFFFFF"/>
              <w:sz w:val="15"/>
              <w:rFonts w:ascii="Noto Sans" w:hAnsi="Noto Sans" w:cs="Noto Sans" w:eastAsia="Noto Sans"/>
            </w:rPr>
            <w:fldChar w:fldCharType="separate"/>
          </w:r>
          <w:r>
            <w:rPr>
              <w:b/>
              <w:color w:val="FFFFFF"/>
              <w:sz w:val="15"/>
              <w:rFonts w:ascii="Noto Sans" w:hAnsi="Noto Sans" w:cs="Noto Sans" w:eastAsia="Noto Sans"/>
            </w:rPr>
            <w:t>1</w:t>
          </w:r>
          <w:r>
            <w:rPr>
              <w:b/>
              <w:color w:val="FFFFFF"/>
              <w:sz w:val="15"/>
              <w:rFonts w:ascii="Noto Sans" w:hAnsi="Noto Sans" w:cs="Noto Sans" w:eastAsia="Noto Sans"/>
            </w:rPr>
            <w:fldChar w:fldCharType="end"/>
          </w:r>
        </w:p>
      </w:tc>
    </w:tr>
  </w:tbl>
  <w:p>
    <w:pPr>
      <w:spacing w:before="0" w:after="0" w:line="260" w:lineRule="exact"/>
    </w:pPr>
    <w:r>
      <w:rPr>
        <w:color w:val="FFFFFF"/>
        <w:sz w:val="4"/>
        <w:rFonts w:ascii="Noto Sans" w:hAnsi="Noto Sans" w:cs="Noto Sans" w:eastAsia="Noto Sans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  <w:pBdr>
        <w:bottom w:val="single" w:sz="6" w:space="1" w:color="E6EAF2"/>
      </w:pBdr>
    </w:pPr>
    <w:r/>
    <w:r>
      <w:drawing>
        <wp:inline xmlns:a="http://schemas.openxmlformats.org/drawingml/2006/main" xmlns:pic="http://schemas.openxmlformats.org/drawingml/2006/picture">
          <wp:extent cx="1296000" cy="8181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mxl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8181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E6EAF2"/>
        <w:sz w:val="4"/>
        <w:rFonts w:ascii="Noto Sans" w:hAnsi="Noto Sans" w:cs="Noto Sans" w:eastAsia="Noto Sans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E6EAF2"/>
      </w:pBdr>
    </w:pPr>
    <w:r>
      <w:rPr>
        <w:color w:val="E6EAF2"/>
        <w:sz w:val="4"/>
        <w:rFonts w:ascii="Noto Sans" w:hAnsi="Noto Sans" w:cs="Noto Sans" w:eastAsia="Noto Sans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40" w:lineRule="auto"/>
    </w:pPr>
    <w:rPr>
      <w:rFonts w:ascii="Noto Sans" w:hAnsi="Noto Sans"/>
      <w:sz w:val="26"/>
      <w:rFonts w:ascii="Noto Sans" w:hAnsi="Noto Sans" w:cs="Noto Sans" w:eastAsia="Noto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B2559"/>
      <w:sz w:val="34"/>
      <w:szCs w:val="28"/>
      <w:rFonts w:ascii="Noto Sans" w:hAnsi="Noto Sans" w:cs="Noto Sans" w:eastAsia="Noto San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3B5BFF"/>
      <w:sz w:val="26"/>
      <w:szCs w:val="26"/>
      <w:rFonts w:ascii="Noto Sans" w:hAnsi="Noto Sans" w:cs="Noto Sans" w:eastAsia="Noto San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