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drawing>
          <wp:inline xmlns:a="http://schemas.openxmlformats.org/drawingml/2006/main" xmlns:pic="http://schemas.openxmlformats.org/drawingml/2006/picture">
            <wp:extent cx="6007607" cy="8497857"/>
            <wp:docPr id="1" name="Picture 1"/>
            <wp:cNvGraphicFramePr>
              <a:graphicFrameLocks noChangeAspect="1"/>
            </wp:cNvGraphicFramePr>
            <a:graphic>
              <a:graphicData uri="http://schemas.openxmlformats.org/drawingml/2006/picture">
                <pic:pic>
                  <pic:nvPicPr>
                    <pic:cNvPr id="0" name="mk_cover.png"/>
                    <pic:cNvPicPr/>
                  </pic:nvPicPr>
                  <pic:blipFill>
                    <a:blip r:embed="rId9"/>
                    <a:stretch>
                      <a:fillRect/>
                    </a:stretch>
                  </pic:blipFill>
                  <pic:spPr>
                    <a:xfrm>
                      <a:off x="0" y="0"/>
                      <a:ext cx="6007607" cy="8497857"/>
                    </a:xfrm>
                    <a:prstGeom prst="rect"/>
                  </pic:spPr>
                </pic:pic>
              </a:graphicData>
            </a:graphic>
          </wp:inline>
        </w:drawing>
      </w:r>
    </w:p>
    <w:p>
      <w:r>
        <w:br w:type="page"/>
      </w:r>
    </w:p>
    <w:p>
      <w:pPr>
        <w:spacing w:before="200" w:after="40"/>
      </w:pPr>
      <w:r>
        <w:rPr>
          <w:rFonts w:ascii="Space Mono" w:hAnsi="Space Mono" w:cs="Space Mono"/>
          <w:b/>
          <w:color w:val="0E7C86"/>
          <w:sz w:val="18"/>
        </w:rPr>
        <w:t>&gt;_ CÓMO USAR ESTE DOCUMENTO</w:t>
      </w:r>
    </w:p>
    <w:p>
      <w:pPr>
        <w:spacing w:after="0"/>
      </w:pPr>
    </w:p>
    <w:p>
      <w:pPr>
        <w:pStyle w:val="Heading1"/>
        <w:spacing w:before="80" w:after="80"/>
        <w:pBdr>
          <w:bottom w:val="single" w:sz="6" w:space="4" w:color="0E7C86"/>
        </w:pBdr>
      </w:pPr>
      <w:r>
        <w:rPr>
          <w:rFonts w:ascii="Space Mono" w:hAnsi="Space Mono" w:cs="Space Mono"/>
          <w:b/>
          <w:color w:val="0E7C86"/>
          <w:sz w:val="36"/>
        </w:rPr>
        <w:t xml:space="preserve">0  </w:t>
      </w:r>
      <w:r>
        <w:rPr>
          <w:rFonts w:ascii="Space Mono" w:hAnsi="Space Mono" w:cs="Space Mono"/>
          <w:b/>
          <w:color w:val="14181B"/>
          <w:sz w:val="36"/>
        </w:rPr>
        <w:t>Resumen y guía de lectura</w:t>
      </w:r>
    </w:p>
    <w:p>
      <w:pPr>
        <w:spacing w:after="120" w:before="0"/>
      </w:pPr>
      <w:r>
        <w:rPr>
          <w:rFonts w:ascii="Noto Sans" w:hAnsi="Noto Sans" w:cs="Noto Sans"/>
          <w:b w:val="0"/>
          <w:i w:val="0"/>
          <w:color w:val="14181B"/>
          <w:sz w:val="21"/>
        </w:rPr>
        <w:t>Este documento es el brief de diseño para la nueva web de ISN Labs. Contiene, para cada página, un mockup de alta fidelidad (wireframe visual con el aspecto final), su copy, la estructura de secciones, las llamadas a la acción (CTA), el SEO y las notas de implementación para el equipo de desarrollo.</w:t>
      </w:r>
    </w:p>
    <w:p>
      <w:pPr>
        <w:spacing w:after="120" w:before="0"/>
      </w:pPr>
      <w:r>
        <w:rPr>
          <w:rFonts w:ascii="Noto Sans" w:hAnsi="Noto Sans" w:cs="Noto Sans"/>
          <w:b w:val="0"/>
          <w:i w:val="0"/>
          <w:color w:val="14181B"/>
          <w:sz w:val="21"/>
        </w:rPr>
        <w:t>Los mockups son orientativos a nivel de píxel: fijan jerarquía, tono y componentes, no medidas exactas. La maquetación final debe ser responsive y respetar el sistema de diseño de la sección 1.</w:t>
      </w:r>
    </w:p>
    <w:p>
      <w:pPr>
        <w:spacing w:before="200" w:after="60"/>
      </w:pPr>
      <w:r>
        <w:rPr>
          <w:rFonts w:ascii="Space Mono" w:hAnsi="Space Mono" w:cs="Space Mono"/>
          <w:b/>
          <w:color w:val="14181B"/>
          <w:sz w:val="26"/>
        </w:rPr>
        <w:t>Qué incluye</w:t>
      </w:r>
    </w:p>
    <w:p>
      <w:pPr>
        <w:pStyle w:val="ListBullet"/>
        <w:spacing w:after="40"/>
      </w:pPr>
      <w:r>
        <w:rPr>
          <w:b/>
          <w:color w:val="0E7C86"/>
          <w:sz w:val="21"/>
        </w:rPr>
        <w:t xml:space="preserve">Sistema de diseño — </w:t>
      </w:r>
      <w:r>
        <w:rPr>
          <w:color w:val="14181B"/>
          <w:sz w:val="21"/>
        </w:rPr>
        <w:t>tokens de color, tipografía y componentes reutilizables.</w:t>
      </w:r>
    </w:p>
    <w:p>
      <w:pPr>
        <w:pStyle w:val="ListBullet"/>
        <w:spacing w:after="40"/>
      </w:pPr>
      <w:r>
        <w:rPr>
          <w:b/>
          <w:color w:val="0E7C86"/>
          <w:sz w:val="21"/>
        </w:rPr>
        <w:t xml:space="preserve">Arquitectura del sitio — </w:t>
      </w:r>
      <w:r>
        <w:rPr>
          <w:color w:val="14181B"/>
          <w:sz w:val="21"/>
        </w:rPr>
        <w:t>mapa de páginas, navegación y estructura SEO.</w:t>
      </w:r>
    </w:p>
    <w:p>
      <w:pPr>
        <w:pStyle w:val="ListBullet"/>
        <w:spacing w:after="40"/>
      </w:pPr>
      <w:r>
        <w:rPr>
          <w:b/>
          <w:color w:val="0E7C86"/>
          <w:sz w:val="21"/>
        </w:rPr>
        <w:t xml:space="preserve">8 páginas — </w:t>
      </w:r>
      <w:r>
        <w:rPr>
          <w:color w:val="14181B"/>
          <w:sz w:val="21"/>
        </w:rPr>
        <w:t>Home, MSSP (IT/OT), GRC, Licencias, Sectores, Insights, Compañía y Contacto.</w:t>
      </w:r>
    </w:p>
    <w:p>
      <w:pPr>
        <w:pStyle w:val="ListBullet"/>
        <w:spacing w:after="40"/>
      </w:pPr>
      <w:r>
        <w:rPr>
          <w:b/>
          <w:color w:val="0E7C86"/>
          <w:sz w:val="21"/>
        </w:rPr>
        <w:t xml:space="preserve">Especificación del formulario </w:t>
      </w:r>
      <w:r>
        <w:rPr>
          <w:color w:val="14181B"/>
          <w:sz w:val="21"/>
        </w:rPr>
        <w:t>de contacto (campos, validación e integración).</w:t>
      </w:r>
    </w:p>
    <w:p>
      <w:pPr>
        <w:pStyle w:val="ListBullet"/>
        <w:spacing w:after="40"/>
      </w:pPr>
      <w:r>
        <w:rPr>
          <w:b/>
          <w:color w:val="0E7C86"/>
          <w:sz w:val="21"/>
        </w:rPr>
        <w:t xml:space="preserve">Notas técnicas — </w:t>
      </w:r>
      <w:r>
        <w:rPr>
          <w:color w:val="14181B"/>
          <w:sz w:val="21"/>
        </w:rPr>
        <w:t>stack sugerido, responsive, accesibilidad, rendimiento y analítica.</w:t>
      </w:r>
    </w:p>
    <w:p>
      <w:pPr>
        <w:spacing w:before="200" w:after="60"/>
      </w:pPr>
      <w:r>
        <w:rPr>
          <w:rFonts w:ascii="Space Mono" w:hAnsi="Space Mono" w:cs="Space Mono"/>
          <w:b/>
          <w:color w:val="14181B"/>
          <w:sz w:val="26"/>
        </w:rPr>
        <w:t>Principios de marca (resumen)</w:t>
      </w:r>
    </w:p>
    <w:p>
      <w:pPr>
        <w:pStyle w:val="ListBullet"/>
        <w:spacing w:after="40"/>
      </w:pPr>
      <w:r>
        <w:rPr>
          <w:color w:val="14181B"/>
          <w:sz w:val="21"/>
        </w:rPr>
        <w:t>Estética minimalista y técnica: fondo oscuro (dark-first), Space Mono + Noto Sans, mucho aire.</w:t>
      </w:r>
    </w:p>
    <w:p>
      <w:pPr>
        <w:pStyle w:val="ListBullet"/>
        <w:spacing w:after="40"/>
      </w:pPr>
      <w:r>
        <w:rPr>
          <w:color w:val="14181B"/>
          <w:sz w:val="21"/>
        </w:rPr>
        <w:t>Paleta monocroma + dos acentos: cian (destacar / enlaces) y verde (OK / CTA / SentryN3t).</w:t>
      </w:r>
    </w:p>
    <w:p>
      <w:pPr>
        <w:pStyle w:val="ListBullet"/>
        <w:spacing w:after="40"/>
      </w:pPr>
      <w:r>
        <w:rPr>
          <w:color w:val="14181B"/>
          <w:sz w:val="21"/>
        </w:rPr>
        <w:t>Tono: preciso, sobrio, seguridad sin alarmismo. Sin humo comercial ni tecnicismos vacíos.</w:t>
      </w:r>
    </w:p>
    <w:p>
      <w:pPr>
        <w:pStyle w:val="ListBullet"/>
        <w:spacing w:after="40"/>
      </w:pPr>
      <w:r>
        <w:rPr>
          <w:color w:val="14181B"/>
          <w:sz w:val="21"/>
        </w:rPr>
        <w:t>Claim de marca: «Cybersecurity, IA &amp; Innovation». Nombre público: ISN Labs.</w:t>
      </w:r>
    </w:p>
    <w:p>
      <w:pPr>
        <w:spacing w:after="120" w:before="0"/>
      </w:pPr>
      <w:r>
        <w:rPr>
          <w:rFonts w:ascii="Noto Sans" w:hAnsi="Noto Sans" w:cs="Noto Sans"/>
          <w:b w:val="0"/>
          <w:i/>
          <w:color w:val="545E66"/>
          <w:sz w:val="19"/>
        </w:rPr>
        <w:t>Nota: el acento de color (cian + verde sobre negro) replica el one-pager de inversión aprobado. Si se prefiere una única versión monocroma para algún soporte, es un cambio trivial de tokens.</w:t>
      </w:r>
    </w:p>
    <w:p>
      <w:r>
        <w:br w:type="page"/>
      </w:r>
    </w:p>
    <w:p>
      <w:pPr>
        <w:spacing w:before="200" w:after="40"/>
      </w:pPr>
      <w:r>
        <w:rPr>
          <w:rFonts w:ascii="Space Mono" w:hAnsi="Space Mono" w:cs="Space Mono"/>
          <w:b/>
          <w:color w:val="0E7C86"/>
          <w:sz w:val="18"/>
        </w:rPr>
        <w:t>&gt;_ FUNDAMENTOS</w:t>
      </w:r>
    </w:p>
    <w:p>
      <w:pPr>
        <w:spacing w:after="0"/>
      </w:pPr>
    </w:p>
    <w:p>
      <w:pPr>
        <w:pStyle w:val="Heading1"/>
        <w:spacing w:before="80" w:after="80"/>
        <w:pBdr>
          <w:bottom w:val="single" w:sz="6" w:space="4" w:color="0E7C86"/>
        </w:pBdr>
      </w:pPr>
      <w:r>
        <w:rPr>
          <w:rFonts w:ascii="Space Mono" w:hAnsi="Space Mono" w:cs="Space Mono"/>
          <w:b/>
          <w:color w:val="0E7C86"/>
          <w:sz w:val="36"/>
        </w:rPr>
        <w:t xml:space="preserve">1  </w:t>
      </w:r>
      <w:r>
        <w:rPr>
          <w:rFonts w:ascii="Space Mono" w:hAnsi="Space Mono" w:cs="Space Mono"/>
          <w:b/>
          <w:color w:val="14181B"/>
          <w:sz w:val="36"/>
        </w:rPr>
        <w:t>Sistema de diseño</w:t>
      </w:r>
    </w:p>
    <w:p>
      <w:pPr>
        <w:spacing w:after="120" w:before="0"/>
      </w:pPr>
      <w:r>
        <w:rPr>
          <w:rFonts w:ascii="Noto Sans" w:hAnsi="Noto Sans" w:cs="Noto Sans"/>
          <w:b w:val="0"/>
          <w:i w:val="0"/>
          <w:color w:val="14181B"/>
          <w:sz w:val="21"/>
        </w:rPr>
        <w:t>Estos tokens y componentes son la fuente de verdad. Toda página se construye combinándolos.</w:t>
      </w:r>
    </w:p>
    <w:p>
      <w:pPr>
        <w:spacing w:before="120" w:after="40"/>
        <w:jc w:val="center"/>
      </w:pPr>
      <w:r>
        <w:drawing>
          <wp:inline xmlns:a="http://schemas.openxmlformats.org/drawingml/2006/main" xmlns:pic="http://schemas.openxmlformats.org/drawingml/2006/picture">
            <wp:extent cx="6007607" cy="5949200"/>
            <wp:docPr id="2" name="Picture 2"/>
            <wp:cNvGraphicFramePr>
              <a:graphicFrameLocks noChangeAspect="1"/>
            </wp:cNvGraphicFramePr>
            <a:graphic>
              <a:graphicData uri="http://schemas.openxmlformats.org/drawingml/2006/picture">
                <pic:pic>
                  <pic:nvPicPr>
                    <pic:cNvPr id="0" name="mk_ds.png"/>
                    <pic:cNvPicPr/>
                  </pic:nvPicPr>
                  <pic:blipFill>
                    <a:blip r:embed="rId10"/>
                    <a:stretch>
                      <a:fillRect/>
                    </a:stretch>
                  </pic:blipFill>
                  <pic:spPr>
                    <a:xfrm>
                      <a:off x="0" y="0"/>
                      <a:ext cx="6007607" cy="5949200"/>
                    </a:xfrm>
                    <a:prstGeom prst="rect"/>
                  </pic:spPr>
                </pic:pic>
              </a:graphicData>
            </a:graphic>
          </wp:inline>
        </w:drawing>
      </w:r>
    </w:p>
    <w:p>
      <w:pPr>
        <w:spacing w:after="160"/>
        <w:jc w:val="center"/>
      </w:pPr>
      <w:r>
        <w:rPr>
          <w:i/>
          <w:color w:val="8A9399"/>
          <w:sz w:val="17"/>
        </w:rPr>
        <w:t>Tablero de sistema de diseño: color, tipografía y componentes.</w:t>
      </w:r>
    </w:p>
    <w:p>
      <w:pPr>
        <w:spacing w:before="200" w:after="60"/>
      </w:pPr>
      <w:r>
        <w:rPr>
          <w:rFonts w:ascii="Space Mono" w:hAnsi="Space Mono" w:cs="Space Mono"/>
          <w:b/>
          <w:color w:val="14181B"/>
          <w:sz w:val="26"/>
        </w:rPr>
        <w:t>Tokens de color</w:t>
      </w:r>
    </w:p>
    <w:tbl>
      <w:tblPr>
        <w:tblStyle w:val="TableGrid"/>
        <w:tblW w:type="auto" w:w="0"/>
        <w:jc w:val="center"/>
        <w:tblLook w:firstColumn="1" w:firstRow="1" w:lastColumn="0" w:lastRow="0" w:noHBand="0" w:noVBand="1" w:val="04A0"/>
      </w:tblPr>
      <w:tblGrid>
        <w:gridCol w:w="3154"/>
        <w:gridCol w:w="3154"/>
        <w:gridCol w:w="3154"/>
      </w:tblGrid>
      <w:tr>
        <w:tc>
          <w:tcPr>
            <w:tcW w:type="dxa" w:w="1584"/>
            <w:shd w:val="clear" w:fill="123B40"/>
          </w:tcPr>
          <w:p>
            <w:pPr>
              <w:spacing w:after="20"/>
            </w:pPr>
            <w:r>
              <w:rPr>
                <w:rFonts w:ascii="Space Mono" w:hAnsi="Space Mono" w:cs="Space Mono"/>
                <w:b/>
                <w:color w:val="FFFFFF"/>
                <w:sz w:val="18"/>
              </w:rPr>
              <w:t>Rol</w:t>
            </w:r>
          </w:p>
        </w:tc>
        <w:tc>
          <w:tcPr>
            <w:tcW w:type="dxa" w:w="1584"/>
            <w:shd w:val="clear" w:fill="123B40"/>
          </w:tcPr>
          <w:p>
            <w:pPr>
              <w:spacing w:after="20"/>
            </w:pPr>
            <w:r>
              <w:rPr>
                <w:rFonts w:ascii="Space Mono" w:hAnsi="Space Mono" w:cs="Space Mono"/>
                <w:b/>
                <w:color w:val="FFFFFF"/>
                <w:sz w:val="18"/>
              </w:rPr>
              <w:t>HEX</w:t>
            </w:r>
          </w:p>
        </w:tc>
        <w:tc>
          <w:tcPr>
            <w:tcW w:type="dxa" w:w="6293"/>
            <w:shd w:val="clear" w:fill="123B40"/>
          </w:tcPr>
          <w:p>
            <w:pPr>
              <w:spacing w:after="20"/>
            </w:pPr>
            <w:r>
              <w:rPr>
                <w:rFonts w:ascii="Space Mono" w:hAnsi="Space Mono" w:cs="Space Mono"/>
                <w:b/>
                <w:color w:val="FFFFFF"/>
                <w:sz w:val="18"/>
              </w:rPr>
              <w:t>Uso</w:t>
            </w:r>
          </w:p>
        </w:tc>
      </w:tr>
      <w:tr>
        <w:tc>
          <w:tcPr>
            <w:tcW w:type="dxa" w:w="1584"/>
          </w:tcPr>
          <w:p>
            <w:pPr>
              <w:spacing w:after="20"/>
            </w:pPr>
            <w:r>
              <w:rPr>
                <w:b/>
                <w:color w:val="14181B"/>
                <w:sz w:val="18"/>
              </w:rPr>
              <w:t>Fondo</w:t>
            </w:r>
          </w:p>
        </w:tc>
        <w:tc>
          <w:tcPr>
            <w:tcW w:type="dxa" w:w="1584"/>
          </w:tcPr>
          <w:p>
            <w:pPr>
              <w:spacing w:after="20"/>
            </w:pPr>
            <w:r>
              <w:rPr>
                <w:color w:val="333A40"/>
                <w:sz w:val="18"/>
              </w:rPr>
              <w:t>#0D0F11</w:t>
            </w:r>
          </w:p>
        </w:tc>
        <w:tc>
          <w:tcPr>
            <w:tcW w:type="dxa" w:w="6293"/>
          </w:tcPr>
          <w:p>
            <w:pPr>
              <w:spacing w:after="20"/>
            </w:pPr>
            <w:r>
              <w:rPr>
                <w:color w:val="333A40"/>
                <w:sz w:val="18"/>
              </w:rPr>
              <w:t>Fondo base de todas las páginas (dark-first).</w:t>
            </w:r>
          </w:p>
        </w:tc>
      </w:tr>
      <w:tr>
        <w:tc>
          <w:tcPr>
            <w:tcW w:type="dxa" w:w="1584"/>
          </w:tcPr>
          <w:p>
            <w:pPr>
              <w:spacing w:after="20"/>
            </w:pPr>
            <w:r>
              <w:rPr>
                <w:b/>
                <w:color w:val="14181B"/>
                <w:sz w:val="18"/>
              </w:rPr>
              <w:t>Panel</w:t>
            </w:r>
          </w:p>
        </w:tc>
        <w:tc>
          <w:tcPr>
            <w:tcW w:type="dxa" w:w="1584"/>
          </w:tcPr>
          <w:p>
            <w:pPr>
              <w:spacing w:after="20"/>
            </w:pPr>
            <w:r>
              <w:rPr>
                <w:color w:val="333A40"/>
                <w:sz w:val="18"/>
              </w:rPr>
              <w:t>#121518</w:t>
            </w:r>
          </w:p>
        </w:tc>
        <w:tc>
          <w:tcPr>
            <w:tcW w:type="dxa" w:w="6293"/>
          </w:tcPr>
          <w:p>
            <w:pPr>
              <w:spacing w:after="20"/>
            </w:pPr>
            <w:r>
              <w:rPr>
                <w:color w:val="333A40"/>
                <w:sz w:val="18"/>
              </w:rPr>
              <w:t>Bandas y secciones destacadas.</w:t>
            </w:r>
          </w:p>
        </w:tc>
      </w:tr>
      <w:tr>
        <w:tc>
          <w:tcPr>
            <w:tcW w:type="dxa" w:w="1584"/>
          </w:tcPr>
          <w:p>
            <w:pPr>
              <w:spacing w:after="20"/>
            </w:pPr>
            <w:r>
              <w:rPr>
                <w:b/>
                <w:color w:val="14181B"/>
                <w:sz w:val="18"/>
              </w:rPr>
              <w:t>Card</w:t>
            </w:r>
          </w:p>
        </w:tc>
        <w:tc>
          <w:tcPr>
            <w:tcW w:type="dxa" w:w="1584"/>
          </w:tcPr>
          <w:p>
            <w:pPr>
              <w:spacing w:after="20"/>
            </w:pPr>
            <w:r>
              <w:rPr>
                <w:color w:val="333A40"/>
                <w:sz w:val="18"/>
              </w:rPr>
              <w:t>#161A1E</w:t>
            </w:r>
          </w:p>
        </w:tc>
        <w:tc>
          <w:tcPr>
            <w:tcW w:type="dxa" w:w="6293"/>
          </w:tcPr>
          <w:p>
            <w:pPr>
              <w:spacing w:after="20"/>
            </w:pPr>
            <w:r>
              <w:rPr>
                <w:color w:val="333A40"/>
                <w:sz w:val="18"/>
              </w:rPr>
              <w:t>Tarjetas de servicio, precio, artículo.</w:t>
            </w:r>
          </w:p>
        </w:tc>
      </w:tr>
      <w:tr>
        <w:tc>
          <w:tcPr>
            <w:tcW w:type="dxa" w:w="1584"/>
          </w:tcPr>
          <w:p>
            <w:pPr>
              <w:spacing w:after="20"/>
            </w:pPr>
            <w:r>
              <w:rPr>
                <w:b/>
                <w:color w:val="14181B"/>
                <w:sz w:val="18"/>
              </w:rPr>
              <w:t>Borde</w:t>
            </w:r>
          </w:p>
        </w:tc>
        <w:tc>
          <w:tcPr>
            <w:tcW w:type="dxa" w:w="1584"/>
          </w:tcPr>
          <w:p>
            <w:pPr>
              <w:spacing w:after="20"/>
            </w:pPr>
            <w:r>
              <w:rPr>
                <w:color w:val="333A40"/>
                <w:sz w:val="18"/>
              </w:rPr>
              <w:t>#262D33</w:t>
            </w:r>
          </w:p>
        </w:tc>
        <w:tc>
          <w:tcPr>
            <w:tcW w:type="dxa" w:w="6293"/>
          </w:tcPr>
          <w:p>
            <w:pPr>
              <w:spacing w:after="20"/>
            </w:pPr>
            <w:r>
              <w:rPr>
                <w:color w:val="333A40"/>
                <w:sz w:val="18"/>
              </w:rPr>
              <w:t>Bordes de 1px de tarjetas y campos.</w:t>
            </w:r>
          </w:p>
        </w:tc>
      </w:tr>
      <w:tr>
        <w:tc>
          <w:tcPr>
            <w:tcW w:type="dxa" w:w="1584"/>
          </w:tcPr>
          <w:p>
            <w:pPr>
              <w:spacing w:after="20"/>
            </w:pPr>
            <w:r>
              <w:rPr>
                <w:b/>
                <w:color w:val="14181B"/>
                <w:sz w:val="18"/>
              </w:rPr>
              <w:t>Texto</w:t>
            </w:r>
          </w:p>
        </w:tc>
        <w:tc>
          <w:tcPr>
            <w:tcW w:type="dxa" w:w="1584"/>
          </w:tcPr>
          <w:p>
            <w:pPr>
              <w:spacing w:after="20"/>
            </w:pPr>
            <w:r>
              <w:rPr>
                <w:color w:val="333A40"/>
                <w:sz w:val="18"/>
              </w:rPr>
              <w:t>#E9EDF0</w:t>
            </w:r>
          </w:p>
        </w:tc>
        <w:tc>
          <w:tcPr>
            <w:tcW w:type="dxa" w:w="6293"/>
          </w:tcPr>
          <w:p>
            <w:pPr>
              <w:spacing w:after="20"/>
            </w:pPr>
            <w:r>
              <w:rPr>
                <w:color w:val="333A40"/>
                <w:sz w:val="18"/>
              </w:rPr>
              <w:t>Texto principal.</w:t>
            </w:r>
          </w:p>
        </w:tc>
      </w:tr>
      <w:tr>
        <w:tc>
          <w:tcPr>
            <w:tcW w:type="dxa" w:w="1584"/>
          </w:tcPr>
          <w:p>
            <w:pPr>
              <w:spacing w:after="20"/>
            </w:pPr>
            <w:r>
              <w:rPr>
                <w:b/>
                <w:color w:val="14181B"/>
                <w:sz w:val="18"/>
              </w:rPr>
              <w:t>Texto sec.</w:t>
            </w:r>
          </w:p>
        </w:tc>
        <w:tc>
          <w:tcPr>
            <w:tcW w:type="dxa" w:w="1584"/>
          </w:tcPr>
          <w:p>
            <w:pPr>
              <w:spacing w:after="20"/>
            </w:pPr>
            <w:r>
              <w:rPr>
                <w:color w:val="333A40"/>
                <w:sz w:val="18"/>
              </w:rPr>
              <w:t>#8C969E</w:t>
            </w:r>
          </w:p>
        </w:tc>
        <w:tc>
          <w:tcPr>
            <w:tcW w:type="dxa" w:w="6293"/>
          </w:tcPr>
          <w:p>
            <w:pPr>
              <w:spacing w:after="20"/>
            </w:pPr>
            <w:r>
              <w:rPr>
                <w:color w:val="333A40"/>
                <w:sz w:val="18"/>
              </w:rPr>
              <w:t>Texto secundario / descripciones.</w:t>
            </w:r>
          </w:p>
        </w:tc>
      </w:tr>
      <w:tr>
        <w:tc>
          <w:tcPr>
            <w:tcW w:type="dxa" w:w="1584"/>
          </w:tcPr>
          <w:p>
            <w:pPr>
              <w:spacing w:after="20"/>
            </w:pPr>
            <w:r>
              <w:rPr>
                <w:b/>
                <w:color w:val="14181B"/>
                <w:sz w:val="18"/>
              </w:rPr>
              <w:t>Cian (acento)</w:t>
            </w:r>
          </w:p>
        </w:tc>
        <w:tc>
          <w:tcPr>
            <w:tcW w:type="dxa" w:w="1584"/>
          </w:tcPr>
          <w:p>
            <w:pPr>
              <w:spacing w:after="20"/>
            </w:pPr>
            <w:r>
              <w:rPr>
                <w:color w:val="333A40"/>
                <w:sz w:val="18"/>
              </w:rPr>
              <w:t>#5BD8E8</w:t>
            </w:r>
          </w:p>
        </w:tc>
        <w:tc>
          <w:tcPr>
            <w:tcW w:type="dxa" w:w="6293"/>
          </w:tcPr>
          <w:p>
            <w:pPr>
              <w:spacing w:after="20"/>
            </w:pPr>
            <w:r>
              <w:rPr>
                <w:color w:val="333A40"/>
                <w:sz w:val="18"/>
              </w:rPr>
              <w:t>Destacados, enlaces, MSSP, datos.</w:t>
            </w:r>
          </w:p>
        </w:tc>
      </w:tr>
      <w:tr>
        <w:tc>
          <w:tcPr>
            <w:tcW w:type="dxa" w:w="1584"/>
          </w:tcPr>
          <w:p>
            <w:pPr>
              <w:spacing w:after="20"/>
            </w:pPr>
            <w:r>
              <w:rPr>
                <w:b/>
                <w:color w:val="14181B"/>
                <w:sz w:val="18"/>
              </w:rPr>
              <w:t>Verde (OK/CTA)</w:t>
            </w:r>
          </w:p>
        </w:tc>
        <w:tc>
          <w:tcPr>
            <w:tcW w:type="dxa" w:w="1584"/>
          </w:tcPr>
          <w:p>
            <w:pPr>
              <w:spacing w:after="20"/>
            </w:pPr>
            <w:r>
              <w:rPr>
                <w:color w:val="333A40"/>
                <w:sz w:val="18"/>
              </w:rPr>
              <w:t>#00E48D</w:t>
            </w:r>
          </w:p>
        </w:tc>
        <w:tc>
          <w:tcPr>
            <w:tcW w:type="dxa" w:w="6293"/>
          </w:tcPr>
          <w:p>
            <w:pPr>
              <w:spacing w:after="20"/>
            </w:pPr>
            <w:r>
              <w:rPr>
                <w:color w:val="333A40"/>
                <w:sz w:val="18"/>
              </w:rPr>
              <w:t>Botón primario, positivos, SentryN3t/GRC.</w:t>
            </w:r>
          </w:p>
        </w:tc>
      </w:tr>
      <w:tr>
        <w:tc>
          <w:tcPr>
            <w:tcW w:type="dxa" w:w="1584"/>
          </w:tcPr>
          <w:p>
            <w:pPr>
              <w:spacing w:after="20"/>
            </w:pPr>
            <w:r>
              <w:rPr>
                <w:b/>
                <w:color w:val="14181B"/>
                <w:sz w:val="18"/>
              </w:rPr>
              <w:t>Alerta</w:t>
            </w:r>
          </w:p>
        </w:tc>
        <w:tc>
          <w:tcPr>
            <w:tcW w:type="dxa" w:w="1584"/>
          </w:tcPr>
          <w:p>
            <w:pPr>
              <w:spacing w:after="20"/>
            </w:pPr>
            <w:r>
              <w:rPr>
                <w:color w:val="333A40"/>
                <w:sz w:val="18"/>
              </w:rPr>
              <w:t>#E87878</w:t>
            </w:r>
          </w:p>
        </w:tc>
        <w:tc>
          <w:tcPr>
            <w:tcW w:type="dxa" w:w="6293"/>
          </w:tcPr>
          <w:p>
            <w:pPr>
              <w:spacing w:after="20"/>
            </w:pPr>
            <w:r>
              <w:rPr>
                <w:color w:val="333A40"/>
                <w:sz w:val="18"/>
              </w:rPr>
              <w:t>Estados de error o incidente.</w:t>
            </w:r>
          </w:p>
        </w:tc>
      </w:tr>
    </w:tbl>
    <w:p>
      <w:pPr>
        <w:spacing w:after="40"/>
      </w:pPr>
    </w:p>
    <w:p>
      <w:pPr>
        <w:spacing w:before="200" w:after="60"/>
      </w:pPr>
      <w:r>
        <w:rPr>
          <w:rFonts w:ascii="Space Mono" w:hAnsi="Space Mono" w:cs="Space Mono"/>
          <w:b/>
          <w:color w:val="14181B"/>
          <w:sz w:val="26"/>
        </w:rPr>
        <w:t>Tipografía</w:t>
      </w:r>
    </w:p>
    <w:p>
      <w:pPr>
        <w:pStyle w:val="ListBullet"/>
        <w:spacing w:after="40"/>
      </w:pPr>
      <w:r>
        <w:rPr>
          <w:b/>
          <w:color w:val="0E7C86"/>
          <w:sz w:val="21"/>
        </w:rPr>
        <w:t xml:space="preserve">Familia — </w:t>
      </w:r>
      <w:r>
        <w:rPr>
          <w:color w:val="14181B"/>
          <w:sz w:val="21"/>
        </w:rPr>
        <w:t>Space Mono para titulares, kickers, datos, botones y etiquetas; Noto Sans para el texto de cuerpo. Ambas de Google Fonts, self-hosted en producción (woff2).</w:t>
      </w:r>
    </w:p>
    <w:p>
      <w:pPr>
        <w:pStyle w:val="ListBullet"/>
        <w:spacing w:after="40"/>
      </w:pPr>
      <w:r>
        <w:rPr>
          <w:b/>
          <w:color w:val="0E7C86"/>
          <w:sz w:val="21"/>
        </w:rPr>
        <w:t xml:space="preserve">Escala — </w:t>
      </w:r>
      <w:r>
        <w:rPr>
          <w:color w:val="14181B"/>
          <w:sz w:val="21"/>
        </w:rPr>
        <w:t>Display 44–58 / Título 28–30 / Subtítulo 18 / Cuerpo 15–16 / Kicker y etiquetas 11–13 en mayúsculas.</w:t>
      </w:r>
    </w:p>
    <w:p>
      <w:pPr>
        <w:pStyle w:val="ListBullet"/>
        <w:spacing w:after="40"/>
      </w:pPr>
      <w:r>
        <w:rPr>
          <w:b/>
          <w:color w:val="0E7C86"/>
          <w:sz w:val="21"/>
        </w:rPr>
        <w:t xml:space="preserve">Uso — </w:t>
      </w:r>
      <w:r>
        <w:rPr>
          <w:color w:val="14181B"/>
          <w:sz w:val="21"/>
        </w:rPr>
        <w:t>Space Mono aporta el carácter técnico de la marca; Noto Sans garantiza lectura cómoda en párrafos largos.</w:t>
      </w:r>
    </w:p>
    <w:p>
      <w:pPr>
        <w:spacing w:before="200" w:after="60"/>
      </w:pPr>
      <w:r>
        <w:rPr>
          <w:rFonts w:ascii="Space Mono" w:hAnsi="Space Mono" w:cs="Space Mono"/>
          <w:b/>
          <w:color w:val="14181B"/>
          <w:sz w:val="26"/>
        </w:rPr>
        <w:t>Componentes</w:t>
      </w:r>
    </w:p>
    <w:p>
      <w:pPr>
        <w:pStyle w:val="ListBullet"/>
        <w:spacing w:after="40"/>
      </w:pPr>
      <w:r>
        <w:rPr>
          <w:b/>
          <w:color w:val="0E7C86"/>
          <w:sz w:val="21"/>
        </w:rPr>
        <w:t xml:space="preserve">Botón primario (CTA) — </w:t>
      </w:r>
      <w:r>
        <w:rPr>
          <w:color w:val="14181B"/>
          <w:sz w:val="21"/>
        </w:rPr>
        <w:t>relleno verde, texto negro. Un solo primario por vista.</w:t>
      </w:r>
    </w:p>
    <w:p>
      <w:pPr>
        <w:pStyle w:val="ListBullet"/>
        <w:spacing w:after="40"/>
      </w:pPr>
      <w:r>
        <w:rPr>
          <w:b/>
          <w:color w:val="0E7C86"/>
          <w:sz w:val="21"/>
        </w:rPr>
        <w:t xml:space="preserve">Botón secundario / ghost — </w:t>
      </w:r>
      <w:r>
        <w:rPr>
          <w:color w:val="14181B"/>
          <w:sz w:val="21"/>
        </w:rPr>
        <w:t>relleno cian o borde 1px sobre transparente.</w:t>
      </w:r>
    </w:p>
    <w:p>
      <w:pPr>
        <w:pStyle w:val="ListBullet"/>
        <w:spacing w:after="40"/>
      </w:pPr>
      <w:r>
        <w:rPr>
          <w:b/>
          <w:color w:val="0E7C86"/>
          <w:sz w:val="21"/>
        </w:rPr>
        <w:t xml:space="preserve">Etiqueta (tag) — </w:t>
      </w:r>
      <w:r>
        <w:rPr>
          <w:color w:val="14181B"/>
          <w:sz w:val="21"/>
        </w:rPr>
        <w:t>píldora con borde y punto de color; para normativa y estados.</w:t>
      </w:r>
    </w:p>
    <w:p>
      <w:pPr>
        <w:pStyle w:val="ListBullet"/>
        <w:spacing w:after="40"/>
      </w:pPr>
      <w:r>
        <w:rPr>
          <w:b/>
          <w:color w:val="0E7C86"/>
          <w:sz w:val="21"/>
        </w:rPr>
        <w:t xml:space="preserve">Tarjeta — </w:t>
      </w:r>
      <w:r>
        <w:rPr>
          <w:color w:val="14181B"/>
          <w:sz w:val="21"/>
        </w:rPr>
        <w:t>radio 8–14px, borde 1px, barra de acento superior o lateral.</w:t>
      </w:r>
    </w:p>
    <w:p>
      <w:pPr>
        <w:pStyle w:val="ListBullet"/>
        <w:spacing w:after="40"/>
      </w:pPr>
      <w:r>
        <w:rPr>
          <w:b/>
          <w:color w:val="0E7C86"/>
          <w:sz w:val="21"/>
        </w:rPr>
        <w:t xml:space="preserve">Kicker — </w:t>
      </w:r>
      <w:r>
        <w:rPr>
          <w:color w:val="14181B"/>
          <w:sz w:val="21"/>
        </w:rPr>
        <w:t>«/01» o «&gt;_» + texto en mayúsculas, color de acento; abre cada sección.</w:t>
      </w:r>
    </w:p>
    <w:p>
      <w:pPr>
        <w:pStyle w:val="ListBullet"/>
        <w:spacing w:after="40"/>
      </w:pPr>
      <w:r>
        <w:rPr>
          <w:b/>
          <w:color w:val="0E7C86"/>
          <w:sz w:val="21"/>
        </w:rPr>
        <w:t xml:space="preserve">Panel/dashboard — </w:t>
      </w:r>
      <w:r>
        <w:rPr>
          <w:color w:val="14181B"/>
          <w:sz w:val="21"/>
        </w:rPr>
        <w:t>bloque oscuro con KPIs y gráfico; usado en Home y demos de SentryN3t.</w:t>
      </w:r>
    </w:p>
    <w:p>
      <w:r>
        <w:br w:type="page"/>
      </w:r>
    </w:p>
    <w:p>
      <w:pPr>
        <w:spacing w:before="200" w:after="40"/>
      </w:pPr>
      <w:r>
        <w:rPr>
          <w:rFonts w:ascii="Space Mono" w:hAnsi="Space Mono" w:cs="Space Mono"/>
          <w:b/>
          <w:color w:val="0E7C86"/>
          <w:sz w:val="18"/>
        </w:rPr>
        <w:t>&gt;_ ESTRUCTURA</w:t>
      </w:r>
    </w:p>
    <w:p>
      <w:pPr>
        <w:spacing w:after="0"/>
      </w:pPr>
    </w:p>
    <w:p>
      <w:pPr>
        <w:pStyle w:val="Heading1"/>
        <w:spacing w:before="80" w:after="80"/>
        <w:pBdr>
          <w:bottom w:val="single" w:sz="6" w:space="4" w:color="0E7C86"/>
        </w:pBdr>
      </w:pPr>
      <w:r>
        <w:rPr>
          <w:rFonts w:ascii="Space Mono" w:hAnsi="Space Mono" w:cs="Space Mono"/>
          <w:b/>
          <w:color w:val="0E7C86"/>
          <w:sz w:val="36"/>
        </w:rPr>
        <w:t xml:space="preserve">2  </w:t>
      </w:r>
      <w:r>
        <w:rPr>
          <w:rFonts w:ascii="Space Mono" w:hAnsi="Space Mono" w:cs="Space Mono"/>
          <w:b/>
          <w:color w:val="14181B"/>
          <w:sz w:val="36"/>
        </w:rPr>
        <w:t>Arquitectura del sitio</w:t>
      </w:r>
    </w:p>
    <w:p>
      <w:pPr>
        <w:spacing w:after="120" w:before="0"/>
      </w:pPr>
      <w:r>
        <w:rPr>
          <w:rFonts w:ascii="Noto Sans" w:hAnsi="Noto Sans" w:cs="Noto Sans"/>
          <w:b w:val="0"/>
          <w:i w:val="0"/>
          <w:color w:val="14181B"/>
          <w:sz w:val="21"/>
        </w:rPr>
        <w:t>Ocho páginas principales más páginas legales. Navegación superior fija con CTA persistente «Solicitar demo». La cabecera y el pie son idénticos en todas las páginas.</w:t>
      </w:r>
    </w:p>
    <w:p>
      <w:pPr>
        <w:spacing w:before="200" w:after="60"/>
      </w:pPr>
      <w:r>
        <w:rPr>
          <w:rFonts w:ascii="Space Mono" w:hAnsi="Space Mono" w:cs="Space Mono"/>
          <w:b/>
          <w:color w:val="14181B"/>
          <w:sz w:val="26"/>
        </w:rPr>
        <w:t>Mapa de páginas y URLs</w:t>
      </w:r>
    </w:p>
    <w:tbl>
      <w:tblPr>
        <w:tblStyle w:val="TableGrid"/>
        <w:tblW w:type="auto" w:w="0"/>
        <w:jc w:val="center"/>
        <w:tblLook w:firstColumn="1" w:firstRow="1" w:lastColumn="0" w:lastRow="0" w:noHBand="0" w:noVBand="1" w:val="04A0"/>
      </w:tblPr>
      <w:tblGrid>
        <w:gridCol w:w="3154"/>
        <w:gridCol w:w="3154"/>
        <w:gridCol w:w="3154"/>
      </w:tblGrid>
      <w:tr>
        <w:tc>
          <w:tcPr>
            <w:tcW w:type="dxa" w:w="3600"/>
            <w:shd w:val="clear" w:fill="123B40"/>
          </w:tcPr>
          <w:p>
            <w:pPr>
              <w:spacing w:after="20"/>
            </w:pPr>
            <w:r>
              <w:rPr>
                <w:rFonts w:ascii="Space Mono" w:hAnsi="Space Mono" w:cs="Space Mono"/>
                <w:b/>
                <w:color w:val="FFFFFF"/>
                <w:sz w:val="18"/>
              </w:rPr>
              <w:t>Página</w:t>
            </w:r>
          </w:p>
        </w:tc>
        <w:tc>
          <w:tcPr>
            <w:tcW w:type="dxa" w:w="3744"/>
            <w:shd w:val="clear" w:fill="123B40"/>
          </w:tcPr>
          <w:p>
            <w:pPr>
              <w:spacing w:after="20"/>
            </w:pPr>
            <w:r>
              <w:rPr>
                <w:rFonts w:ascii="Space Mono" w:hAnsi="Space Mono" w:cs="Space Mono"/>
                <w:b/>
                <w:color w:val="FFFFFF"/>
                <w:sz w:val="18"/>
              </w:rPr>
              <w:t>URL</w:t>
            </w:r>
          </w:p>
        </w:tc>
        <w:tc>
          <w:tcPr>
            <w:tcW w:type="dxa" w:w="2117"/>
            <w:shd w:val="clear" w:fill="123B40"/>
          </w:tcPr>
          <w:p>
            <w:pPr>
              <w:spacing w:after="20"/>
            </w:pPr>
            <w:r>
              <w:rPr>
                <w:rFonts w:ascii="Space Mono" w:hAnsi="Space Mono" w:cs="Space Mono"/>
                <w:b/>
                <w:color w:val="FFFFFF"/>
                <w:sz w:val="18"/>
              </w:rPr>
              <w:t>Prioridad SEO</w:t>
            </w:r>
          </w:p>
        </w:tc>
      </w:tr>
      <w:tr>
        <w:tc>
          <w:tcPr>
            <w:tcW w:type="dxa" w:w="3600"/>
          </w:tcPr>
          <w:p>
            <w:pPr>
              <w:spacing w:after="20"/>
            </w:pPr>
            <w:r>
              <w:rPr>
                <w:b/>
                <w:color w:val="14181B"/>
                <w:sz w:val="18"/>
              </w:rPr>
              <w:t>Home</w:t>
            </w:r>
          </w:p>
        </w:tc>
        <w:tc>
          <w:tcPr>
            <w:tcW w:type="dxa" w:w="3744"/>
          </w:tcPr>
          <w:p>
            <w:pPr>
              <w:spacing w:after="20"/>
            </w:pPr>
            <w:r>
              <w:rPr>
                <w:color w:val="333A40"/>
                <w:sz w:val="18"/>
              </w:rPr>
              <w:t>/</w:t>
            </w:r>
          </w:p>
        </w:tc>
        <w:tc>
          <w:tcPr>
            <w:tcW w:type="dxa" w:w="2117"/>
          </w:tcPr>
          <w:p>
            <w:pPr>
              <w:spacing w:after="20"/>
            </w:pPr>
            <w:r>
              <w:rPr>
                <w:color w:val="333A40"/>
                <w:sz w:val="18"/>
              </w:rPr>
              <w:t>Alta</w:t>
            </w:r>
          </w:p>
        </w:tc>
      </w:tr>
      <w:tr>
        <w:tc>
          <w:tcPr>
            <w:tcW w:type="dxa" w:w="3600"/>
          </w:tcPr>
          <w:p>
            <w:pPr>
              <w:spacing w:after="20"/>
            </w:pPr>
            <w:r>
              <w:rPr>
                <w:b/>
                <w:color w:val="14181B"/>
                <w:sz w:val="18"/>
              </w:rPr>
              <w:t>Soluciones · MSSP (IT/OT)</w:t>
            </w:r>
          </w:p>
        </w:tc>
        <w:tc>
          <w:tcPr>
            <w:tcW w:type="dxa" w:w="3744"/>
          </w:tcPr>
          <w:p>
            <w:pPr>
              <w:spacing w:after="20"/>
            </w:pPr>
            <w:r>
              <w:rPr>
                <w:color w:val="333A40"/>
                <w:sz w:val="18"/>
              </w:rPr>
              <w:t>/soluciones/mssp</w:t>
            </w:r>
          </w:p>
        </w:tc>
        <w:tc>
          <w:tcPr>
            <w:tcW w:type="dxa" w:w="2117"/>
          </w:tcPr>
          <w:p>
            <w:pPr>
              <w:spacing w:after="20"/>
            </w:pPr>
            <w:r>
              <w:rPr>
                <w:color w:val="333A40"/>
                <w:sz w:val="18"/>
              </w:rPr>
              <w:t>Alta</w:t>
            </w:r>
          </w:p>
        </w:tc>
      </w:tr>
      <w:tr>
        <w:tc>
          <w:tcPr>
            <w:tcW w:type="dxa" w:w="3600"/>
          </w:tcPr>
          <w:p>
            <w:pPr>
              <w:spacing w:after="20"/>
            </w:pPr>
            <w:r>
              <w:rPr>
                <w:b/>
                <w:color w:val="14181B"/>
                <w:sz w:val="18"/>
              </w:rPr>
              <w:t>Soluciones · GRC</w:t>
            </w:r>
          </w:p>
        </w:tc>
        <w:tc>
          <w:tcPr>
            <w:tcW w:type="dxa" w:w="3744"/>
          </w:tcPr>
          <w:p>
            <w:pPr>
              <w:spacing w:after="20"/>
            </w:pPr>
            <w:r>
              <w:rPr>
                <w:color w:val="333A40"/>
                <w:sz w:val="18"/>
              </w:rPr>
              <w:t>/soluciones/grc</w:t>
            </w:r>
          </w:p>
        </w:tc>
        <w:tc>
          <w:tcPr>
            <w:tcW w:type="dxa" w:w="2117"/>
          </w:tcPr>
          <w:p>
            <w:pPr>
              <w:spacing w:after="20"/>
            </w:pPr>
            <w:r>
              <w:rPr>
                <w:color w:val="333A40"/>
                <w:sz w:val="18"/>
              </w:rPr>
              <w:t>Alta</w:t>
            </w:r>
          </w:p>
        </w:tc>
      </w:tr>
      <w:tr>
        <w:tc>
          <w:tcPr>
            <w:tcW w:type="dxa" w:w="3600"/>
          </w:tcPr>
          <w:p>
            <w:pPr>
              <w:spacing w:after="20"/>
            </w:pPr>
            <w:r>
              <w:rPr>
                <w:b/>
                <w:color w:val="14181B"/>
                <w:sz w:val="18"/>
              </w:rPr>
              <w:t>Software (Licencias)</w:t>
            </w:r>
          </w:p>
        </w:tc>
        <w:tc>
          <w:tcPr>
            <w:tcW w:type="dxa" w:w="3744"/>
          </w:tcPr>
          <w:p>
            <w:pPr>
              <w:spacing w:after="20"/>
            </w:pPr>
            <w:r>
              <w:rPr>
                <w:color w:val="333A40"/>
                <w:sz w:val="18"/>
              </w:rPr>
              <w:t>/software</w:t>
            </w:r>
          </w:p>
        </w:tc>
        <w:tc>
          <w:tcPr>
            <w:tcW w:type="dxa" w:w="2117"/>
          </w:tcPr>
          <w:p>
            <w:pPr>
              <w:spacing w:after="20"/>
            </w:pPr>
            <w:r>
              <w:rPr>
                <w:color w:val="333A40"/>
                <w:sz w:val="18"/>
              </w:rPr>
              <w:t>Media-alta</w:t>
            </w:r>
          </w:p>
        </w:tc>
      </w:tr>
      <w:tr>
        <w:tc>
          <w:tcPr>
            <w:tcW w:type="dxa" w:w="3600"/>
          </w:tcPr>
          <w:p>
            <w:pPr>
              <w:spacing w:after="20"/>
            </w:pPr>
            <w:r>
              <w:rPr>
                <w:b/>
                <w:color w:val="14181B"/>
                <w:sz w:val="18"/>
              </w:rPr>
              <w:t>Sectores</w:t>
            </w:r>
          </w:p>
        </w:tc>
        <w:tc>
          <w:tcPr>
            <w:tcW w:type="dxa" w:w="3744"/>
          </w:tcPr>
          <w:p>
            <w:pPr>
              <w:spacing w:after="20"/>
            </w:pPr>
            <w:r>
              <w:rPr>
                <w:color w:val="333A40"/>
                <w:sz w:val="18"/>
              </w:rPr>
              <w:t>/sectores</w:t>
            </w:r>
          </w:p>
        </w:tc>
        <w:tc>
          <w:tcPr>
            <w:tcW w:type="dxa" w:w="2117"/>
          </w:tcPr>
          <w:p>
            <w:pPr>
              <w:spacing w:after="20"/>
            </w:pPr>
            <w:r>
              <w:rPr>
                <w:color w:val="333A40"/>
                <w:sz w:val="18"/>
              </w:rPr>
              <w:t>Media</w:t>
            </w:r>
          </w:p>
        </w:tc>
      </w:tr>
      <w:tr>
        <w:tc>
          <w:tcPr>
            <w:tcW w:type="dxa" w:w="3600"/>
          </w:tcPr>
          <w:p>
            <w:pPr>
              <w:spacing w:after="20"/>
            </w:pPr>
            <w:r>
              <w:rPr>
                <w:b/>
                <w:color w:val="14181B"/>
                <w:sz w:val="18"/>
              </w:rPr>
              <w:t>Blog</w:t>
            </w:r>
          </w:p>
        </w:tc>
        <w:tc>
          <w:tcPr>
            <w:tcW w:type="dxa" w:w="3744"/>
          </w:tcPr>
          <w:p>
            <w:pPr>
              <w:spacing w:after="20"/>
            </w:pPr>
            <w:r>
              <w:rPr>
                <w:color w:val="333A40"/>
                <w:sz w:val="18"/>
              </w:rPr>
              <w:t>/blog</w:t>
            </w:r>
          </w:p>
        </w:tc>
        <w:tc>
          <w:tcPr>
            <w:tcW w:type="dxa" w:w="2117"/>
          </w:tcPr>
          <w:p>
            <w:pPr>
              <w:spacing w:after="20"/>
            </w:pPr>
            <w:r>
              <w:rPr>
                <w:color w:val="333A40"/>
                <w:sz w:val="18"/>
              </w:rPr>
              <w:t>Media (crece con contenido)</w:t>
            </w:r>
          </w:p>
        </w:tc>
      </w:tr>
      <w:tr>
        <w:tc>
          <w:tcPr>
            <w:tcW w:type="dxa" w:w="3600"/>
          </w:tcPr>
          <w:p>
            <w:pPr>
              <w:spacing w:after="20"/>
            </w:pPr>
            <w:r>
              <w:rPr>
                <w:b/>
                <w:color w:val="14181B"/>
                <w:sz w:val="18"/>
              </w:rPr>
              <w:t>Compañía</w:t>
            </w:r>
          </w:p>
        </w:tc>
        <w:tc>
          <w:tcPr>
            <w:tcW w:type="dxa" w:w="3744"/>
          </w:tcPr>
          <w:p>
            <w:pPr>
              <w:spacing w:after="20"/>
            </w:pPr>
            <w:r>
              <w:rPr>
                <w:color w:val="333A40"/>
                <w:sz w:val="18"/>
              </w:rPr>
              <w:t>/compania</w:t>
            </w:r>
          </w:p>
        </w:tc>
        <w:tc>
          <w:tcPr>
            <w:tcW w:type="dxa" w:w="2117"/>
          </w:tcPr>
          <w:p>
            <w:pPr>
              <w:spacing w:after="20"/>
            </w:pPr>
            <w:r>
              <w:rPr>
                <w:color w:val="333A40"/>
                <w:sz w:val="18"/>
              </w:rPr>
              <w:t>Media</w:t>
            </w:r>
          </w:p>
        </w:tc>
      </w:tr>
      <w:tr>
        <w:tc>
          <w:tcPr>
            <w:tcW w:type="dxa" w:w="3600"/>
          </w:tcPr>
          <w:p>
            <w:pPr>
              <w:spacing w:after="20"/>
            </w:pPr>
            <w:r>
              <w:rPr>
                <w:b/>
                <w:color w:val="14181B"/>
                <w:sz w:val="18"/>
              </w:rPr>
              <w:t>Contacto</w:t>
            </w:r>
          </w:p>
        </w:tc>
        <w:tc>
          <w:tcPr>
            <w:tcW w:type="dxa" w:w="3744"/>
          </w:tcPr>
          <w:p>
            <w:pPr>
              <w:spacing w:after="20"/>
            </w:pPr>
            <w:r>
              <w:rPr>
                <w:color w:val="333A40"/>
                <w:sz w:val="18"/>
              </w:rPr>
              <w:t>/contacto</w:t>
            </w:r>
          </w:p>
        </w:tc>
        <w:tc>
          <w:tcPr>
            <w:tcW w:type="dxa" w:w="2117"/>
          </w:tcPr>
          <w:p>
            <w:pPr>
              <w:spacing w:after="20"/>
            </w:pPr>
            <w:r>
              <w:rPr>
                <w:color w:val="333A40"/>
                <w:sz w:val="18"/>
              </w:rPr>
              <w:t>Alta (conversión)</w:t>
            </w:r>
          </w:p>
        </w:tc>
      </w:tr>
      <w:tr>
        <w:tc>
          <w:tcPr>
            <w:tcW w:type="dxa" w:w="3600"/>
          </w:tcPr>
          <w:p>
            <w:pPr>
              <w:spacing w:after="20"/>
            </w:pPr>
            <w:r>
              <w:rPr>
                <w:b/>
                <w:color w:val="14181B"/>
                <w:sz w:val="18"/>
              </w:rPr>
              <w:t>Legales</w:t>
            </w:r>
          </w:p>
        </w:tc>
        <w:tc>
          <w:tcPr>
            <w:tcW w:type="dxa" w:w="3744"/>
          </w:tcPr>
          <w:p>
            <w:pPr>
              <w:spacing w:after="20"/>
            </w:pPr>
            <w:r>
              <w:rPr>
                <w:color w:val="333A40"/>
                <w:sz w:val="18"/>
              </w:rPr>
              <w:t>/aviso-legal · /privacidad · /cookies</w:t>
            </w:r>
          </w:p>
        </w:tc>
        <w:tc>
          <w:tcPr>
            <w:tcW w:type="dxa" w:w="2117"/>
          </w:tcPr>
          <w:p>
            <w:pPr>
              <w:spacing w:after="20"/>
            </w:pPr>
            <w:r>
              <w:rPr>
                <w:color w:val="333A40"/>
                <w:sz w:val="18"/>
              </w:rPr>
              <w:t>Baja</w:t>
            </w:r>
          </w:p>
        </w:tc>
      </w:tr>
    </w:tbl>
    <w:p>
      <w:pPr>
        <w:spacing w:after="40"/>
      </w:pPr>
    </w:p>
    <w:p>
      <w:pPr>
        <w:spacing w:before="200" w:after="60"/>
      </w:pPr>
      <w:r>
        <w:rPr>
          <w:rFonts w:ascii="Space Mono" w:hAnsi="Space Mono" w:cs="Space Mono"/>
          <w:b/>
          <w:color w:val="14181B"/>
          <w:sz w:val="26"/>
        </w:rPr>
        <w:t>Navegación principal</w:t>
      </w:r>
    </w:p>
    <w:p>
      <w:pPr>
        <w:pStyle w:val="ListBullet"/>
        <w:spacing w:after="40"/>
      </w:pPr>
      <w:r>
        <w:rPr>
          <w:b/>
          <w:color w:val="0E7C86"/>
          <w:sz w:val="21"/>
        </w:rPr>
        <w:t xml:space="preserve">Menú — </w:t>
      </w:r>
      <w:r>
        <w:rPr>
          <w:color w:val="14181B"/>
          <w:sz w:val="21"/>
        </w:rPr>
        <w:t>Soluciones (desplegable: MSSP IT, MSSP OT, GRC, I+D+i) · Sectores · Software · Compañía · Blog · Contacto.</w:t>
      </w:r>
    </w:p>
    <w:p>
      <w:pPr>
        <w:pStyle w:val="ListBullet"/>
        <w:spacing w:after="40"/>
      </w:pPr>
      <w:r>
        <w:rPr>
          <w:b/>
          <w:color w:val="0E7C86"/>
          <w:sz w:val="21"/>
        </w:rPr>
        <w:t xml:space="preserve">Persistente — </w:t>
      </w:r>
      <w:r>
        <w:rPr>
          <w:color w:val="14181B"/>
          <w:sz w:val="21"/>
        </w:rPr>
        <w:t>selector de idioma (ES/EN) y botón «Descubre qué plan de seguridad necesitas» (verde) a la derecha.</w:t>
      </w:r>
    </w:p>
    <w:p>
      <w:pPr>
        <w:pStyle w:val="ListBullet"/>
        <w:spacing w:after="40"/>
      </w:pPr>
      <w:r>
        <w:rPr>
          <w:b/>
          <w:color w:val="0E7C86"/>
          <w:sz w:val="21"/>
        </w:rPr>
        <w:t xml:space="preserve">Pie — </w:t>
      </w:r>
      <w:r>
        <w:rPr>
          <w:color w:val="14181B"/>
          <w:sz w:val="21"/>
        </w:rPr>
        <w:t>columnas Soluciones / Empresa / Legal + claim + razón social + aviso «SentryN3t® es una marca de Ewala». Legal enlaza a Política de privacidad, Aviso legal y Política de cookies (ewala.es); «Configurar cookies» abre el gestor de consentimiento (CMP).</w:t>
      </w:r>
    </w:p>
    <w:p>
      <w:pPr>
        <w:spacing w:before="200" w:after="60"/>
      </w:pPr>
      <w:r>
        <w:rPr>
          <w:rFonts w:ascii="Space Mono" w:hAnsi="Space Mono" w:cs="Space Mono"/>
          <w:b/>
          <w:color w:val="14181B"/>
          <w:sz w:val="26"/>
        </w:rPr>
        <w:t>SEO global</w:t>
      </w:r>
    </w:p>
    <w:p>
      <w:pPr>
        <w:pStyle w:val="ListBullet"/>
        <w:spacing w:after="40"/>
      </w:pPr>
      <w:r>
        <w:rPr>
          <w:color w:val="14181B"/>
          <w:sz w:val="21"/>
        </w:rPr>
        <w:t>Dominio y idioma por defecto: español (es-ES); EN como segunda versión (hreflang).</w:t>
      </w:r>
    </w:p>
    <w:p>
      <w:pPr>
        <w:pStyle w:val="ListBullet"/>
        <w:spacing w:after="40"/>
      </w:pPr>
      <w:r>
        <w:rPr>
          <w:color w:val="14181B"/>
          <w:sz w:val="21"/>
        </w:rPr>
        <w:t>Enlazado interno: cada artículo del Blog enlaza a la página de servicio relacionada; Home enlaza a los 4 pilares.</w:t>
      </w:r>
    </w:p>
    <w:p>
      <w:pPr>
        <w:pStyle w:val="ListBullet"/>
        <w:spacing w:after="40"/>
      </w:pPr>
      <w:r>
        <w:rPr>
          <w:color w:val="14181B"/>
          <w:sz w:val="21"/>
        </w:rPr>
        <w:t>Datos estructurados: Organization + LocalBusiness (Asturias) en Home; BlogPosting en el Blog; BreadcrumbList en interiores.</w:t>
      </w:r>
    </w:p>
    <w:p>
      <w:pPr>
        <w:pStyle w:val="ListBullet"/>
        <w:spacing w:after="40"/>
      </w:pPr>
      <w:r>
        <w:rPr>
          <w:color w:val="14181B"/>
          <w:sz w:val="21"/>
        </w:rPr>
        <w:t>Un único H1 por página; jerarquía H2/H3 coherente con las secciones del mockup.</w:t>
      </w:r>
    </w:p>
    <w:p>
      <w:r>
        <w:br w:type="page"/>
      </w:r>
    </w:p>
    <w:p>
      <w:pPr>
        <w:spacing w:before="200" w:after="40"/>
      </w:pPr>
      <w:r>
        <w:rPr>
          <w:rFonts w:ascii="Space Mono" w:hAnsi="Space Mono" w:cs="Space Mono"/>
          <w:b/>
          <w:color w:val="0E7C86"/>
          <w:sz w:val="18"/>
        </w:rPr>
        <w:t>&gt;_ PÁGINA</w:t>
      </w:r>
    </w:p>
    <w:p>
      <w:pPr>
        <w:spacing w:after="0"/>
      </w:pPr>
    </w:p>
    <w:p>
      <w:pPr>
        <w:pStyle w:val="Heading1"/>
        <w:spacing w:before="80" w:after="80"/>
        <w:pBdr>
          <w:bottom w:val="single" w:sz="6" w:space="4" w:color="0E7C86"/>
        </w:pBdr>
      </w:pPr>
      <w:r>
        <w:rPr>
          <w:rFonts w:ascii="Space Mono" w:hAnsi="Space Mono" w:cs="Space Mono"/>
          <w:b/>
          <w:color w:val="0E7C86"/>
          <w:sz w:val="36"/>
        </w:rPr>
        <w:t xml:space="preserve">3  </w:t>
      </w:r>
      <w:r>
        <w:rPr>
          <w:rFonts w:ascii="Space Mono" w:hAnsi="Space Mono" w:cs="Space Mono"/>
          <w:b/>
          <w:color w:val="14181B"/>
          <w:sz w:val="36"/>
        </w:rPr>
        <w:t>Home</w:t>
      </w:r>
    </w:p>
    <w:p>
      <w:pPr>
        <w:spacing w:before="120" w:after="40"/>
        <w:jc w:val="center"/>
      </w:pPr>
      <w:r>
        <w:drawing>
          <wp:inline xmlns:a="http://schemas.openxmlformats.org/drawingml/2006/main" xmlns:pic="http://schemas.openxmlformats.org/drawingml/2006/picture">
            <wp:extent cx="5266944" cy="7680960"/>
            <wp:docPr id="3" name="Picture 3"/>
            <wp:cNvGraphicFramePr>
              <a:graphicFrameLocks noChangeAspect="1"/>
            </wp:cNvGraphicFramePr>
            <a:graphic>
              <a:graphicData uri="http://schemas.openxmlformats.org/drawingml/2006/picture">
                <pic:pic>
                  <pic:nvPicPr>
                    <pic:cNvPr id="0" name="mk_home.png"/>
                    <pic:cNvPicPr/>
                  </pic:nvPicPr>
                  <pic:blipFill>
                    <a:blip r:embed="rId11"/>
                    <a:stretch>
                      <a:fillRect/>
                    </a:stretch>
                  </pic:blipFill>
                  <pic:spPr>
                    <a:xfrm>
                      <a:off x="0" y="0"/>
                      <a:ext cx="5266944" cy="7680960"/>
                    </a:xfrm>
                    <a:prstGeom prst="rect"/>
                  </pic:spPr>
                </pic:pic>
              </a:graphicData>
            </a:graphic>
          </wp:inline>
        </w:drawing>
      </w:r>
    </w:p>
    <w:p>
      <w:pPr>
        <w:spacing w:after="160"/>
        <w:jc w:val="center"/>
      </w:pPr>
      <w:r>
        <w:rPr>
          <w:i/>
          <w:color w:val="8A9399"/>
          <w:sz w:val="17"/>
        </w:rPr>
        <w:t>Home — vista completa (scroll).</w:t>
      </w:r>
    </w:p>
    <w:p>
      <w:pPr>
        <w:spacing w:before="200" w:after="60"/>
      </w:pPr>
      <w:r>
        <w:rPr>
          <w:rFonts w:ascii="Space Mono" w:hAnsi="Space Mono" w:cs="Space Mono"/>
          <w:b/>
          <w:color w:val="14181B"/>
          <w:sz w:val="26"/>
        </w:rPr>
        <w:t>Objetivo</w:t>
      </w:r>
    </w:p>
    <w:p>
      <w:pPr>
        <w:spacing w:after="120" w:before="0"/>
      </w:pPr>
      <w:r>
        <w:rPr>
          <w:rFonts w:ascii="Noto Sans" w:hAnsi="Noto Sans" w:cs="Noto Sans"/>
          <w:b w:val="0"/>
          <w:i w:val="0"/>
          <w:color w:val="14181B"/>
          <w:sz w:val="21"/>
        </w:rPr>
        <w:t>Comunicar en 5 segundos qué es ISN Labs (MSSP + GRC, IT + OT) y generar confianza técnica. Conducir a plan/contacto.</w:t>
      </w:r>
    </w:p>
    <w:p>
      <w:pPr>
        <w:spacing w:before="200" w:after="60"/>
      </w:pPr>
      <w:r>
        <w:rPr>
          <w:rFonts w:ascii="Space Mono" w:hAnsi="Space Mono" w:cs="Space Mono"/>
          <w:b/>
          <w:color w:val="14181B"/>
          <w:sz w:val="26"/>
        </w:rPr>
        <w:t>Estructura de la página (de arriba a abajo)</w:t>
      </w:r>
    </w:p>
    <w:p>
      <w:pPr>
        <w:pStyle w:val="ListBullet"/>
        <w:spacing w:after="40"/>
      </w:pPr>
      <w:r>
        <w:rPr>
          <w:b/>
          <w:color w:val="0E7C86"/>
          <w:sz w:val="21"/>
        </w:rPr>
        <w:t xml:space="preserve">Cabecera — </w:t>
      </w:r>
      <w:r>
        <w:rPr>
          <w:color w:val="14181B"/>
          <w:sz w:val="21"/>
        </w:rPr>
        <w:t>nav + CTA persistente «Descubre qué plan de seguridad necesitas».</w:t>
      </w:r>
    </w:p>
    <w:p>
      <w:pPr>
        <w:pStyle w:val="ListBullet"/>
        <w:spacing w:after="40"/>
      </w:pPr>
      <w:r>
        <w:rPr>
          <w:b/>
          <w:color w:val="0E7C86"/>
          <w:sz w:val="21"/>
        </w:rPr>
        <w:t xml:space="preserve">Hero — </w:t>
      </w:r>
      <w:r>
        <w:rPr>
          <w:color w:val="14181B"/>
          <w:sz w:val="21"/>
        </w:rPr>
        <w:t>tags en una línea (MSSP · GRC · Ciberseguridad · IA), titular «Seguridad gestionada y cumplimiento, sin cabos sueltos», subtexto y 2 CTAs. A la derecha, panel neutro «Cobertura bajo un mismo techo» (sin SentryN3t).</w:t>
      </w:r>
    </w:p>
    <w:p>
      <w:pPr>
        <w:pStyle w:val="ListBullet"/>
        <w:spacing w:after="40"/>
      </w:pPr>
      <w:r>
        <w:rPr>
          <w:b/>
          <w:color w:val="0E7C86"/>
          <w:sz w:val="21"/>
        </w:rPr>
        <w:t xml:space="preserve">Banda de confianza — </w:t>
      </w:r>
      <w:r>
        <w:rPr>
          <w:color w:val="14181B"/>
          <w:sz w:val="21"/>
        </w:rPr>
        <w:t>marcos: NIS2, DORA, ISO 27001, ISO 42001, ENS, RGPD, IEC 62443.</w:t>
      </w:r>
    </w:p>
    <w:p>
      <w:pPr>
        <w:pStyle w:val="ListBullet"/>
        <w:spacing w:after="40"/>
      </w:pPr>
      <w:r>
        <w:rPr>
          <w:b/>
          <w:color w:val="0E7C86"/>
          <w:sz w:val="21"/>
        </w:rPr>
        <w:t xml:space="preserve">/01 Qué hacemos — </w:t>
      </w:r>
      <w:r>
        <w:rPr>
          <w:color w:val="14181B"/>
          <w:sz w:val="21"/>
        </w:rPr>
        <w:t>4 tarjetas: MSSP IT, MSSP OT, GRC, I+D+i, cada una enlaza a su página.</w:t>
      </w:r>
    </w:p>
    <w:p>
      <w:pPr>
        <w:pStyle w:val="ListBullet"/>
        <w:spacing w:after="40"/>
      </w:pPr>
      <w:r>
        <w:rPr>
          <w:b/>
          <w:color w:val="0E7C86"/>
          <w:sz w:val="21"/>
        </w:rPr>
        <w:t xml:space="preserve">Banda SentryN3t — </w:t>
      </w:r>
      <w:r>
        <w:rPr>
          <w:color w:val="14181B"/>
          <w:sz w:val="21"/>
        </w:rPr>
        <w:t>tecnología destacada con chips y botón «Saber más» (enlace externo a ewala.es).</w:t>
      </w:r>
    </w:p>
    <w:p>
      <w:pPr>
        <w:pStyle w:val="ListBullet"/>
        <w:spacing w:after="40"/>
      </w:pPr>
      <w:r>
        <w:rPr>
          <w:b/>
          <w:color w:val="0E7C86"/>
          <w:sz w:val="21"/>
        </w:rPr>
        <w:t xml:space="preserve">CTA final — </w:t>
      </w:r>
      <w:r>
        <w:rPr>
          <w:color w:val="14181B"/>
          <w:sz w:val="21"/>
        </w:rPr>
        <w:t>«Si te preocupa la ciberseguridad de tu empresa podemos ayudarte» + Descubre tu plan / Contactar.</w:t>
      </w:r>
    </w:p>
    <w:p>
      <w:pPr>
        <w:pStyle w:val="ListBullet"/>
        <w:spacing w:after="40"/>
      </w:pPr>
      <w:r>
        <w:rPr>
          <w:b/>
          <w:color w:val="0E7C86"/>
          <w:sz w:val="21"/>
        </w:rPr>
        <w:t xml:space="preserve">Pie. </w:t>
      </w:r>
      <w:r>
        <w:rPr>
          <w:color w:val="14181B"/>
          <w:sz w:val="21"/>
        </w:rPr>
      </w:r>
    </w:p>
    <w:p>
      <w:pPr>
        <w:spacing w:before="200" w:after="60"/>
      </w:pPr>
      <w:r>
        <w:rPr>
          <w:rFonts w:ascii="Space Mono" w:hAnsi="Space Mono" w:cs="Space Mono"/>
          <w:b/>
          <w:color w:val="14181B"/>
          <w:sz w:val="26"/>
        </w:rPr>
        <w:t>Mensajes clave / copy</w:t>
      </w:r>
    </w:p>
    <w:p>
      <w:pPr>
        <w:pStyle w:val="ListBullet"/>
        <w:spacing w:after="40"/>
      </w:pPr>
      <w:r>
        <w:rPr>
          <w:color w:val="14181B"/>
          <w:sz w:val="21"/>
        </w:rPr>
        <w:t>Diferenciador central: MSSP y GRC bajo un mismo techo, un único interlocutor.</w:t>
      </w:r>
    </w:p>
    <w:p>
      <w:pPr>
        <w:pStyle w:val="ListBullet"/>
        <w:spacing w:after="40"/>
      </w:pPr>
      <w:r>
        <w:rPr>
          <w:color w:val="14181B"/>
          <w:sz w:val="21"/>
        </w:rPr>
        <w:t>Prueba de solvencia técnica: dashboard real, no ilustración genérica.</w:t>
      </w:r>
    </w:p>
    <w:p>
      <w:pPr>
        <w:pStyle w:val="ListBullet"/>
        <w:spacing w:after="40"/>
      </w:pPr>
      <w:r>
        <w:rPr>
          <w:color w:val="14181B"/>
          <w:sz w:val="21"/>
        </w:rPr>
        <w:t>Tono sin alarmismo: «con criterio técnico», «sin humo».</w:t>
      </w:r>
    </w:p>
    <w:p>
      <w:pPr>
        <w:spacing w:before="200" w:after="60"/>
      </w:pPr>
      <w:r>
        <w:rPr>
          <w:rFonts w:ascii="Space Mono" w:hAnsi="Space Mono" w:cs="Space Mono"/>
          <w:b/>
          <w:color w:val="14181B"/>
          <w:sz w:val="26"/>
        </w:rPr>
        <w:t>CTAs</w:t>
      </w:r>
    </w:p>
    <w:p>
      <w:pPr>
        <w:pStyle w:val="ListBullet"/>
        <w:spacing w:after="40"/>
      </w:pPr>
      <w:r>
        <w:rPr>
          <w:b/>
          <w:color w:val="0E7C86"/>
          <w:sz w:val="21"/>
        </w:rPr>
        <w:t xml:space="preserve">Primario — </w:t>
      </w:r>
      <w:r>
        <w:rPr>
          <w:color w:val="14181B"/>
          <w:sz w:val="21"/>
        </w:rPr>
        <w:t>Contáctanos (verde).</w:t>
      </w:r>
    </w:p>
    <w:p>
      <w:pPr>
        <w:pStyle w:val="ListBullet"/>
        <w:spacing w:after="40"/>
      </w:pPr>
      <w:r>
        <w:rPr>
          <w:b/>
          <w:color w:val="0E7C86"/>
          <w:sz w:val="21"/>
        </w:rPr>
        <w:t xml:space="preserve">Secundario — </w:t>
      </w:r>
      <w:r>
        <w:rPr>
          <w:color w:val="14181B"/>
          <w:sz w:val="21"/>
        </w:rPr>
        <w:t>Hablar con un experto (ghost).</w:t>
      </w:r>
    </w:p>
    <w:p>
      <w:pPr>
        <w:pStyle w:val="ListBullet"/>
        <w:spacing w:after="40"/>
      </w:pPr>
      <w:r>
        <w:rPr>
          <w:b/>
          <w:color w:val="0E7C86"/>
          <w:sz w:val="21"/>
        </w:rPr>
        <w:t xml:space="preserve">SentryN3t — </w:t>
      </w:r>
      <w:r>
        <w:rPr>
          <w:color w:val="14181B"/>
          <w:sz w:val="21"/>
        </w:rPr>
        <w:t>«Saber más» (banda inferior) enlaza a ewala.es.</w:t>
      </w:r>
    </w:p>
    <w:p>
      <w:pPr>
        <w:spacing w:before="200" w:after="60"/>
      </w:pPr>
      <w:r>
        <w:rPr>
          <w:rFonts w:ascii="Space Mono" w:hAnsi="Space Mono" w:cs="Space Mono"/>
          <w:b/>
          <w:color w:val="14181B"/>
          <w:sz w:val="26"/>
        </w:rPr>
        <w:t>SEO</w:t>
      </w:r>
    </w:p>
    <w:p>
      <w:pPr>
        <w:spacing w:after="60"/>
      </w:pPr>
      <w:r>
        <w:rPr>
          <w:rFonts w:ascii="Space Mono" w:hAnsi="Space Mono" w:cs="Space Mono"/>
          <w:b/>
          <w:color w:val="0E7C86"/>
          <w:sz w:val="20"/>
        </w:rPr>
        <w:t xml:space="preserve">URL  </w:t>
      </w:r>
      <w:r>
        <w:rPr>
          <w:color w:val="14181B"/>
          <w:sz w:val="21"/>
        </w:rPr>
        <w:t>/</w:t>
      </w:r>
    </w:p>
    <w:p>
      <w:pPr>
        <w:spacing w:after="60"/>
      </w:pPr>
      <w:r>
        <w:rPr>
          <w:rFonts w:ascii="Space Mono" w:hAnsi="Space Mono" w:cs="Space Mono"/>
          <w:b/>
          <w:color w:val="0E7C86"/>
          <w:sz w:val="20"/>
        </w:rPr>
        <w:t xml:space="preserve">Title  </w:t>
      </w:r>
      <w:r>
        <w:rPr>
          <w:color w:val="14181B"/>
          <w:sz w:val="21"/>
        </w:rPr>
        <w:t>ISN Labs · MSSP y GRC | Ciberseguridad gestionada IT y OT  (57 car.)</w:t>
      </w:r>
    </w:p>
    <w:p>
      <w:pPr>
        <w:spacing w:after="60"/>
      </w:pPr>
      <w:r>
        <w:rPr>
          <w:rFonts w:ascii="Space Mono" w:hAnsi="Space Mono" w:cs="Space Mono"/>
          <w:b/>
          <w:color w:val="0E7C86"/>
          <w:sz w:val="20"/>
        </w:rPr>
        <w:t xml:space="preserve">Meta description  </w:t>
      </w:r>
      <w:r>
        <w:rPr>
          <w:color w:val="14181B"/>
          <w:sz w:val="21"/>
        </w:rPr>
        <w:t>Seguridad gestionada (MSSP) y cumplimiento (GRC) bajo un mismo techo. Detección con IA en IT y OT, NIS2, DORA, ISO 27001, ENS y RGPD.  (133 car.)</w:t>
      </w:r>
    </w:p>
    <w:p>
      <w:pPr>
        <w:spacing w:after="60"/>
      </w:pPr>
      <w:r>
        <w:rPr>
          <w:rFonts w:ascii="Space Mono" w:hAnsi="Space Mono" w:cs="Space Mono"/>
          <w:b/>
          <w:color w:val="0E7C86"/>
          <w:sz w:val="20"/>
        </w:rPr>
        <w:t xml:space="preserve">H1  </w:t>
      </w:r>
      <w:r>
        <w:rPr>
          <w:color w:val="14181B"/>
          <w:sz w:val="21"/>
        </w:rPr>
        <w:t>Seguridad gestionada y cumplimiento, sin cabos sueltos</w:t>
      </w:r>
    </w:p>
    <w:p>
      <w:pPr>
        <w:spacing w:after="60"/>
      </w:pPr>
      <w:r>
        <w:rPr>
          <w:rFonts w:ascii="Space Mono" w:hAnsi="Space Mono" w:cs="Space Mono"/>
          <w:b/>
          <w:color w:val="0E7C86"/>
          <w:sz w:val="20"/>
        </w:rPr>
        <w:t xml:space="preserve">Keywords  </w:t>
      </w:r>
      <w:r>
        <w:rPr>
          <w:color w:val="14181B"/>
          <w:sz w:val="21"/>
        </w:rPr>
        <w:t>MSSP, ciberseguridad gestionada, GRC, NIS2, SOC, ciberseguridad OT</w:t>
      </w:r>
    </w:p>
    <w:p>
      <w:pPr>
        <w:spacing w:before="200" w:after="60"/>
      </w:pPr>
      <w:r>
        <w:rPr>
          <w:rFonts w:ascii="Space Mono" w:hAnsi="Space Mono" w:cs="Space Mono"/>
          <w:b/>
          <w:color w:val="14181B"/>
          <w:sz w:val="26"/>
        </w:rPr>
        <w:t>Notas para desarrollo</w:t>
      </w:r>
    </w:p>
    <w:p>
      <w:pPr>
        <w:pStyle w:val="ListBullet"/>
        <w:spacing w:after="40"/>
      </w:pPr>
      <w:r>
        <w:rPr>
          <w:color w:val="14181B"/>
          <w:sz w:val="21"/>
        </w:rPr>
        <w:t>El dashboard del hero puede ser imagen optimizada o componente animado ligero (evitar vídeos pesados).</w:t>
      </w:r>
    </w:p>
    <w:p>
      <w:pPr>
        <w:pStyle w:val="ListBullet"/>
        <w:spacing w:after="40"/>
      </w:pPr>
      <w:r>
        <w:rPr>
          <w:color w:val="14181B"/>
          <w:sz w:val="21"/>
        </w:rPr>
        <w:t>SentryN3t NO aparece en el hero (es tecnología de partner): se destaca en su banda inferior y en la página Software.</w:t>
      </w:r>
    </w:p>
    <w:p>
      <w:pPr>
        <w:pStyle w:val="ListBullet"/>
        <w:spacing w:after="40"/>
      </w:pPr>
      <w:r>
        <w:rPr>
          <w:color w:val="14181B"/>
          <w:sz w:val="21"/>
        </w:rPr>
        <w:t>«Saber más» de SentryN3t abre ewala.es en pestaña nueva (rel=noopener).</w:t>
      </w:r>
    </w:p>
    <w:p>
      <w:pPr>
        <w:pStyle w:val="ListBullet"/>
        <w:spacing w:after="40"/>
      </w:pPr>
      <w:r>
        <w:rPr>
          <w:color w:val="14181B"/>
          <w:sz w:val="21"/>
        </w:rPr>
        <w:t>El CTA de la nav lleva a un diagnóstico/selector de plan (a definir).</w:t>
      </w:r>
    </w:p>
    <w:p>
      <w:pPr>
        <w:pStyle w:val="ListBullet"/>
        <w:spacing w:after="40"/>
      </w:pPr>
      <w:r>
        <w:rPr>
          <w:color w:val="14181B"/>
          <w:sz w:val="21"/>
        </w:rPr>
        <w:t>Datos del panel son ilustrativos (placeholder); no exponer datos reales de clientes.</w:t>
      </w:r>
    </w:p>
    <w:p>
      <w:r>
        <w:br w:type="page"/>
      </w:r>
    </w:p>
    <w:p>
      <w:pPr>
        <w:spacing w:before="200" w:after="40"/>
      </w:pPr>
      <w:r>
        <w:rPr>
          <w:rFonts w:ascii="Space Mono" w:hAnsi="Space Mono" w:cs="Space Mono"/>
          <w:b/>
          <w:color w:val="0E7C86"/>
          <w:sz w:val="18"/>
        </w:rPr>
        <w:t>&gt;_ PÁGINA · SOLUCIONES</w:t>
      </w:r>
    </w:p>
    <w:p>
      <w:pPr>
        <w:spacing w:after="0"/>
      </w:pPr>
    </w:p>
    <w:p>
      <w:pPr>
        <w:pStyle w:val="Heading1"/>
        <w:spacing w:before="80" w:after="80"/>
        <w:pBdr>
          <w:bottom w:val="single" w:sz="6" w:space="4" w:color="0E7C86"/>
        </w:pBdr>
      </w:pPr>
      <w:r>
        <w:rPr>
          <w:rFonts w:ascii="Space Mono" w:hAnsi="Space Mono" w:cs="Space Mono"/>
          <w:b/>
          <w:color w:val="0E7C86"/>
          <w:sz w:val="36"/>
        </w:rPr>
        <w:t xml:space="preserve">4  </w:t>
      </w:r>
      <w:r>
        <w:rPr>
          <w:rFonts w:ascii="Space Mono" w:hAnsi="Space Mono" w:cs="Space Mono"/>
          <w:b/>
          <w:color w:val="14181B"/>
          <w:sz w:val="36"/>
        </w:rPr>
        <w:t>MSSP · Ciberseguridad gestionada IT + OT</w:t>
      </w:r>
    </w:p>
    <w:p>
      <w:pPr>
        <w:spacing w:before="120" w:after="40"/>
        <w:jc w:val="center"/>
      </w:pPr>
      <w:r>
        <w:drawing>
          <wp:inline xmlns:a="http://schemas.openxmlformats.org/drawingml/2006/main" xmlns:pic="http://schemas.openxmlformats.org/drawingml/2006/picture">
            <wp:extent cx="5978693" cy="7680960"/>
            <wp:docPr id="4" name="Picture 4"/>
            <wp:cNvGraphicFramePr>
              <a:graphicFrameLocks noChangeAspect="1"/>
            </wp:cNvGraphicFramePr>
            <a:graphic>
              <a:graphicData uri="http://schemas.openxmlformats.org/drawingml/2006/picture">
                <pic:pic>
                  <pic:nvPicPr>
                    <pic:cNvPr id="0" name="mk_mssp.png"/>
                    <pic:cNvPicPr/>
                  </pic:nvPicPr>
                  <pic:blipFill>
                    <a:blip r:embed="rId12"/>
                    <a:stretch>
                      <a:fillRect/>
                    </a:stretch>
                  </pic:blipFill>
                  <pic:spPr>
                    <a:xfrm>
                      <a:off x="0" y="0"/>
                      <a:ext cx="5978693" cy="7680960"/>
                    </a:xfrm>
                    <a:prstGeom prst="rect"/>
                  </pic:spPr>
                </pic:pic>
              </a:graphicData>
            </a:graphic>
          </wp:inline>
        </w:drawing>
      </w:r>
    </w:p>
    <w:p>
      <w:pPr>
        <w:spacing w:after="160"/>
        <w:jc w:val="center"/>
      </w:pPr>
      <w:r>
        <w:rPr>
          <w:i/>
          <w:color w:val="8A9399"/>
          <w:sz w:val="17"/>
        </w:rPr>
        <w:t>MSSP — servicio principal por área + acceso al catálogo.</w:t>
      </w:r>
    </w:p>
    <w:p>
      <w:pPr>
        <w:spacing w:before="200" w:after="60"/>
      </w:pPr>
      <w:r>
        <w:rPr>
          <w:rFonts w:ascii="Space Mono" w:hAnsi="Space Mono" w:cs="Space Mono"/>
          <w:b/>
          <w:color w:val="14181B"/>
          <w:sz w:val="26"/>
        </w:rPr>
        <w:t>Objetivo</w:t>
      </w:r>
    </w:p>
    <w:p>
      <w:pPr>
        <w:spacing w:after="120" w:before="0"/>
      </w:pPr>
      <w:r>
        <w:rPr>
          <w:rFonts w:ascii="Noto Sans" w:hAnsi="Noto Sans" w:cs="Noto Sans"/>
          <w:b w:val="0"/>
          <w:i w:val="0"/>
          <w:color w:val="14181B"/>
          <w:sz w:val="21"/>
        </w:rPr>
        <w:t>Presentar el MSSP sin saturar: destacar el servicio principal de cada área y derivar el catálogo completo a una página de detalle.</w:t>
      </w:r>
    </w:p>
    <w:p>
      <w:pPr>
        <w:spacing w:before="200" w:after="60"/>
      </w:pPr>
      <w:r>
        <w:rPr>
          <w:rFonts w:ascii="Space Mono" w:hAnsi="Space Mono" w:cs="Space Mono"/>
          <w:b/>
          <w:color w:val="14181B"/>
          <w:sz w:val="26"/>
        </w:rPr>
        <w:t>Estructura de la página (de arriba a abajo)</w:t>
      </w:r>
    </w:p>
    <w:p>
      <w:pPr>
        <w:pStyle w:val="ListBullet"/>
        <w:spacing w:after="40"/>
      </w:pPr>
      <w:r>
        <w:rPr>
          <w:b/>
          <w:color w:val="0E7C86"/>
          <w:sz w:val="21"/>
        </w:rPr>
        <w:t xml:space="preserve">Hero interior. </w:t>
      </w:r>
      <w:r>
        <w:rPr>
          <w:color w:val="14181B"/>
          <w:sz w:val="21"/>
        </w:rPr>
      </w:r>
    </w:p>
    <w:p>
      <w:pPr>
        <w:pStyle w:val="ListBullet"/>
        <w:spacing w:after="40"/>
      </w:pPr>
      <w:r>
        <w:rPr>
          <w:b/>
          <w:color w:val="0E7C86"/>
          <w:sz w:val="21"/>
        </w:rPr>
        <w:t xml:space="preserve">/01 MSSP · IT — </w:t>
      </w:r>
      <w:r>
        <w:rPr>
          <w:color w:val="14181B"/>
          <w:sz w:val="21"/>
        </w:rPr>
        <w:t>servicio destacado: Plan Base de Ciberseguridad Gestionada (PBCG), con lo que incluye y botón «Calcula tu presupuesto».</w:t>
      </w:r>
    </w:p>
    <w:p>
      <w:pPr>
        <w:pStyle w:val="ListBullet"/>
        <w:spacing w:after="40"/>
      </w:pPr>
      <w:r>
        <w:rPr>
          <w:b/>
          <w:color w:val="0E7C86"/>
          <w:sz w:val="21"/>
        </w:rPr>
        <w:t xml:space="preserve">Cajón «Descubre más» IT — </w:t>
      </w:r>
      <w:r>
        <w:rPr>
          <w:color w:val="14181B"/>
          <w:sz w:val="21"/>
        </w:rPr>
        <w:t>enlace «Ver todos los servicios IT» al catálogo (SOC 24/7, EDR/MDR/XDR, auditorías, perímetro, backup, hardening, pentesting, formación).</w:t>
      </w:r>
    </w:p>
    <w:p>
      <w:pPr>
        <w:pStyle w:val="ListBullet"/>
        <w:spacing w:after="40"/>
      </w:pPr>
      <w:r>
        <w:rPr>
          <w:b/>
          <w:color w:val="0E7C86"/>
          <w:sz w:val="21"/>
        </w:rPr>
        <w:t xml:space="preserve">/02 MSSP · OT — </w:t>
      </w:r>
      <w:r>
        <w:rPr>
          <w:color w:val="14181B"/>
          <w:sz w:val="21"/>
        </w:rPr>
        <w:t>servicio destacado: Monitorización continua – detección y respuesta (SentryN3t), con lo que incluye y CTA.</w:t>
      </w:r>
    </w:p>
    <w:p>
      <w:pPr>
        <w:pStyle w:val="ListBullet"/>
        <w:spacing w:after="40"/>
      </w:pPr>
      <w:r>
        <w:rPr>
          <w:b/>
          <w:color w:val="0E7C86"/>
          <w:sz w:val="21"/>
        </w:rPr>
        <w:t xml:space="preserve">Cajón «Descubre más» OT — </w:t>
      </w:r>
      <w:r>
        <w:rPr>
          <w:color w:val="14181B"/>
          <w:sz w:val="21"/>
        </w:rPr>
        <w:t>enlace «Ver todos los servicios OT» (arquitectura, perímetro OT, parcheo, auditoría OT/ICS, formación).</w:t>
      </w:r>
    </w:p>
    <w:p>
      <w:pPr>
        <w:pStyle w:val="ListBullet"/>
        <w:spacing w:after="40"/>
      </w:pPr>
      <w:r>
        <w:rPr>
          <w:b/>
          <w:color w:val="0E7C86"/>
          <w:sz w:val="21"/>
        </w:rPr>
        <w:t xml:space="preserve">Banda «Nuestro modelo de servicio» + CTA + pie. </w:t>
      </w:r>
      <w:r>
        <w:rPr>
          <w:color w:val="14181B"/>
          <w:sz w:val="21"/>
        </w:rPr>
      </w:r>
    </w:p>
    <w:p>
      <w:pPr>
        <w:spacing w:before="200" w:after="60"/>
      </w:pPr>
      <w:r>
        <w:rPr>
          <w:rFonts w:ascii="Space Mono" w:hAnsi="Space Mono" w:cs="Space Mono"/>
          <w:b/>
          <w:color w:val="14181B"/>
          <w:sz w:val="26"/>
        </w:rPr>
        <w:t>Mensajes clave / copy</w:t>
      </w:r>
    </w:p>
    <w:p>
      <w:pPr>
        <w:pStyle w:val="ListBullet"/>
        <w:spacing w:after="40"/>
      </w:pPr>
      <w:r>
        <w:rPr>
          <w:color w:val="14181B"/>
          <w:sz w:val="21"/>
        </w:rPr>
        <w:t>Menos es más: un servicio ancla por área evita saturar y mejora la conversión.</w:t>
      </w:r>
    </w:p>
    <w:p>
      <w:pPr>
        <w:pStyle w:val="ListBullet"/>
        <w:spacing w:after="40"/>
      </w:pPr>
      <w:r>
        <w:rPr>
          <w:color w:val="14181B"/>
          <w:sz w:val="21"/>
        </w:rPr>
        <w:t>IT: el PBCG es la puerta de entrada; CTA directa a calculadora de presupuesto.</w:t>
      </w:r>
    </w:p>
    <w:p>
      <w:pPr>
        <w:pStyle w:val="ListBullet"/>
        <w:spacing w:after="40"/>
      </w:pPr>
      <w:r>
        <w:rPr>
          <w:color w:val="14181B"/>
          <w:sz w:val="21"/>
        </w:rPr>
        <w:t>OT: monitorización continua con SentryN3t como servicio estrella.</w:t>
      </w:r>
    </w:p>
    <w:p>
      <w:pPr>
        <w:spacing w:before="200" w:after="60"/>
      </w:pPr>
      <w:r>
        <w:rPr>
          <w:rFonts w:ascii="Space Mono" w:hAnsi="Space Mono" w:cs="Space Mono"/>
          <w:b/>
          <w:color w:val="14181B"/>
          <w:sz w:val="26"/>
        </w:rPr>
        <w:t>CTAs</w:t>
      </w:r>
    </w:p>
    <w:p>
      <w:pPr>
        <w:pStyle w:val="ListBullet"/>
        <w:spacing w:after="40"/>
      </w:pPr>
      <w:r>
        <w:rPr>
          <w:b/>
          <w:color w:val="0E7C86"/>
          <w:sz w:val="21"/>
        </w:rPr>
        <w:t xml:space="preserve">Primario IT — </w:t>
      </w:r>
      <w:r>
        <w:rPr>
          <w:color w:val="14181B"/>
          <w:sz w:val="21"/>
        </w:rPr>
        <w:t>Calcula tu presupuesto (a calculadora/formulario).</w:t>
      </w:r>
    </w:p>
    <w:p>
      <w:pPr>
        <w:pStyle w:val="ListBullet"/>
        <w:spacing w:after="40"/>
      </w:pPr>
      <w:r>
        <w:rPr>
          <w:b/>
          <w:color w:val="0E7C86"/>
          <w:sz w:val="21"/>
        </w:rPr>
        <w:t xml:space="preserve">Primario OT — </w:t>
      </w:r>
      <w:r>
        <w:rPr>
          <w:color w:val="14181B"/>
          <w:sz w:val="21"/>
        </w:rPr>
        <w:t>Contáctanos.</w:t>
      </w:r>
    </w:p>
    <w:p>
      <w:pPr>
        <w:pStyle w:val="ListBullet"/>
        <w:spacing w:after="40"/>
      </w:pPr>
      <w:r>
        <w:rPr>
          <w:b/>
          <w:color w:val="0E7C86"/>
          <w:sz w:val="21"/>
        </w:rPr>
        <w:t xml:space="preserve">Cajones — </w:t>
      </w:r>
      <w:r>
        <w:rPr>
          <w:color w:val="14181B"/>
          <w:sz w:val="21"/>
        </w:rPr>
        <w:t>Ver todos los servicios IT / OT (páginas de catálogo).</w:t>
      </w:r>
    </w:p>
    <w:p>
      <w:pPr>
        <w:spacing w:before="200" w:after="60"/>
      </w:pPr>
      <w:r>
        <w:rPr>
          <w:rFonts w:ascii="Space Mono" w:hAnsi="Space Mono" w:cs="Space Mono"/>
          <w:b/>
          <w:color w:val="14181B"/>
          <w:sz w:val="26"/>
        </w:rPr>
        <w:t>SEO</w:t>
      </w:r>
    </w:p>
    <w:p>
      <w:pPr>
        <w:spacing w:after="60"/>
      </w:pPr>
      <w:r>
        <w:rPr>
          <w:rFonts w:ascii="Space Mono" w:hAnsi="Space Mono" w:cs="Space Mono"/>
          <w:b/>
          <w:color w:val="0E7C86"/>
          <w:sz w:val="20"/>
        </w:rPr>
        <w:t xml:space="preserve">URL  </w:t>
      </w:r>
      <w:r>
        <w:rPr>
          <w:color w:val="14181B"/>
          <w:sz w:val="21"/>
        </w:rPr>
        <w:t>/soluciones/mssp</w:t>
      </w:r>
    </w:p>
    <w:p>
      <w:pPr>
        <w:spacing w:after="60"/>
      </w:pPr>
      <w:r>
        <w:rPr>
          <w:rFonts w:ascii="Space Mono" w:hAnsi="Space Mono" w:cs="Space Mono"/>
          <w:b/>
          <w:color w:val="0E7C86"/>
          <w:sz w:val="20"/>
        </w:rPr>
        <w:t xml:space="preserve">Title  </w:t>
      </w:r>
      <w:r>
        <w:rPr>
          <w:color w:val="14181B"/>
          <w:sz w:val="21"/>
        </w:rPr>
        <w:t>Servicios MSSP IT y OT | Ciberseguridad gestionada — ISN Labs  (61 car.)</w:t>
      </w:r>
    </w:p>
    <w:p>
      <w:pPr>
        <w:spacing w:after="60"/>
      </w:pPr>
      <w:r>
        <w:rPr>
          <w:rFonts w:ascii="Space Mono" w:hAnsi="Space Mono" w:cs="Space Mono"/>
          <w:b/>
          <w:color w:val="0E7C86"/>
          <w:sz w:val="20"/>
        </w:rPr>
        <w:t xml:space="preserve">Meta description  </w:t>
      </w:r>
      <w:r>
        <w:rPr>
          <w:color w:val="14181B"/>
          <w:sz w:val="21"/>
        </w:rPr>
        <w:t>Plan Base de Ciberseguridad Gestionada (PBCG), SOC 24/7 y monitorización OT con SentryN3t. Un solo equipo para IT y OT.  (119 car.)</w:t>
      </w:r>
    </w:p>
    <w:p>
      <w:pPr>
        <w:spacing w:after="60"/>
      </w:pPr>
      <w:r>
        <w:rPr>
          <w:rFonts w:ascii="Space Mono" w:hAnsi="Space Mono" w:cs="Space Mono"/>
          <w:b/>
          <w:color w:val="0E7C86"/>
          <w:sz w:val="20"/>
        </w:rPr>
        <w:t xml:space="preserve">H1  </w:t>
      </w:r>
      <w:r>
        <w:rPr>
          <w:color w:val="14181B"/>
          <w:sz w:val="21"/>
        </w:rPr>
        <w:t>Ciberseguridad gestionada IT + OT, un solo equipo</w:t>
      </w:r>
    </w:p>
    <w:p>
      <w:pPr>
        <w:spacing w:after="60"/>
      </w:pPr>
      <w:r>
        <w:rPr>
          <w:rFonts w:ascii="Space Mono" w:hAnsi="Space Mono" w:cs="Space Mono"/>
          <w:b/>
          <w:color w:val="0E7C86"/>
          <w:sz w:val="20"/>
        </w:rPr>
        <w:t xml:space="preserve">Keywords  </w:t>
      </w:r>
      <w:r>
        <w:rPr>
          <w:color w:val="14181B"/>
          <w:sz w:val="21"/>
        </w:rPr>
        <w:t>MSSP, PBCG, SOC gestionado, ciberseguridad OT, SentryN3t, NDR</w:t>
      </w:r>
    </w:p>
    <w:p>
      <w:pPr>
        <w:spacing w:before="200" w:after="60"/>
      </w:pPr>
      <w:r>
        <w:rPr>
          <w:rFonts w:ascii="Space Mono" w:hAnsi="Space Mono" w:cs="Space Mono"/>
          <w:b/>
          <w:color w:val="14181B"/>
          <w:sz w:val="26"/>
        </w:rPr>
        <w:t>Notas para desarrollo</w:t>
      </w:r>
    </w:p>
    <w:p>
      <w:pPr>
        <w:pStyle w:val="ListBullet"/>
        <w:spacing w:after="40"/>
      </w:pPr>
      <w:r>
        <w:rPr>
          <w:color w:val="14181B"/>
          <w:sz w:val="21"/>
        </w:rPr>
        <w:t>Crear 2 páginas de catálogo (IT y OT) con el desglose completo (plantilla Necesidad/Descripción/Incluye/Resultado del portafolio).</w:t>
      </w:r>
    </w:p>
    <w:p>
      <w:pPr>
        <w:pStyle w:val="ListBullet"/>
        <w:spacing w:after="40"/>
      </w:pPr>
      <w:r>
        <w:rPr>
          <w:color w:val="14181B"/>
          <w:sz w:val="21"/>
        </w:rPr>
        <w:t>«Calcula tu presupuesto» → formulario/calculadora del PBCG (definir variables: nº equipos, orígenes de eventos, horas).</w:t>
      </w:r>
    </w:p>
    <w:p>
      <w:pPr>
        <w:pStyle w:val="ListBullet"/>
        <w:spacing w:after="40"/>
      </w:pPr>
      <w:r>
        <w:rPr>
          <w:color w:val="14181B"/>
          <w:sz w:val="21"/>
        </w:rPr>
        <w:t>Tarjeta destacada = componente reutilizable (label, título, incluye, CTA); cajón «descubre más» = componente enlace.</w:t>
      </w:r>
    </w:p>
    <w:p>
      <w:r>
        <w:br w:type="page"/>
      </w:r>
    </w:p>
    <w:p>
      <w:pPr>
        <w:spacing w:before="200" w:after="40"/>
      </w:pPr>
      <w:r>
        <w:rPr>
          <w:rFonts w:ascii="Space Mono" w:hAnsi="Space Mono" w:cs="Space Mono"/>
          <w:b/>
          <w:color w:val="0E7C86"/>
          <w:sz w:val="18"/>
        </w:rPr>
        <w:t>&gt;_ PÁGINA · SOLUCIONES</w:t>
      </w:r>
    </w:p>
    <w:p>
      <w:pPr>
        <w:spacing w:after="0"/>
      </w:pPr>
    </w:p>
    <w:p>
      <w:pPr>
        <w:pStyle w:val="Heading1"/>
        <w:spacing w:before="80" w:after="80"/>
        <w:pBdr>
          <w:bottom w:val="single" w:sz="6" w:space="4" w:color="0E7C86"/>
        </w:pBdr>
      </w:pPr>
      <w:r>
        <w:rPr>
          <w:rFonts w:ascii="Space Mono" w:hAnsi="Space Mono" w:cs="Space Mono"/>
          <w:b/>
          <w:color w:val="0E7C86"/>
          <w:sz w:val="36"/>
        </w:rPr>
        <w:t xml:space="preserve">5  </w:t>
      </w:r>
      <w:r>
        <w:rPr>
          <w:rFonts w:ascii="Space Mono" w:hAnsi="Space Mono" w:cs="Space Mono"/>
          <w:b/>
          <w:color w:val="14181B"/>
          <w:sz w:val="36"/>
        </w:rPr>
        <w:t>GRC · Gobierno, riesgo y cumplimiento</w:t>
      </w:r>
    </w:p>
    <w:p>
      <w:pPr>
        <w:spacing w:before="120" w:after="40"/>
        <w:jc w:val="center"/>
      </w:pPr>
      <w:r>
        <w:drawing>
          <wp:inline xmlns:a="http://schemas.openxmlformats.org/drawingml/2006/main" xmlns:pic="http://schemas.openxmlformats.org/drawingml/2006/picture">
            <wp:extent cx="6007607" cy="6549960"/>
            <wp:docPr id="5" name="Picture 5"/>
            <wp:cNvGraphicFramePr>
              <a:graphicFrameLocks noChangeAspect="1"/>
            </wp:cNvGraphicFramePr>
            <a:graphic>
              <a:graphicData uri="http://schemas.openxmlformats.org/drawingml/2006/picture">
                <pic:pic>
                  <pic:nvPicPr>
                    <pic:cNvPr id="0" name="mk_grc.png"/>
                    <pic:cNvPicPr/>
                  </pic:nvPicPr>
                  <pic:blipFill>
                    <a:blip r:embed="rId13"/>
                    <a:stretch>
                      <a:fillRect/>
                    </a:stretch>
                  </pic:blipFill>
                  <pic:spPr>
                    <a:xfrm>
                      <a:off x="0" y="0"/>
                      <a:ext cx="6007607" cy="6549960"/>
                    </a:xfrm>
                    <a:prstGeom prst="rect"/>
                  </pic:spPr>
                </pic:pic>
              </a:graphicData>
            </a:graphic>
          </wp:inline>
        </w:drawing>
      </w:r>
    </w:p>
    <w:p>
      <w:pPr>
        <w:spacing w:after="160"/>
        <w:jc w:val="center"/>
      </w:pPr>
      <w:r>
        <w:rPr>
          <w:i/>
          <w:color w:val="8A9399"/>
          <w:sz w:val="17"/>
        </w:rPr>
        <w:t>GRC — marcos principales + catálogo.</w:t>
      </w:r>
    </w:p>
    <w:p>
      <w:pPr>
        <w:spacing w:before="200" w:after="60"/>
      </w:pPr>
      <w:r>
        <w:rPr>
          <w:rFonts w:ascii="Space Mono" w:hAnsi="Space Mono" w:cs="Space Mono"/>
          <w:b/>
          <w:color w:val="14181B"/>
          <w:sz w:val="26"/>
        </w:rPr>
        <w:t>Objetivo</w:t>
      </w:r>
    </w:p>
    <w:p>
      <w:pPr>
        <w:spacing w:after="120" w:before="0"/>
      </w:pPr>
      <w:r>
        <w:rPr>
          <w:rFonts w:ascii="Noto Sans" w:hAnsi="Noto Sans" w:cs="Noto Sans"/>
          <w:b w:val="0"/>
          <w:i w:val="0"/>
          <w:color w:val="14181B"/>
          <w:sz w:val="21"/>
        </w:rPr>
        <w:t>Destacar los marcos más demandados y derivar el resto del catálogo a una página de detalle.</w:t>
      </w:r>
    </w:p>
    <w:p>
      <w:pPr>
        <w:spacing w:before="200" w:after="60"/>
      </w:pPr>
      <w:r>
        <w:rPr>
          <w:rFonts w:ascii="Space Mono" w:hAnsi="Space Mono" w:cs="Space Mono"/>
          <w:b/>
          <w:color w:val="14181B"/>
          <w:sz w:val="26"/>
        </w:rPr>
        <w:t>Estructura de la página (de arriba a abajo)</w:t>
      </w:r>
    </w:p>
    <w:p>
      <w:pPr>
        <w:pStyle w:val="ListBullet"/>
        <w:spacing w:after="40"/>
      </w:pPr>
      <w:r>
        <w:rPr>
          <w:b/>
          <w:color w:val="0E7C86"/>
          <w:sz w:val="21"/>
        </w:rPr>
        <w:t xml:space="preserve">Hero interior. </w:t>
      </w:r>
      <w:r>
        <w:rPr>
          <w:color w:val="14181B"/>
          <w:sz w:val="21"/>
        </w:rPr>
      </w:r>
    </w:p>
    <w:p>
      <w:pPr>
        <w:pStyle w:val="ListBullet"/>
        <w:spacing w:after="40"/>
      </w:pPr>
      <w:r>
        <w:rPr>
          <w:b/>
          <w:color w:val="0E7C86"/>
          <w:sz w:val="21"/>
        </w:rPr>
        <w:t xml:space="preserve">/01 Marcos principales — </w:t>
      </w:r>
      <w:r>
        <w:rPr>
          <w:color w:val="14181B"/>
          <w:sz w:val="21"/>
        </w:rPr>
        <w:t>4 tarjetas destacadas: ENS, ISO 42001, ISO 27001 y NIS2, cada una con «Saber más».</w:t>
      </w:r>
    </w:p>
    <w:p>
      <w:pPr>
        <w:pStyle w:val="ListBullet"/>
        <w:spacing w:after="40"/>
      </w:pPr>
      <w:r>
        <w:rPr>
          <w:b/>
          <w:color w:val="0E7C86"/>
          <w:sz w:val="21"/>
        </w:rPr>
        <w:t xml:space="preserve">Cajón «Descubre más» — </w:t>
      </w:r>
      <w:r>
        <w:rPr>
          <w:color w:val="14181B"/>
          <w:sz w:val="21"/>
        </w:rPr>
        <w:t>«Ver todos los servicios GRC» (ISO 27701, ISO 22301, RGPD/LOPDGDD, DPO as a Service, SGSI, Plan Director, vCISO).</w:t>
      </w:r>
    </w:p>
    <w:p>
      <w:pPr>
        <w:pStyle w:val="ListBullet"/>
        <w:spacing w:after="40"/>
      </w:pPr>
      <w:r>
        <w:rPr>
          <w:b/>
          <w:color w:val="0E7C86"/>
          <w:sz w:val="21"/>
        </w:rPr>
        <w:t xml:space="preserve">/02 I+D+i — </w:t>
      </w:r>
      <w:r>
        <w:rPr>
          <w:color w:val="14181B"/>
          <w:sz w:val="21"/>
        </w:rPr>
        <w:t>D1 proyectos en colaboración, D2 financiación.</w:t>
      </w:r>
    </w:p>
    <w:p>
      <w:pPr>
        <w:pStyle w:val="ListBullet"/>
        <w:spacing w:after="40"/>
      </w:pPr>
      <w:r>
        <w:rPr>
          <w:b/>
          <w:color w:val="0E7C86"/>
          <w:sz w:val="21"/>
        </w:rPr>
        <w:t xml:space="preserve">Banda «Por qué ISN Labs en GRC» + CTA + pie. </w:t>
      </w:r>
      <w:r>
        <w:rPr>
          <w:color w:val="14181B"/>
          <w:sz w:val="21"/>
        </w:rPr>
      </w:r>
    </w:p>
    <w:p>
      <w:pPr>
        <w:spacing w:before="200" w:after="60"/>
      </w:pPr>
      <w:r>
        <w:rPr>
          <w:rFonts w:ascii="Space Mono" w:hAnsi="Space Mono" w:cs="Space Mono"/>
          <w:b/>
          <w:color w:val="14181B"/>
          <w:sz w:val="26"/>
        </w:rPr>
        <w:t>Mensajes clave / copy</w:t>
      </w:r>
    </w:p>
    <w:p>
      <w:pPr>
        <w:pStyle w:val="ListBullet"/>
        <w:spacing w:after="40"/>
      </w:pPr>
      <w:r>
        <w:rPr>
          <w:color w:val="14181B"/>
          <w:sz w:val="21"/>
        </w:rPr>
        <w:t>Foco en lo que más piden: ENS, ISO 42001, ISO 27001 y NIS2.</w:t>
      </w:r>
    </w:p>
    <w:p>
      <w:pPr>
        <w:pStyle w:val="ListBullet"/>
        <w:spacing w:after="40"/>
      </w:pPr>
      <w:r>
        <w:rPr>
          <w:color w:val="14181B"/>
          <w:sz w:val="21"/>
        </w:rPr>
        <w:t>Proporcionalidad: sistemas útiles, ni sobre-documentar ni sobre-licenciar.</w:t>
      </w:r>
    </w:p>
    <w:p>
      <w:pPr>
        <w:pStyle w:val="ListBullet"/>
        <w:spacing w:after="40"/>
      </w:pPr>
      <w:r>
        <w:rPr>
          <w:color w:val="14181B"/>
          <w:sz w:val="21"/>
        </w:rPr>
        <w:t>GRC conectado al MSSP: cumplimiento con evidencias reales.</w:t>
      </w:r>
    </w:p>
    <w:p>
      <w:pPr>
        <w:spacing w:before="200" w:after="60"/>
      </w:pPr>
      <w:r>
        <w:rPr>
          <w:rFonts w:ascii="Space Mono" w:hAnsi="Space Mono" w:cs="Space Mono"/>
          <w:b/>
          <w:color w:val="14181B"/>
          <w:sz w:val="26"/>
        </w:rPr>
        <w:t>CTAs</w:t>
      </w:r>
    </w:p>
    <w:p>
      <w:pPr>
        <w:pStyle w:val="ListBullet"/>
        <w:spacing w:after="40"/>
      </w:pPr>
      <w:r>
        <w:rPr>
          <w:b/>
          <w:color w:val="0E7C86"/>
          <w:sz w:val="21"/>
        </w:rPr>
        <w:t xml:space="preserve">Primario — </w:t>
      </w:r>
      <w:r>
        <w:rPr>
          <w:color w:val="14181B"/>
          <w:sz w:val="21"/>
        </w:rPr>
        <w:t>Hablar con GRC.</w:t>
      </w:r>
    </w:p>
    <w:p>
      <w:pPr>
        <w:pStyle w:val="ListBullet"/>
        <w:spacing w:after="40"/>
      </w:pPr>
      <w:r>
        <w:rPr>
          <w:b/>
          <w:color w:val="0E7C86"/>
          <w:sz w:val="21"/>
        </w:rPr>
        <w:t xml:space="preserve">Secundario — </w:t>
      </w:r>
      <w:r>
        <w:rPr>
          <w:color w:val="14181B"/>
          <w:sz w:val="21"/>
        </w:rPr>
        <w:t>Ver servicios MSSP.</w:t>
      </w:r>
    </w:p>
    <w:p>
      <w:pPr>
        <w:pStyle w:val="ListBullet"/>
        <w:spacing w:after="40"/>
      </w:pPr>
      <w:r>
        <w:rPr>
          <w:b/>
          <w:color w:val="0E7C86"/>
          <w:sz w:val="21"/>
        </w:rPr>
        <w:t xml:space="preserve">Tarjetas — </w:t>
      </w:r>
      <w:r>
        <w:rPr>
          <w:color w:val="14181B"/>
          <w:sz w:val="21"/>
        </w:rPr>
        <w:t>Saber más por marco.</w:t>
      </w:r>
    </w:p>
    <w:p>
      <w:pPr>
        <w:spacing w:before="200" w:after="60"/>
      </w:pPr>
      <w:r>
        <w:rPr>
          <w:rFonts w:ascii="Space Mono" w:hAnsi="Space Mono" w:cs="Space Mono"/>
          <w:b/>
          <w:color w:val="14181B"/>
          <w:sz w:val="26"/>
        </w:rPr>
        <w:t>SEO</w:t>
      </w:r>
    </w:p>
    <w:p>
      <w:pPr>
        <w:spacing w:after="60"/>
      </w:pPr>
      <w:r>
        <w:rPr>
          <w:rFonts w:ascii="Space Mono" w:hAnsi="Space Mono" w:cs="Space Mono"/>
          <w:b/>
          <w:color w:val="0E7C86"/>
          <w:sz w:val="20"/>
        </w:rPr>
        <w:t xml:space="preserve">URL  </w:t>
      </w:r>
      <w:r>
        <w:rPr>
          <w:color w:val="14181B"/>
          <w:sz w:val="21"/>
        </w:rPr>
        <w:t>/soluciones/grc</w:t>
      </w:r>
    </w:p>
    <w:p>
      <w:pPr>
        <w:spacing w:after="60"/>
      </w:pPr>
      <w:r>
        <w:rPr>
          <w:rFonts w:ascii="Space Mono" w:hAnsi="Space Mono" w:cs="Space Mono"/>
          <w:b/>
          <w:color w:val="0E7C86"/>
          <w:sz w:val="20"/>
        </w:rPr>
        <w:t xml:space="preserve">Title  </w:t>
      </w:r>
      <w:r>
        <w:rPr>
          <w:color w:val="14181B"/>
          <w:sz w:val="21"/>
        </w:rPr>
        <w:t>Consultoría GRC: ENS, ISO 27001, ISO 42001 y NIS2 — ISN Labs  (60 car.)</w:t>
      </w:r>
    </w:p>
    <w:p>
      <w:pPr>
        <w:spacing w:after="60"/>
      </w:pPr>
      <w:r>
        <w:rPr>
          <w:rFonts w:ascii="Space Mono" w:hAnsi="Space Mono" w:cs="Space Mono"/>
          <w:b/>
          <w:color w:val="0E7C86"/>
          <w:sz w:val="20"/>
        </w:rPr>
        <w:t xml:space="preserve">Meta description  </w:t>
      </w:r>
      <w:r>
        <w:rPr>
          <w:color w:val="14181B"/>
          <w:sz w:val="21"/>
        </w:rPr>
        <w:t>Adecuación y certificación ENS, ISO 27001, ISO 42001 y NIS2, más RGPD, DPO as a Service y Plan Director. Cumplimiento proporcional.  (131 car.)</w:t>
      </w:r>
    </w:p>
    <w:p>
      <w:pPr>
        <w:spacing w:after="60"/>
      </w:pPr>
      <w:r>
        <w:rPr>
          <w:rFonts w:ascii="Space Mono" w:hAnsi="Space Mono" w:cs="Space Mono"/>
          <w:b/>
          <w:color w:val="0E7C86"/>
          <w:sz w:val="20"/>
        </w:rPr>
        <w:t xml:space="preserve">H1  </w:t>
      </w:r>
      <w:r>
        <w:rPr>
          <w:color w:val="14181B"/>
          <w:sz w:val="21"/>
        </w:rPr>
        <w:t>Gobierno, riesgo y cumplimiento (GRC)</w:t>
      </w:r>
    </w:p>
    <w:p>
      <w:pPr>
        <w:spacing w:after="60"/>
      </w:pPr>
      <w:r>
        <w:rPr>
          <w:rFonts w:ascii="Space Mono" w:hAnsi="Space Mono" w:cs="Space Mono"/>
          <w:b/>
          <w:color w:val="0E7C86"/>
          <w:sz w:val="20"/>
        </w:rPr>
        <w:t xml:space="preserve">Keywords  </w:t>
      </w:r>
      <w:r>
        <w:rPr>
          <w:color w:val="14181B"/>
          <w:sz w:val="21"/>
        </w:rPr>
        <w:t>ENS, ISO 27001, ISO 42001, NIS2, DPO as a service, consultoría GRC</w:t>
      </w:r>
    </w:p>
    <w:p>
      <w:pPr>
        <w:spacing w:before="200" w:after="60"/>
      </w:pPr>
      <w:r>
        <w:rPr>
          <w:rFonts w:ascii="Space Mono" w:hAnsi="Space Mono" w:cs="Space Mono"/>
          <w:b/>
          <w:color w:val="14181B"/>
          <w:sz w:val="26"/>
        </w:rPr>
        <w:t>Notas para desarrollo</w:t>
      </w:r>
    </w:p>
    <w:p>
      <w:pPr>
        <w:pStyle w:val="ListBullet"/>
        <w:spacing w:after="40"/>
      </w:pPr>
      <w:r>
        <w:rPr>
          <w:color w:val="14181B"/>
          <w:sz w:val="21"/>
        </w:rPr>
        <w:t>Cada marco destacado (ENS, ISO 42001, ISO 27001, NIS2) puede ser una landing SEO propia.</w:t>
      </w:r>
    </w:p>
    <w:p>
      <w:pPr>
        <w:pStyle w:val="ListBullet"/>
        <w:spacing w:after="40"/>
      </w:pPr>
      <w:r>
        <w:rPr>
          <w:color w:val="14181B"/>
          <w:sz w:val="21"/>
        </w:rPr>
        <w:t>Página de catálogo GRC con el resto de servicios.</w:t>
      </w:r>
    </w:p>
    <w:p>
      <w:pPr>
        <w:pStyle w:val="ListBullet"/>
        <w:spacing w:after="40"/>
      </w:pPr>
      <w:r>
        <w:rPr>
          <w:color w:val="14181B"/>
          <w:sz w:val="21"/>
        </w:rPr>
        <w:t>Evitar prometer plazos concretos de certificación en el copy.</w:t>
      </w:r>
    </w:p>
    <w:p>
      <w:r>
        <w:br w:type="page"/>
      </w:r>
    </w:p>
    <w:p>
      <w:pPr>
        <w:spacing w:before="200" w:after="40"/>
      </w:pPr>
      <w:r>
        <w:rPr>
          <w:rFonts w:ascii="Space Mono" w:hAnsi="Space Mono" w:cs="Space Mono"/>
          <w:b/>
          <w:color w:val="0E7C86"/>
          <w:sz w:val="18"/>
        </w:rPr>
        <w:t>&gt;_ PÁGINA · CLAVE</w:t>
      </w:r>
    </w:p>
    <w:p>
      <w:pPr>
        <w:spacing w:after="0"/>
      </w:pPr>
    </w:p>
    <w:p>
      <w:pPr>
        <w:pStyle w:val="Heading1"/>
        <w:spacing w:before="80" w:after="80"/>
        <w:pBdr>
          <w:bottom w:val="single" w:sz="6" w:space="4" w:color="0E7C86"/>
        </w:pBdr>
      </w:pPr>
      <w:r>
        <w:rPr>
          <w:rFonts w:ascii="Space Mono" w:hAnsi="Space Mono" w:cs="Space Mono"/>
          <w:b/>
          <w:color w:val="0E7C86"/>
          <w:sz w:val="36"/>
        </w:rPr>
        <w:t xml:space="preserve">6  </w:t>
      </w:r>
      <w:r>
        <w:rPr>
          <w:rFonts w:ascii="Space Mono" w:hAnsi="Space Mono" w:cs="Space Mono"/>
          <w:b/>
          <w:color w:val="14181B"/>
          <w:sz w:val="36"/>
        </w:rPr>
        <w:t>Licencias y tecnología</w:t>
      </w:r>
    </w:p>
    <w:p>
      <w:pPr>
        <w:spacing w:before="120" w:after="40"/>
        <w:jc w:val="center"/>
      </w:pPr>
      <w:r>
        <w:drawing>
          <wp:inline xmlns:a="http://schemas.openxmlformats.org/drawingml/2006/main" xmlns:pic="http://schemas.openxmlformats.org/drawingml/2006/picture">
            <wp:extent cx="4492519" cy="7680960"/>
            <wp:docPr id="6" name="Picture 6"/>
            <wp:cNvGraphicFramePr>
              <a:graphicFrameLocks noChangeAspect="1"/>
            </wp:cNvGraphicFramePr>
            <a:graphic>
              <a:graphicData uri="http://schemas.openxmlformats.org/drawingml/2006/picture">
                <pic:pic>
                  <pic:nvPicPr>
                    <pic:cNvPr id="0" name="mk_licencias.png"/>
                    <pic:cNvPicPr/>
                  </pic:nvPicPr>
                  <pic:blipFill>
                    <a:blip r:embed="rId14"/>
                    <a:stretch>
                      <a:fillRect/>
                    </a:stretch>
                  </pic:blipFill>
                  <pic:spPr>
                    <a:xfrm>
                      <a:off x="0" y="0"/>
                      <a:ext cx="4492519" cy="7680960"/>
                    </a:xfrm>
                    <a:prstGeom prst="rect"/>
                  </pic:spPr>
                </pic:pic>
              </a:graphicData>
            </a:graphic>
          </wp:inline>
        </w:drawing>
      </w:r>
    </w:p>
    <w:p>
      <w:pPr>
        <w:spacing w:after="160"/>
        <w:jc w:val="center"/>
      </w:pPr>
      <w:r>
        <w:rPr>
          <w:i/>
          <w:color w:val="8A9399"/>
          <w:sz w:val="17"/>
        </w:rPr>
        <w:t>Licencias — SentryN3t destacado + Microsoft/Huntress/OPNsense/Fortinet. (Página solicitada.)</w:t>
      </w:r>
    </w:p>
    <w:p>
      <w:pPr>
        <w:spacing w:before="200" w:after="60"/>
      </w:pPr>
      <w:r>
        <w:rPr>
          <w:rFonts w:ascii="Space Mono" w:hAnsi="Space Mono" w:cs="Space Mono"/>
          <w:b/>
          <w:color w:val="14181B"/>
          <w:sz w:val="26"/>
        </w:rPr>
        <w:t>Objetivo</w:t>
      </w:r>
    </w:p>
    <w:p>
      <w:pPr>
        <w:spacing w:after="120" w:before="0"/>
      </w:pPr>
      <w:r>
        <w:rPr>
          <w:rFonts w:ascii="Noto Sans" w:hAnsi="Noto Sans" w:cs="Noto Sans"/>
          <w:b w:val="0"/>
          <w:i w:val="0"/>
          <w:color w:val="14181B"/>
          <w:sz w:val="21"/>
        </w:rPr>
        <w:t>Explicar el modelo de licenciamiento gestionado y destacar SentryN3t (Ewala) y el resto de licencias que ISN Labs despliega.</w:t>
      </w:r>
    </w:p>
    <w:p>
      <w:pPr>
        <w:spacing w:before="200" w:after="60"/>
      </w:pPr>
      <w:r>
        <w:rPr>
          <w:rFonts w:ascii="Space Mono" w:hAnsi="Space Mono" w:cs="Space Mono"/>
          <w:b/>
          <w:color w:val="14181B"/>
          <w:sz w:val="26"/>
        </w:rPr>
        <w:t>Estructura de la página (de arriba a abajo)</w:t>
      </w:r>
    </w:p>
    <w:p>
      <w:pPr>
        <w:pStyle w:val="ListBullet"/>
        <w:spacing w:after="40"/>
      </w:pPr>
      <w:r>
        <w:rPr>
          <w:b/>
          <w:color w:val="0E7C86"/>
          <w:sz w:val="21"/>
        </w:rPr>
        <w:t xml:space="preserve">Hero interior. </w:t>
      </w:r>
      <w:r>
        <w:rPr>
          <w:color w:val="14181B"/>
          <w:sz w:val="21"/>
        </w:rPr>
      </w:r>
    </w:p>
    <w:p>
      <w:pPr>
        <w:pStyle w:val="ListBullet"/>
        <w:spacing w:after="40"/>
      </w:pPr>
      <w:r>
        <w:rPr>
          <w:b/>
          <w:color w:val="0E7C86"/>
          <w:sz w:val="21"/>
        </w:rPr>
        <w:t xml:space="preserve">/01 Tecnología destacada: SentryN3t — </w:t>
      </w:r>
      <w:r>
        <w:rPr>
          <w:color w:val="14181B"/>
          <w:sz w:val="21"/>
        </w:rPr>
        <w:t>descripción, chips, modelo de licencia y enlace «Saber más» (ewala.es). Debajo, 3 niveles.</w:t>
      </w:r>
    </w:p>
    <w:p>
      <w:pPr>
        <w:pStyle w:val="ListBullet"/>
        <w:spacing w:after="40"/>
      </w:pPr>
      <w:r>
        <w:rPr>
          <w:b/>
          <w:color w:val="0E7C86"/>
          <w:sz w:val="21"/>
        </w:rPr>
        <w:t xml:space="preserve">Niveles SentryN3t — </w:t>
      </w:r>
      <w:r>
        <w:rPr>
          <w:color w:val="14181B"/>
          <w:sz w:val="21"/>
        </w:rPr>
        <w:t>Despliegue · Despliegue + monitorización 8x5 (recomendado) · Despliegue + monitorización 24x7.</w:t>
      </w:r>
    </w:p>
    <w:p>
      <w:pPr>
        <w:pStyle w:val="ListBullet"/>
        <w:spacing w:after="40"/>
      </w:pPr>
      <w:r>
        <w:rPr>
          <w:b/>
          <w:color w:val="0E7C86"/>
          <w:sz w:val="21"/>
        </w:rPr>
        <w:t xml:space="preserve">/02 Licencias — </w:t>
      </w:r>
      <w:r>
        <w:rPr>
          <w:color w:val="14181B"/>
          <w:sz w:val="21"/>
        </w:rPr>
        <w:t>4 tarjetas: Microsoft (365, Defender, Entra, Intune), Huntress (MDR/EDR), OPNsense (firewall) y Fortinet (NGFW), todas «+ gestión ISN Labs».</w:t>
      </w:r>
    </w:p>
    <w:p>
      <w:pPr>
        <w:pStyle w:val="ListBullet"/>
        <w:spacing w:after="40"/>
      </w:pPr>
      <w:r>
        <w:rPr>
          <w:b/>
          <w:color w:val="0E7C86"/>
          <w:sz w:val="21"/>
        </w:rPr>
        <w:t xml:space="preserve">Banda «Otras tecnologías» + «Cómo funciona» (4 pasos) + CTA + pie. </w:t>
      </w:r>
      <w:r>
        <w:rPr>
          <w:color w:val="14181B"/>
          <w:sz w:val="21"/>
        </w:rPr>
      </w:r>
    </w:p>
    <w:p>
      <w:pPr>
        <w:spacing w:before="200" w:after="60"/>
      </w:pPr>
      <w:r>
        <w:rPr>
          <w:rFonts w:ascii="Space Mono" w:hAnsi="Space Mono" w:cs="Space Mono"/>
          <w:b/>
          <w:color w:val="14181B"/>
          <w:sz w:val="26"/>
        </w:rPr>
        <w:t>Mensajes clave / copy</w:t>
      </w:r>
    </w:p>
    <w:p>
      <w:pPr>
        <w:pStyle w:val="ListBullet"/>
        <w:spacing w:after="40"/>
      </w:pPr>
      <w:r>
        <w:rPr>
          <w:color w:val="14181B"/>
          <w:sz w:val="21"/>
        </w:rPr>
        <w:t>SentryN3t es la tecnología estrella (NDR europeo con IA); ISN Labs es partner de despliegue.</w:t>
      </w:r>
    </w:p>
    <w:p>
      <w:pPr>
        <w:pStyle w:val="ListBullet"/>
        <w:spacing w:after="40"/>
      </w:pPr>
      <w:r>
        <w:rPr>
          <w:color w:val="14181B"/>
          <w:sz w:val="21"/>
        </w:rPr>
        <w:t>Niveles por cobertura: solo despliegue, o con monitorización gestionada 8x5 o 24x7.</w:t>
      </w:r>
    </w:p>
    <w:p>
      <w:pPr>
        <w:pStyle w:val="ListBullet"/>
        <w:spacing w:after="40"/>
      </w:pPr>
      <w:r>
        <w:rPr>
          <w:color w:val="14181B"/>
          <w:sz w:val="21"/>
        </w:rPr>
        <w:t>Licenciamos y gestionamos Microsoft, Huntress, OPNsense y Fortinet en un único contrato.</w:t>
      </w:r>
    </w:p>
    <w:p>
      <w:pPr>
        <w:spacing w:before="200" w:after="60"/>
      </w:pPr>
      <w:r>
        <w:rPr>
          <w:rFonts w:ascii="Space Mono" w:hAnsi="Space Mono" w:cs="Space Mono"/>
          <w:b/>
          <w:color w:val="14181B"/>
          <w:sz w:val="26"/>
        </w:rPr>
        <w:t>CTAs</w:t>
      </w:r>
    </w:p>
    <w:p>
      <w:pPr>
        <w:pStyle w:val="ListBullet"/>
        <w:spacing w:after="40"/>
      </w:pPr>
      <w:r>
        <w:rPr>
          <w:b/>
          <w:color w:val="0E7C86"/>
          <w:sz w:val="21"/>
        </w:rPr>
        <w:t xml:space="preserve">Primario — </w:t>
      </w:r>
      <w:r>
        <w:rPr>
          <w:color w:val="14181B"/>
          <w:sz w:val="21"/>
        </w:rPr>
        <w:t>Pedir propuesta.</w:t>
      </w:r>
    </w:p>
    <w:p>
      <w:pPr>
        <w:pStyle w:val="ListBullet"/>
        <w:spacing w:after="40"/>
      </w:pPr>
      <w:r>
        <w:rPr>
          <w:b/>
          <w:color w:val="0E7C86"/>
          <w:sz w:val="21"/>
        </w:rPr>
        <w:t xml:space="preserve">SentryN3t — </w:t>
      </w:r>
      <w:r>
        <w:rPr>
          <w:color w:val="14181B"/>
          <w:sz w:val="21"/>
        </w:rPr>
        <w:t>«Saber más» → ewala.es.</w:t>
      </w:r>
    </w:p>
    <w:p>
      <w:pPr>
        <w:pStyle w:val="ListBullet"/>
        <w:spacing w:after="40"/>
      </w:pPr>
      <w:r>
        <w:rPr>
          <w:b/>
          <w:color w:val="0E7C86"/>
          <w:sz w:val="21"/>
        </w:rPr>
        <w:t xml:space="preserve">Por nivel — </w:t>
      </w:r>
      <w:r>
        <w:rPr>
          <w:color w:val="14181B"/>
          <w:sz w:val="21"/>
        </w:rPr>
        <w:t>Solicitar.</w:t>
      </w:r>
    </w:p>
    <w:p>
      <w:pPr>
        <w:spacing w:before="200" w:after="60"/>
      </w:pPr>
      <w:r>
        <w:rPr>
          <w:rFonts w:ascii="Space Mono" w:hAnsi="Space Mono" w:cs="Space Mono"/>
          <w:b/>
          <w:color w:val="14181B"/>
          <w:sz w:val="26"/>
        </w:rPr>
        <w:t>SEO</w:t>
      </w:r>
    </w:p>
    <w:p>
      <w:pPr>
        <w:spacing w:after="60"/>
      </w:pPr>
      <w:r>
        <w:rPr>
          <w:rFonts w:ascii="Space Mono" w:hAnsi="Space Mono" w:cs="Space Mono"/>
          <w:b/>
          <w:color w:val="0E7C86"/>
          <w:sz w:val="20"/>
        </w:rPr>
        <w:t xml:space="preserve">URL  </w:t>
      </w:r>
      <w:r>
        <w:rPr>
          <w:color w:val="14181B"/>
          <w:sz w:val="21"/>
        </w:rPr>
        <w:t>/software</w:t>
      </w:r>
    </w:p>
    <w:p>
      <w:pPr>
        <w:spacing w:after="60"/>
      </w:pPr>
      <w:r>
        <w:rPr>
          <w:rFonts w:ascii="Space Mono" w:hAnsi="Space Mono" w:cs="Space Mono"/>
          <w:b/>
          <w:color w:val="0E7C86"/>
          <w:sz w:val="20"/>
        </w:rPr>
        <w:t xml:space="preserve">Title  </w:t>
      </w:r>
      <w:r>
        <w:rPr>
          <w:color w:val="14181B"/>
          <w:sz w:val="21"/>
        </w:rPr>
        <w:t>Software y licencias: SentryN3t, Microsoft, Huntress, OPNsense, Fortinet — ISN Labs  (83 car.)</w:t>
      </w:r>
    </w:p>
    <w:p>
      <w:pPr>
        <w:spacing w:after="60"/>
      </w:pPr>
      <w:r>
        <w:rPr>
          <w:rFonts w:ascii="Space Mono" w:hAnsi="Space Mono" w:cs="Space Mono"/>
          <w:b/>
          <w:color w:val="0E7C86"/>
          <w:sz w:val="20"/>
        </w:rPr>
        <w:t xml:space="preserve">Meta description  </w:t>
      </w:r>
      <w:r>
        <w:rPr>
          <w:color w:val="14181B"/>
          <w:sz w:val="21"/>
        </w:rPr>
        <w:t>NDR SentryN3t (Ewala) y licencias Microsoft, Huntress, OPNsense y Fortinet, desplegadas y gestionadas por ISN Labs. Propuesta a medida.  (135 car.)</w:t>
      </w:r>
    </w:p>
    <w:p>
      <w:pPr>
        <w:spacing w:after="60"/>
      </w:pPr>
      <w:r>
        <w:rPr>
          <w:rFonts w:ascii="Space Mono" w:hAnsi="Space Mono" w:cs="Space Mono"/>
          <w:b/>
          <w:color w:val="0E7C86"/>
          <w:sz w:val="20"/>
        </w:rPr>
        <w:t xml:space="preserve">H1  </w:t>
      </w:r>
      <w:r>
        <w:rPr>
          <w:color w:val="14181B"/>
          <w:sz w:val="21"/>
        </w:rPr>
        <w:t>Licencias y tecnología que desplegamos y gestionamos</w:t>
      </w:r>
    </w:p>
    <w:p>
      <w:pPr>
        <w:spacing w:after="60"/>
      </w:pPr>
      <w:r>
        <w:rPr>
          <w:rFonts w:ascii="Space Mono" w:hAnsi="Space Mono" w:cs="Space Mono"/>
          <w:b/>
          <w:color w:val="0E7C86"/>
          <w:sz w:val="20"/>
        </w:rPr>
        <w:t xml:space="preserve">Keywords  </w:t>
      </w:r>
      <w:r>
        <w:rPr>
          <w:color w:val="14181B"/>
          <w:sz w:val="21"/>
        </w:rPr>
        <w:t>SentryN3t, NDR, licencias Microsoft, Huntress, OPNsense, Fortinet</w:t>
      </w:r>
    </w:p>
    <w:p>
      <w:pPr>
        <w:spacing w:before="200" w:after="60"/>
      </w:pPr>
      <w:r>
        <w:rPr>
          <w:rFonts w:ascii="Space Mono" w:hAnsi="Space Mono" w:cs="Space Mono"/>
          <w:b/>
          <w:color w:val="14181B"/>
          <w:sz w:val="26"/>
        </w:rPr>
        <w:t>Notas para desarrollo</w:t>
      </w:r>
    </w:p>
    <w:p>
      <w:pPr>
        <w:pStyle w:val="ListBullet"/>
        <w:spacing w:after="40"/>
      </w:pPr>
      <w:r>
        <w:rPr>
          <w:color w:val="14181B"/>
          <w:sz w:val="21"/>
        </w:rPr>
        <w:t>En la nav el enlace se llama «Software»; la URL sugerida es /software.</w:t>
      </w:r>
    </w:p>
    <w:p>
      <w:pPr>
        <w:pStyle w:val="ListBullet"/>
        <w:spacing w:after="40"/>
      </w:pPr>
      <w:r>
        <w:rPr>
          <w:color w:val="14181B"/>
          <w:sz w:val="21"/>
        </w:rPr>
        <w:t>IMPORTANTE: los precios NO se muestran («Según alcance» / «Consultar»). No publicar tarifas sin aprobación.</w:t>
      </w:r>
    </w:p>
    <w:p>
      <w:pPr>
        <w:pStyle w:val="ListBullet"/>
        <w:spacing w:after="40"/>
      </w:pPr>
      <w:r>
        <w:rPr>
          <w:color w:val="14181B"/>
          <w:sz w:val="21"/>
        </w:rPr>
        <w:t>«Saber más» de SentryN3t enlaza a ewala.es. Incluir aviso «SentryN3t® es una marca de Ewala».</w:t>
      </w:r>
    </w:p>
    <w:p>
      <w:pPr>
        <w:pStyle w:val="ListBullet"/>
        <w:spacing w:after="40"/>
      </w:pPr>
      <w:r>
        <w:rPr>
          <w:color w:val="14181B"/>
          <w:sz w:val="21"/>
        </w:rPr>
        <w:t>Usar los logos de Microsoft, Huntress, OPNsense, Fortinet y Ewala según sus normas de marca (no recolorear).</w:t>
      </w:r>
    </w:p>
    <w:p>
      <w:r>
        <w:br w:type="page"/>
      </w:r>
    </w:p>
    <w:p>
      <w:pPr>
        <w:spacing w:before="200" w:after="40"/>
      </w:pPr>
      <w:r>
        <w:rPr>
          <w:rFonts w:ascii="Space Mono" w:hAnsi="Space Mono" w:cs="Space Mono"/>
          <w:b/>
          <w:color w:val="0E7C86"/>
          <w:sz w:val="18"/>
        </w:rPr>
        <w:t>&gt;_ PÁGINA</w:t>
      </w:r>
    </w:p>
    <w:p>
      <w:pPr>
        <w:spacing w:after="0"/>
      </w:pPr>
    </w:p>
    <w:p>
      <w:pPr>
        <w:pStyle w:val="Heading1"/>
        <w:spacing w:before="80" w:after="80"/>
        <w:pBdr>
          <w:bottom w:val="single" w:sz="6" w:space="4" w:color="0E7C86"/>
        </w:pBdr>
      </w:pPr>
      <w:r>
        <w:rPr>
          <w:rFonts w:ascii="Space Mono" w:hAnsi="Space Mono" w:cs="Space Mono"/>
          <w:b/>
          <w:color w:val="0E7C86"/>
          <w:sz w:val="36"/>
        </w:rPr>
        <w:t xml:space="preserve">7  </w:t>
      </w:r>
      <w:r>
        <w:rPr>
          <w:rFonts w:ascii="Space Mono" w:hAnsi="Space Mono" w:cs="Space Mono"/>
          <w:b/>
          <w:color w:val="14181B"/>
          <w:sz w:val="36"/>
        </w:rPr>
        <w:t>Sectores</w:t>
      </w:r>
    </w:p>
    <w:p>
      <w:pPr>
        <w:spacing w:before="120" w:after="40"/>
        <w:jc w:val="center"/>
      </w:pPr>
      <w:r>
        <w:drawing>
          <wp:inline xmlns:a="http://schemas.openxmlformats.org/drawingml/2006/main" xmlns:pic="http://schemas.openxmlformats.org/drawingml/2006/picture">
            <wp:extent cx="6007607" cy="5949200"/>
            <wp:docPr id="7" name="Picture 7"/>
            <wp:cNvGraphicFramePr>
              <a:graphicFrameLocks noChangeAspect="1"/>
            </wp:cNvGraphicFramePr>
            <a:graphic>
              <a:graphicData uri="http://schemas.openxmlformats.org/drawingml/2006/picture">
                <pic:pic>
                  <pic:nvPicPr>
                    <pic:cNvPr id="0" name="mk_sectores.png"/>
                    <pic:cNvPicPr/>
                  </pic:nvPicPr>
                  <pic:blipFill>
                    <a:blip r:embed="rId15"/>
                    <a:stretch>
                      <a:fillRect/>
                    </a:stretch>
                  </pic:blipFill>
                  <pic:spPr>
                    <a:xfrm>
                      <a:off x="0" y="0"/>
                      <a:ext cx="6007607" cy="5949200"/>
                    </a:xfrm>
                    <a:prstGeom prst="rect"/>
                  </pic:spPr>
                </pic:pic>
              </a:graphicData>
            </a:graphic>
          </wp:inline>
        </w:drawing>
      </w:r>
    </w:p>
    <w:p>
      <w:pPr>
        <w:spacing w:after="160"/>
        <w:jc w:val="center"/>
      </w:pPr>
      <w:r>
        <w:rPr>
          <w:i/>
          <w:color w:val="8A9399"/>
          <w:sz w:val="17"/>
        </w:rPr>
        <w:t>Sectores — 7 sectores con driver regulatorio.</w:t>
      </w:r>
    </w:p>
    <w:p>
      <w:pPr>
        <w:spacing w:before="200" w:after="60"/>
      </w:pPr>
      <w:r>
        <w:rPr>
          <w:rFonts w:ascii="Space Mono" w:hAnsi="Space Mono" w:cs="Space Mono"/>
          <w:b/>
          <w:color w:val="14181B"/>
          <w:sz w:val="26"/>
        </w:rPr>
        <w:t>Objetivo</w:t>
      </w:r>
    </w:p>
    <w:p>
      <w:pPr>
        <w:spacing w:after="120" w:before="0"/>
      </w:pPr>
      <w:r>
        <w:rPr>
          <w:rFonts w:ascii="Noto Sans" w:hAnsi="Noto Sans" w:cs="Noto Sans"/>
          <w:b w:val="0"/>
          <w:i w:val="0"/>
          <w:color w:val="14181B"/>
          <w:sz w:val="21"/>
        </w:rPr>
        <w:t>Mostrar los sectores donde ISN Labs aporta más, cada uno con su driver regulatorio.</w:t>
      </w:r>
    </w:p>
    <w:p>
      <w:pPr>
        <w:spacing w:before="200" w:after="60"/>
      </w:pPr>
      <w:r>
        <w:rPr>
          <w:rFonts w:ascii="Space Mono" w:hAnsi="Space Mono" w:cs="Space Mono"/>
          <w:b/>
          <w:color w:val="14181B"/>
          <w:sz w:val="26"/>
        </w:rPr>
        <w:t>Estructura de la página (de arriba a abajo)</w:t>
      </w:r>
    </w:p>
    <w:p>
      <w:pPr>
        <w:pStyle w:val="ListBullet"/>
        <w:spacing w:after="40"/>
      </w:pPr>
      <w:r>
        <w:rPr>
          <w:b/>
          <w:color w:val="0E7C86"/>
          <w:sz w:val="21"/>
        </w:rPr>
        <w:t xml:space="preserve">Hero interior. </w:t>
      </w:r>
      <w:r>
        <w:rPr>
          <w:color w:val="14181B"/>
          <w:sz w:val="21"/>
        </w:rPr>
      </w:r>
    </w:p>
    <w:p>
      <w:pPr>
        <w:pStyle w:val="ListBullet"/>
        <w:spacing w:after="40"/>
      </w:pPr>
      <w:r>
        <w:rPr>
          <w:b/>
          <w:color w:val="0E7C86"/>
          <w:sz w:val="21"/>
        </w:rPr>
        <w:t xml:space="preserve">Rejilla de 7 sectores — </w:t>
      </w:r>
      <w:r>
        <w:rPr>
          <w:color w:val="14181B"/>
          <w:sz w:val="21"/>
        </w:rPr>
        <w:t>Industria y fabricación (NIS2 + IEC 62443), Agroalimentario (NIS2), Energía (NIS2), Sanidad (NIS2), Cadena de suministro (NIS2 – responsabilidad delegada), Administración pública (ENS) y Finanzas y seguros (DORA).</w:t>
      </w:r>
    </w:p>
    <w:p>
      <w:pPr>
        <w:pStyle w:val="ListBullet"/>
        <w:spacing w:after="40"/>
      </w:pPr>
      <w:r>
        <w:rPr>
          <w:b/>
          <w:color w:val="0E7C86"/>
          <w:sz w:val="21"/>
        </w:rPr>
        <w:t xml:space="preserve">Nota — </w:t>
      </w:r>
      <w:r>
        <w:rPr>
          <w:color w:val="14181B"/>
          <w:sz w:val="21"/>
        </w:rPr>
        <w:t>el RGPD/LOPDGDD aplica de forma transversal a todos los sectores.</w:t>
      </w:r>
    </w:p>
    <w:p>
      <w:pPr>
        <w:pStyle w:val="ListBullet"/>
        <w:spacing w:after="40"/>
      </w:pPr>
      <w:r>
        <w:rPr>
          <w:b/>
          <w:color w:val="0E7C86"/>
          <w:sz w:val="21"/>
        </w:rPr>
        <w:t xml:space="preserve">Banda «¿No ves tu sector?» + CTA + pie. </w:t>
      </w:r>
      <w:r>
        <w:rPr>
          <w:color w:val="14181B"/>
          <w:sz w:val="21"/>
        </w:rPr>
      </w:r>
    </w:p>
    <w:p>
      <w:pPr>
        <w:spacing w:before="200" w:after="60"/>
      </w:pPr>
      <w:r>
        <w:rPr>
          <w:rFonts w:ascii="Space Mono" w:hAnsi="Space Mono" w:cs="Space Mono"/>
          <w:b/>
          <w:color w:val="14181B"/>
          <w:sz w:val="26"/>
        </w:rPr>
        <w:t>Mensajes clave / copy</w:t>
      </w:r>
    </w:p>
    <w:p>
      <w:pPr>
        <w:pStyle w:val="ListBullet"/>
        <w:spacing w:after="40"/>
      </w:pPr>
      <w:r>
        <w:rPr>
          <w:color w:val="14181B"/>
          <w:sz w:val="21"/>
        </w:rPr>
        <w:t>Enfoque en sectores esenciales bajo NIS2, más ENS (sector público) y DORA (finanzas).</w:t>
      </w:r>
    </w:p>
    <w:p>
      <w:pPr>
        <w:pStyle w:val="ListBullet"/>
        <w:spacing w:after="40"/>
      </w:pPr>
      <w:r>
        <w:rPr>
          <w:color w:val="14181B"/>
          <w:sz w:val="21"/>
        </w:rPr>
        <w:t>Agroalimentario y ganadero como sector diferencial (cadena de frío, gestión extensiva).</w:t>
      </w:r>
    </w:p>
    <w:p>
      <w:pPr>
        <w:pStyle w:val="ListBullet"/>
        <w:spacing w:after="40"/>
      </w:pPr>
      <w:r>
        <w:rPr>
          <w:color w:val="14181B"/>
          <w:sz w:val="21"/>
        </w:rPr>
        <w:t>Cadena de suministro: responsabilidad delegada, requisito central de NIS2.</w:t>
      </w:r>
    </w:p>
    <w:p>
      <w:pPr>
        <w:spacing w:before="200" w:after="60"/>
      </w:pPr>
      <w:r>
        <w:rPr>
          <w:rFonts w:ascii="Space Mono" w:hAnsi="Space Mono" w:cs="Space Mono"/>
          <w:b/>
          <w:color w:val="14181B"/>
          <w:sz w:val="26"/>
        </w:rPr>
        <w:t>CTAs</w:t>
      </w:r>
    </w:p>
    <w:p>
      <w:pPr>
        <w:pStyle w:val="ListBullet"/>
        <w:spacing w:after="40"/>
      </w:pPr>
      <w:r>
        <w:rPr>
          <w:b/>
          <w:color w:val="0E7C86"/>
          <w:sz w:val="21"/>
        </w:rPr>
        <w:t xml:space="preserve">Primario — </w:t>
      </w:r>
      <w:r>
        <w:rPr>
          <w:color w:val="14181B"/>
          <w:sz w:val="21"/>
        </w:rPr>
        <w:t>Contactar.</w:t>
      </w:r>
    </w:p>
    <w:p>
      <w:pPr>
        <w:pStyle w:val="ListBullet"/>
        <w:spacing w:after="40"/>
      </w:pPr>
      <w:r>
        <w:rPr>
          <w:b/>
          <w:color w:val="0E7C86"/>
          <w:sz w:val="21"/>
        </w:rPr>
        <w:t xml:space="preserve">Por tarjeta — </w:t>
      </w:r>
      <w:r>
        <w:rPr>
          <w:color w:val="14181B"/>
          <w:sz w:val="21"/>
        </w:rPr>
        <w:t>página de sector en fase 2.</w:t>
      </w:r>
    </w:p>
    <w:p>
      <w:pPr>
        <w:spacing w:before="200" w:after="60"/>
      </w:pPr>
      <w:r>
        <w:rPr>
          <w:rFonts w:ascii="Space Mono" w:hAnsi="Space Mono" w:cs="Space Mono"/>
          <w:b/>
          <w:color w:val="14181B"/>
          <w:sz w:val="26"/>
        </w:rPr>
        <w:t>SEO</w:t>
      </w:r>
    </w:p>
    <w:p>
      <w:pPr>
        <w:spacing w:after="60"/>
      </w:pPr>
      <w:r>
        <w:rPr>
          <w:rFonts w:ascii="Space Mono" w:hAnsi="Space Mono" w:cs="Space Mono"/>
          <w:b/>
          <w:color w:val="0E7C86"/>
          <w:sz w:val="20"/>
        </w:rPr>
        <w:t xml:space="preserve">URL  </w:t>
      </w:r>
      <w:r>
        <w:rPr>
          <w:color w:val="14181B"/>
          <w:sz w:val="21"/>
        </w:rPr>
        <w:t>/sectores</w:t>
      </w:r>
    </w:p>
    <w:p>
      <w:pPr>
        <w:spacing w:after="60"/>
      </w:pPr>
      <w:r>
        <w:rPr>
          <w:rFonts w:ascii="Space Mono" w:hAnsi="Space Mono" w:cs="Space Mono"/>
          <w:b/>
          <w:color w:val="0E7C86"/>
          <w:sz w:val="20"/>
        </w:rPr>
        <w:t xml:space="preserve">Title  </w:t>
      </w:r>
      <w:r>
        <w:rPr>
          <w:color w:val="14181B"/>
          <w:sz w:val="21"/>
        </w:rPr>
        <w:t>Ciberseguridad por sectores: industria, energía, salud — ISN Labs  (65 car.)</w:t>
      </w:r>
    </w:p>
    <w:p>
      <w:pPr>
        <w:spacing w:after="60"/>
      </w:pPr>
      <w:r>
        <w:rPr>
          <w:rFonts w:ascii="Space Mono" w:hAnsi="Space Mono" w:cs="Space Mono"/>
          <w:b/>
          <w:color w:val="0E7C86"/>
          <w:sz w:val="20"/>
        </w:rPr>
        <w:t xml:space="preserve">Meta description  </w:t>
      </w:r>
      <w:r>
        <w:rPr>
          <w:color w:val="14181B"/>
          <w:sz w:val="21"/>
        </w:rPr>
        <w:t>Protección IT/OT para industria, agroalimentario, energía, sanidad y cadena de suministro (NIS2), administración pública (ENS) y finanzas (DORA).  (145 car.)</w:t>
      </w:r>
    </w:p>
    <w:p>
      <w:pPr>
        <w:spacing w:after="60"/>
      </w:pPr>
      <w:r>
        <w:rPr>
          <w:rFonts w:ascii="Space Mono" w:hAnsi="Space Mono" w:cs="Space Mono"/>
          <w:b/>
          <w:color w:val="0E7C86"/>
          <w:sz w:val="20"/>
        </w:rPr>
        <w:t xml:space="preserve">H1  </w:t>
      </w:r>
      <w:r>
        <w:rPr>
          <w:color w:val="14181B"/>
          <w:sz w:val="21"/>
        </w:rPr>
        <w:t>Ciberseguridad para sectores esenciales</w:t>
      </w:r>
    </w:p>
    <w:p>
      <w:pPr>
        <w:spacing w:after="60"/>
      </w:pPr>
      <w:r>
        <w:rPr>
          <w:rFonts w:ascii="Space Mono" w:hAnsi="Space Mono" w:cs="Space Mono"/>
          <w:b/>
          <w:color w:val="0E7C86"/>
          <w:sz w:val="20"/>
        </w:rPr>
        <w:t xml:space="preserve">Keywords  </w:t>
      </w:r>
      <w:r>
        <w:rPr>
          <w:color w:val="14181B"/>
          <w:sz w:val="21"/>
        </w:rPr>
        <w:t>ciberseguridad industrial, NIS2 sectores, ciberseguridad energía, ENS, DORA</w:t>
      </w:r>
    </w:p>
    <w:p>
      <w:pPr>
        <w:spacing w:before="200" w:after="60"/>
      </w:pPr>
      <w:r>
        <w:rPr>
          <w:rFonts w:ascii="Space Mono" w:hAnsi="Space Mono" w:cs="Space Mono"/>
          <w:b/>
          <w:color w:val="14181B"/>
          <w:sz w:val="26"/>
        </w:rPr>
        <w:t>Notas para desarrollo</w:t>
      </w:r>
    </w:p>
    <w:p>
      <w:pPr>
        <w:pStyle w:val="ListBullet"/>
        <w:spacing w:after="40"/>
      </w:pPr>
      <w:r>
        <w:rPr>
          <w:color w:val="14181B"/>
          <w:sz w:val="21"/>
        </w:rPr>
        <w:t>Tarjeta de sector = componente (título + texto + tag). Rejilla 3 col desktop / 1 col móvil.</w:t>
      </w:r>
    </w:p>
    <w:p>
      <w:pPr>
        <w:pStyle w:val="ListBullet"/>
        <w:spacing w:after="40"/>
      </w:pPr>
      <w:r>
        <w:rPr>
          <w:color w:val="14181B"/>
          <w:sz w:val="21"/>
        </w:rPr>
        <w:t>No inventar cifras ni casos de cliente.</w:t>
      </w:r>
    </w:p>
    <w:p>
      <w:pPr>
        <w:pStyle w:val="ListBullet"/>
        <w:spacing w:after="40"/>
      </w:pPr>
      <w:r>
        <w:rPr>
          <w:color w:val="14181B"/>
          <w:sz w:val="21"/>
        </w:rPr>
        <w:t>Cada sector es una landing SEO potencial (fase 2).</w:t>
      </w:r>
    </w:p>
    <w:p>
      <w:r>
        <w:br w:type="page"/>
      </w:r>
    </w:p>
    <w:p>
      <w:pPr>
        <w:spacing w:before="200" w:after="40"/>
      </w:pPr>
      <w:r>
        <w:rPr>
          <w:rFonts w:ascii="Space Mono" w:hAnsi="Space Mono" w:cs="Space Mono"/>
          <w:b/>
          <w:color w:val="0E7C86"/>
          <w:sz w:val="18"/>
        </w:rPr>
        <w:t>&gt;_ PÁGINA · BLOG</w:t>
      </w:r>
    </w:p>
    <w:p>
      <w:pPr>
        <w:spacing w:after="0"/>
      </w:pPr>
    </w:p>
    <w:p>
      <w:pPr>
        <w:pStyle w:val="Heading1"/>
        <w:spacing w:before="80" w:after="80"/>
        <w:pBdr>
          <w:bottom w:val="single" w:sz="6" w:space="4" w:color="0E7C86"/>
        </w:pBdr>
      </w:pPr>
      <w:r>
        <w:rPr>
          <w:rFonts w:ascii="Space Mono" w:hAnsi="Space Mono" w:cs="Space Mono"/>
          <w:b/>
          <w:color w:val="0E7C86"/>
          <w:sz w:val="36"/>
        </w:rPr>
        <w:t xml:space="preserve">8  </w:t>
      </w:r>
      <w:r>
        <w:rPr>
          <w:rFonts w:ascii="Space Mono" w:hAnsi="Space Mono" w:cs="Space Mono"/>
          <w:b/>
          <w:color w:val="14181B"/>
          <w:sz w:val="36"/>
        </w:rPr>
        <w:t>Blog</w:t>
      </w:r>
    </w:p>
    <w:p>
      <w:pPr>
        <w:spacing w:before="120" w:after="40"/>
        <w:jc w:val="center"/>
      </w:pPr>
      <w:r>
        <w:drawing>
          <wp:inline xmlns:a="http://schemas.openxmlformats.org/drawingml/2006/main" xmlns:pic="http://schemas.openxmlformats.org/drawingml/2006/picture">
            <wp:extent cx="6007607" cy="6391426"/>
            <wp:docPr id="8" name="Picture 8"/>
            <wp:cNvGraphicFramePr>
              <a:graphicFrameLocks noChangeAspect="1"/>
            </wp:cNvGraphicFramePr>
            <a:graphic>
              <a:graphicData uri="http://schemas.openxmlformats.org/drawingml/2006/picture">
                <pic:pic>
                  <pic:nvPicPr>
                    <pic:cNvPr id="0" name="mk_blog.png"/>
                    <pic:cNvPicPr/>
                  </pic:nvPicPr>
                  <pic:blipFill>
                    <a:blip r:embed="rId16"/>
                    <a:stretch>
                      <a:fillRect/>
                    </a:stretch>
                  </pic:blipFill>
                  <pic:spPr>
                    <a:xfrm>
                      <a:off x="0" y="0"/>
                      <a:ext cx="6007607" cy="6391426"/>
                    </a:xfrm>
                    <a:prstGeom prst="rect"/>
                  </pic:spPr>
                </pic:pic>
              </a:graphicData>
            </a:graphic>
          </wp:inline>
        </w:drawing>
      </w:r>
    </w:p>
    <w:p>
      <w:pPr>
        <w:spacing w:after="160"/>
        <w:jc w:val="center"/>
      </w:pPr>
      <w:r>
        <w:rPr>
          <w:i/>
          <w:color w:val="8A9399"/>
          <w:sz w:val="17"/>
        </w:rPr>
        <w:t>Blog — listado de artículos.</w:t>
      </w:r>
    </w:p>
    <w:p>
      <w:pPr>
        <w:spacing w:before="200" w:after="60"/>
      </w:pPr>
      <w:r>
        <w:rPr>
          <w:rFonts w:ascii="Space Mono" w:hAnsi="Space Mono" w:cs="Space Mono"/>
          <w:b/>
          <w:color w:val="14181B"/>
          <w:sz w:val="26"/>
        </w:rPr>
        <w:t>Objetivo</w:t>
      </w:r>
    </w:p>
    <w:p>
      <w:pPr>
        <w:spacing w:after="120" w:before="0"/>
      </w:pPr>
      <w:r>
        <w:rPr>
          <w:rFonts w:ascii="Noto Sans" w:hAnsi="Noto Sans" w:cs="Noto Sans"/>
          <w:b w:val="0"/>
          <w:i w:val="0"/>
          <w:color w:val="14181B"/>
          <w:sz w:val="21"/>
        </w:rPr>
        <w:t>Motor SEO y de autoridad: convertir la actualidad de ciberseguridad/GRC en contenido accionable. Captar suscriptores.</w:t>
      </w:r>
    </w:p>
    <w:p>
      <w:pPr>
        <w:spacing w:before="200" w:after="60"/>
      </w:pPr>
      <w:r>
        <w:rPr>
          <w:rFonts w:ascii="Space Mono" w:hAnsi="Space Mono" w:cs="Space Mono"/>
          <w:b/>
          <w:color w:val="14181B"/>
          <w:sz w:val="26"/>
        </w:rPr>
        <w:t>Estructura de la página (de arriba a abajo)</w:t>
      </w:r>
    </w:p>
    <w:p>
      <w:pPr>
        <w:pStyle w:val="ListBullet"/>
        <w:spacing w:after="40"/>
      </w:pPr>
      <w:r>
        <w:rPr>
          <w:b/>
          <w:color w:val="0E7C86"/>
          <w:sz w:val="21"/>
        </w:rPr>
        <w:t xml:space="preserve">Hero interior + filtros por categoría — </w:t>
      </w:r>
      <w:r>
        <w:rPr>
          <w:color w:val="14181B"/>
          <w:sz w:val="21"/>
        </w:rPr>
        <w:t>Todos, NIS2, DORA, ISO 27001, ENS, RGPD, OT/ICS, Respuesta a incidentes.</w:t>
      </w:r>
    </w:p>
    <w:p>
      <w:pPr>
        <w:pStyle w:val="ListBullet"/>
        <w:spacing w:after="40"/>
      </w:pPr>
      <w:r>
        <w:rPr>
          <w:b/>
          <w:color w:val="0E7C86"/>
          <w:sz w:val="21"/>
        </w:rPr>
        <w:t xml:space="preserve">Artículo destacado. </w:t>
      </w:r>
      <w:r>
        <w:rPr>
          <w:color w:val="14181B"/>
          <w:sz w:val="21"/>
        </w:rPr>
      </w:r>
    </w:p>
    <w:p>
      <w:pPr>
        <w:pStyle w:val="ListBullet"/>
        <w:spacing w:after="40"/>
      </w:pPr>
      <w:r>
        <w:rPr>
          <w:b/>
          <w:color w:val="0E7C86"/>
          <w:sz w:val="21"/>
        </w:rPr>
        <w:t xml:space="preserve">Rejilla de artículos — </w:t>
      </w:r>
      <w:r>
        <w:rPr>
          <w:color w:val="14181B"/>
          <w:sz w:val="21"/>
        </w:rPr>
        <w:t>tarjetas con categoría, título y tiempo de lectura.</w:t>
      </w:r>
    </w:p>
    <w:p>
      <w:pPr>
        <w:pStyle w:val="ListBullet"/>
        <w:spacing w:after="40"/>
      </w:pPr>
      <w:r>
        <w:rPr>
          <w:b/>
          <w:color w:val="0E7C86"/>
          <w:sz w:val="21"/>
        </w:rPr>
        <w:t xml:space="preserve">Bloque newsletter — </w:t>
      </w:r>
      <w:r>
        <w:rPr>
          <w:color w:val="14181B"/>
          <w:sz w:val="21"/>
        </w:rPr>
        <w:t>suscripción al análisis mensual.</w:t>
      </w:r>
    </w:p>
    <w:p>
      <w:pPr>
        <w:pStyle w:val="ListBullet"/>
        <w:spacing w:after="40"/>
      </w:pPr>
      <w:r>
        <w:rPr>
          <w:b/>
          <w:color w:val="0E7C86"/>
          <w:sz w:val="21"/>
        </w:rPr>
        <w:t xml:space="preserve">Pie. </w:t>
      </w:r>
      <w:r>
        <w:rPr>
          <w:color w:val="14181B"/>
          <w:sz w:val="21"/>
        </w:rPr>
      </w:r>
    </w:p>
    <w:p>
      <w:pPr>
        <w:spacing w:before="200" w:after="60"/>
      </w:pPr>
      <w:r>
        <w:rPr>
          <w:rFonts w:ascii="Space Mono" w:hAnsi="Space Mono" w:cs="Space Mono"/>
          <w:b/>
          <w:color w:val="14181B"/>
          <w:sz w:val="26"/>
        </w:rPr>
        <w:t>Mensajes clave / copy</w:t>
      </w:r>
    </w:p>
    <w:p>
      <w:pPr>
        <w:pStyle w:val="ListBullet"/>
        <w:spacing w:after="40"/>
      </w:pPr>
      <w:r>
        <w:rPr>
          <w:color w:val="14181B"/>
          <w:sz w:val="21"/>
        </w:rPr>
        <w:t>Ángulo siempre accionable: «qué significa, a quién afecta y qué hacer».</w:t>
      </w:r>
    </w:p>
    <w:p>
      <w:pPr>
        <w:pStyle w:val="ListBullet"/>
        <w:spacing w:after="40"/>
      </w:pPr>
      <w:r>
        <w:rPr>
          <w:color w:val="14181B"/>
          <w:sz w:val="21"/>
        </w:rPr>
        <w:t>Calendario editorial: 2 artículos/mes (600–1.200 palabras), enlazados desde LinkedIn.</w:t>
      </w:r>
    </w:p>
    <w:p>
      <w:pPr>
        <w:pStyle w:val="ListBullet"/>
        <w:spacing w:after="40"/>
      </w:pPr>
      <w:r>
        <w:rPr>
          <w:color w:val="14181B"/>
          <w:sz w:val="21"/>
        </w:rPr>
        <w:t>Títulos de ejemplo son placeholders; sustituir por el plan editorial real.</w:t>
      </w:r>
    </w:p>
    <w:p>
      <w:pPr>
        <w:spacing w:before="200" w:after="60"/>
      </w:pPr>
      <w:r>
        <w:rPr>
          <w:rFonts w:ascii="Space Mono" w:hAnsi="Space Mono" w:cs="Space Mono"/>
          <w:b/>
          <w:color w:val="14181B"/>
          <w:sz w:val="26"/>
        </w:rPr>
        <w:t>CTAs</w:t>
      </w:r>
    </w:p>
    <w:p>
      <w:pPr>
        <w:pStyle w:val="ListBullet"/>
        <w:spacing w:after="40"/>
      </w:pPr>
      <w:r>
        <w:rPr>
          <w:b/>
          <w:color w:val="0E7C86"/>
          <w:sz w:val="21"/>
        </w:rPr>
        <w:t xml:space="preserve">Primario — </w:t>
      </w:r>
      <w:r>
        <w:rPr>
          <w:color w:val="14181B"/>
          <w:sz w:val="21"/>
        </w:rPr>
        <w:t>Leer artículo / Suscribirme.</w:t>
      </w:r>
    </w:p>
    <w:p>
      <w:pPr>
        <w:pStyle w:val="ListBullet"/>
        <w:spacing w:after="40"/>
      </w:pPr>
      <w:r>
        <w:rPr>
          <w:b/>
          <w:color w:val="0E7C86"/>
          <w:sz w:val="21"/>
        </w:rPr>
        <w:t xml:space="preserve">Secundario — </w:t>
      </w:r>
      <w:r>
        <w:rPr>
          <w:color w:val="14181B"/>
          <w:sz w:val="21"/>
        </w:rPr>
        <w:t>filtros de categoría.</w:t>
      </w:r>
    </w:p>
    <w:p>
      <w:pPr>
        <w:spacing w:before="200" w:after="60"/>
      </w:pPr>
      <w:r>
        <w:rPr>
          <w:rFonts w:ascii="Space Mono" w:hAnsi="Space Mono" w:cs="Space Mono"/>
          <w:b/>
          <w:color w:val="14181B"/>
          <w:sz w:val="26"/>
        </w:rPr>
        <w:t>SEO</w:t>
      </w:r>
    </w:p>
    <w:p>
      <w:pPr>
        <w:spacing w:after="60"/>
      </w:pPr>
      <w:r>
        <w:rPr>
          <w:rFonts w:ascii="Space Mono" w:hAnsi="Space Mono" w:cs="Space Mono"/>
          <w:b/>
          <w:color w:val="0E7C86"/>
          <w:sz w:val="20"/>
        </w:rPr>
        <w:t xml:space="preserve">URL  </w:t>
      </w:r>
      <w:r>
        <w:rPr>
          <w:color w:val="14181B"/>
          <w:sz w:val="21"/>
        </w:rPr>
        <w:t>/blog</w:t>
      </w:r>
    </w:p>
    <w:p>
      <w:pPr>
        <w:spacing w:after="60"/>
      </w:pPr>
      <w:r>
        <w:rPr>
          <w:rFonts w:ascii="Space Mono" w:hAnsi="Space Mono" w:cs="Space Mono"/>
          <w:b/>
          <w:color w:val="0E7C86"/>
          <w:sz w:val="20"/>
        </w:rPr>
        <w:t xml:space="preserve">Title  </w:t>
      </w:r>
      <w:r>
        <w:rPr>
          <w:color w:val="14181B"/>
          <w:sz w:val="21"/>
        </w:rPr>
        <w:t>Blog de ciberseguridad y cumplimiento (NIS2, DORA, ISO) — ISN Labs  (66 car.)</w:t>
      </w:r>
    </w:p>
    <w:p>
      <w:pPr>
        <w:spacing w:after="60"/>
      </w:pPr>
      <w:r>
        <w:rPr>
          <w:rFonts w:ascii="Space Mono" w:hAnsi="Space Mono" w:cs="Space Mono"/>
          <w:b/>
          <w:color w:val="0E7C86"/>
          <w:sz w:val="20"/>
        </w:rPr>
        <w:t xml:space="preserve">Meta description  </w:t>
      </w:r>
      <w:r>
        <w:rPr>
          <w:color w:val="14181B"/>
          <w:sz w:val="21"/>
        </w:rPr>
        <w:t>Análisis accionable de NIS2, DORA, ISO 27001, ENS, RGPD y respuesta a incidentes para CISOs y responsables de cumplimiento.  (123 car.)</w:t>
      </w:r>
    </w:p>
    <w:p>
      <w:pPr>
        <w:spacing w:after="60"/>
      </w:pPr>
      <w:r>
        <w:rPr>
          <w:rFonts w:ascii="Space Mono" w:hAnsi="Space Mono" w:cs="Space Mono"/>
          <w:b/>
          <w:color w:val="0E7C86"/>
          <w:sz w:val="20"/>
        </w:rPr>
        <w:t xml:space="preserve">H1  </w:t>
      </w:r>
      <w:r>
        <w:rPr>
          <w:color w:val="14181B"/>
          <w:sz w:val="21"/>
        </w:rPr>
        <w:t>Blog: análisis, normativa y buenas prácticas</w:t>
      </w:r>
    </w:p>
    <w:p>
      <w:pPr>
        <w:spacing w:after="60"/>
      </w:pPr>
      <w:r>
        <w:rPr>
          <w:rFonts w:ascii="Space Mono" w:hAnsi="Space Mono" w:cs="Space Mono"/>
          <w:b/>
          <w:color w:val="0E7C86"/>
          <w:sz w:val="20"/>
        </w:rPr>
        <w:t xml:space="preserve">Keywords  </w:t>
      </w:r>
      <w:r>
        <w:rPr>
          <w:color w:val="14181B"/>
          <w:sz w:val="21"/>
        </w:rPr>
        <w:t>blog ciberseguridad, NIS2, DORA, ISO 27001, respuesta a incidentes</w:t>
      </w:r>
    </w:p>
    <w:p>
      <w:pPr>
        <w:spacing w:before="200" w:after="60"/>
      </w:pPr>
      <w:r>
        <w:rPr>
          <w:rFonts w:ascii="Space Mono" w:hAnsi="Space Mono" w:cs="Space Mono"/>
          <w:b/>
          <w:color w:val="14181B"/>
          <w:sz w:val="26"/>
        </w:rPr>
        <w:t>Notas para desarrollo</w:t>
      </w:r>
    </w:p>
    <w:p>
      <w:pPr>
        <w:pStyle w:val="ListBullet"/>
        <w:spacing w:after="40"/>
      </w:pPr>
      <w:r>
        <w:rPr>
          <w:color w:val="14181B"/>
          <w:sz w:val="21"/>
        </w:rPr>
        <w:t>Plantilla de artículo con datos estructurados BlogPosting, autor, fecha y CTA lateral a servicio.</w:t>
      </w:r>
    </w:p>
    <w:p>
      <w:pPr>
        <w:pStyle w:val="ListBullet"/>
        <w:spacing w:after="40"/>
      </w:pPr>
      <w:r>
        <w:rPr>
          <w:color w:val="14181B"/>
          <w:sz w:val="21"/>
        </w:rPr>
        <w:t>Categorías = taxonomía; cada una con su página de archivo indexable.</w:t>
      </w:r>
    </w:p>
    <w:p>
      <w:pPr>
        <w:pStyle w:val="ListBullet"/>
        <w:spacing w:after="40"/>
      </w:pPr>
      <w:r>
        <w:rPr>
          <w:color w:val="14181B"/>
          <w:sz w:val="21"/>
        </w:rPr>
        <w:t>Newsletter conectada al proveedor de email marketing (doble opt-in, RGPD).</w:t>
      </w:r>
    </w:p>
    <w:p>
      <w:r>
        <w:br w:type="page"/>
      </w:r>
    </w:p>
    <w:p>
      <w:pPr>
        <w:spacing w:before="200" w:after="40"/>
      </w:pPr>
      <w:r>
        <w:rPr>
          <w:rFonts w:ascii="Space Mono" w:hAnsi="Space Mono" w:cs="Space Mono"/>
          <w:b/>
          <w:color w:val="0E7C86"/>
          <w:sz w:val="18"/>
        </w:rPr>
        <w:t>&gt;_ PÁGINA</w:t>
      </w:r>
    </w:p>
    <w:p>
      <w:pPr>
        <w:spacing w:after="0"/>
      </w:pPr>
    </w:p>
    <w:p>
      <w:pPr>
        <w:pStyle w:val="Heading1"/>
        <w:spacing w:before="80" w:after="80"/>
        <w:pBdr>
          <w:bottom w:val="single" w:sz="6" w:space="4" w:color="0E7C86"/>
        </w:pBdr>
      </w:pPr>
      <w:r>
        <w:rPr>
          <w:rFonts w:ascii="Space Mono" w:hAnsi="Space Mono" w:cs="Space Mono"/>
          <w:b/>
          <w:color w:val="0E7C86"/>
          <w:sz w:val="36"/>
        </w:rPr>
        <w:t xml:space="preserve">9  </w:t>
      </w:r>
      <w:r>
        <w:rPr>
          <w:rFonts w:ascii="Space Mono" w:hAnsi="Space Mono" w:cs="Space Mono"/>
          <w:b/>
          <w:color w:val="14181B"/>
          <w:sz w:val="36"/>
        </w:rPr>
        <w:t>Compañía</w:t>
      </w:r>
    </w:p>
    <w:p>
      <w:pPr>
        <w:spacing w:before="120" w:after="40"/>
        <w:jc w:val="center"/>
      </w:pPr>
      <w:r>
        <w:drawing>
          <wp:inline xmlns:a="http://schemas.openxmlformats.org/drawingml/2006/main" xmlns:pic="http://schemas.openxmlformats.org/drawingml/2006/picture">
            <wp:extent cx="6007607" cy="7121517"/>
            <wp:docPr id="9" name="Picture 9"/>
            <wp:cNvGraphicFramePr>
              <a:graphicFrameLocks noChangeAspect="1"/>
            </wp:cNvGraphicFramePr>
            <a:graphic>
              <a:graphicData uri="http://schemas.openxmlformats.org/drawingml/2006/picture">
                <pic:pic>
                  <pic:nvPicPr>
                    <pic:cNvPr id="0" name="mk_about.png"/>
                    <pic:cNvPicPr/>
                  </pic:nvPicPr>
                  <pic:blipFill>
                    <a:blip r:embed="rId17"/>
                    <a:stretch>
                      <a:fillRect/>
                    </a:stretch>
                  </pic:blipFill>
                  <pic:spPr>
                    <a:xfrm>
                      <a:off x="0" y="0"/>
                      <a:ext cx="6007607" cy="7121517"/>
                    </a:xfrm>
                    <a:prstGeom prst="rect"/>
                  </pic:spPr>
                </pic:pic>
              </a:graphicData>
            </a:graphic>
          </wp:inline>
        </w:drawing>
      </w:r>
    </w:p>
    <w:p>
      <w:pPr>
        <w:spacing w:after="160"/>
        <w:jc w:val="center"/>
      </w:pPr>
      <w:r>
        <w:rPr>
          <w:i/>
          <w:color w:val="8A9399"/>
          <w:sz w:val="17"/>
        </w:rPr>
        <w:t>Compañía — misión, valores y equipo.</w:t>
      </w:r>
    </w:p>
    <w:p>
      <w:pPr>
        <w:spacing w:before="200" w:after="60"/>
      </w:pPr>
      <w:r>
        <w:rPr>
          <w:rFonts w:ascii="Space Mono" w:hAnsi="Space Mono" w:cs="Space Mono"/>
          <w:b/>
          <w:color w:val="14181B"/>
          <w:sz w:val="26"/>
        </w:rPr>
        <w:t>Objetivo</w:t>
      </w:r>
    </w:p>
    <w:p>
      <w:pPr>
        <w:spacing w:after="120" w:before="0"/>
      </w:pPr>
      <w:r>
        <w:rPr>
          <w:rFonts w:ascii="Noto Sans" w:hAnsi="Noto Sans" w:cs="Noto Sans"/>
          <w:b w:val="0"/>
          <w:i w:val="0"/>
          <w:color w:val="14181B"/>
          <w:sz w:val="21"/>
        </w:rPr>
        <w:t>Construir confianza: quiénes somos, por qué existimos, cómo trabajamos y el equipo (por roles).</w:t>
      </w:r>
    </w:p>
    <w:p>
      <w:pPr>
        <w:spacing w:before="200" w:after="60"/>
      </w:pPr>
      <w:r>
        <w:rPr>
          <w:rFonts w:ascii="Space Mono" w:hAnsi="Space Mono" w:cs="Space Mono"/>
          <w:b/>
          <w:color w:val="14181B"/>
          <w:sz w:val="26"/>
        </w:rPr>
        <w:t>Estructura de la página (de arriba a abajo)</w:t>
      </w:r>
    </w:p>
    <w:p>
      <w:pPr>
        <w:pStyle w:val="ListBullet"/>
        <w:spacing w:after="40"/>
      </w:pPr>
      <w:r>
        <w:rPr>
          <w:b/>
          <w:color w:val="0E7C86"/>
          <w:sz w:val="21"/>
        </w:rPr>
        <w:t xml:space="preserve">Hero interior. </w:t>
      </w:r>
      <w:r>
        <w:rPr>
          <w:color w:val="14181B"/>
          <w:sz w:val="21"/>
        </w:rPr>
      </w:r>
    </w:p>
    <w:p>
      <w:pPr>
        <w:pStyle w:val="ListBullet"/>
        <w:spacing w:after="40"/>
      </w:pPr>
      <w:r>
        <w:rPr>
          <w:b/>
          <w:color w:val="0E7C86"/>
          <w:sz w:val="21"/>
        </w:rPr>
        <w:t xml:space="preserve">Fila de diferenciadores — </w:t>
      </w:r>
      <w:r>
        <w:rPr>
          <w:color w:val="14181B"/>
          <w:sz w:val="21"/>
        </w:rPr>
        <w:t>MSSP+GRC, IT+OT, I+D+i propio, criterio técnico.</w:t>
      </w:r>
    </w:p>
    <w:p>
      <w:pPr>
        <w:pStyle w:val="ListBullet"/>
        <w:spacing w:after="40"/>
      </w:pPr>
      <w:r>
        <w:rPr>
          <w:b/>
          <w:color w:val="0E7C86"/>
          <w:sz w:val="21"/>
        </w:rPr>
        <w:t xml:space="preserve">/01 Por qué existimos — </w:t>
      </w:r>
      <w:r>
        <w:rPr>
          <w:color w:val="14181B"/>
          <w:sz w:val="21"/>
        </w:rPr>
        <w:t>«el cumplimiento sin operación es papel».</w:t>
      </w:r>
    </w:p>
    <w:p>
      <w:pPr>
        <w:pStyle w:val="ListBullet"/>
        <w:spacing w:after="40"/>
      </w:pPr>
      <w:r>
        <w:rPr>
          <w:b/>
          <w:color w:val="0E7C86"/>
          <w:sz w:val="21"/>
        </w:rPr>
        <w:t xml:space="preserve">/02 Cómo trabajamos — </w:t>
      </w:r>
      <w:r>
        <w:rPr>
          <w:color w:val="14181B"/>
          <w:sz w:val="21"/>
        </w:rPr>
        <w:t>4 valores.</w:t>
      </w:r>
    </w:p>
    <w:p>
      <w:pPr>
        <w:pStyle w:val="ListBullet"/>
        <w:spacing w:after="40"/>
      </w:pPr>
      <w:r>
        <w:rPr>
          <w:b/>
          <w:color w:val="0E7C86"/>
          <w:sz w:val="21"/>
        </w:rPr>
        <w:t xml:space="preserve">/03 Equipo — </w:t>
      </w:r>
      <w:r>
        <w:rPr>
          <w:color w:val="14181B"/>
          <w:sz w:val="21"/>
        </w:rPr>
        <w:t>tarjetas por rol (Dirección MSSP, Head of GRC, Operaciones, CTO, CSO, L2/OT, I+D+i, Consultoría).</w:t>
      </w:r>
    </w:p>
    <w:p>
      <w:pPr>
        <w:pStyle w:val="ListBullet"/>
        <w:spacing w:after="40"/>
      </w:pPr>
      <w:r>
        <w:rPr>
          <w:b/>
          <w:color w:val="0E7C86"/>
          <w:sz w:val="21"/>
        </w:rPr>
        <w:t xml:space="preserve">CTA + pie. </w:t>
      </w:r>
      <w:r>
        <w:rPr>
          <w:color w:val="14181B"/>
          <w:sz w:val="21"/>
        </w:rPr>
      </w:r>
    </w:p>
    <w:p>
      <w:pPr>
        <w:spacing w:before="200" w:after="60"/>
      </w:pPr>
      <w:r>
        <w:rPr>
          <w:rFonts w:ascii="Space Mono" w:hAnsi="Space Mono" w:cs="Space Mono"/>
          <w:b/>
          <w:color w:val="14181B"/>
          <w:sz w:val="26"/>
        </w:rPr>
        <w:t>Mensajes clave / copy</w:t>
      </w:r>
    </w:p>
    <w:p>
      <w:pPr>
        <w:pStyle w:val="ListBullet"/>
        <w:spacing w:after="40"/>
      </w:pPr>
      <w:r>
        <w:rPr>
          <w:color w:val="14181B"/>
          <w:sz w:val="21"/>
        </w:rPr>
        <w:t>Historia = cerrar la brecha entre cumplimiento (papel) y operación (reactiva).</w:t>
      </w:r>
    </w:p>
    <w:p>
      <w:pPr>
        <w:pStyle w:val="ListBullet"/>
        <w:spacing w:after="40"/>
      </w:pPr>
      <w:r>
        <w:rPr>
          <w:color w:val="14181B"/>
          <w:sz w:val="21"/>
        </w:rPr>
        <w:t>Base en Asturias, vocación de expansión.</w:t>
      </w:r>
    </w:p>
    <w:p>
      <w:pPr>
        <w:pStyle w:val="ListBullet"/>
        <w:spacing w:after="40"/>
      </w:pPr>
      <w:r>
        <w:rPr>
          <w:color w:val="14181B"/>
          <w:sz w:val="21"/>
        </w:rPr>
        <w:t>Equipo multidisciplinar; se muestran roles, no nombres (rellenar con personas reales si se desea).</w:t>
      </w:r>
    </w:p>
    <w:p>
      <w:pPr>
        <w:spacing w:before="200" w:after="60"/>
      </w:pPr>
      <w:r>
        <w:rPr>
          <w:rFonts w:ascii="Space Mono" w:hAnsi="Space Mono" w:cs="Space Mono"/>
          <w:b/>
          <w:color w:val="14181B"/>
          <w:sz w:val="26"/>
        </w:rPr>
        <w:t>CTAs</w:t>
      </w:r>
    </w:p>
    <w:p>
      <w:pPr>
        <w:pStyle w:val="ListBullet"/>
        <w:spacing w:after="40"/>
      </w:pPr>
      <w:r>
        <w:rPr>
          <w:b/>
          <w:color w:val="0E7C86"/>
          <w:sz w:val="21"/>
        </w:rPr>
        <w:t xml:space="preserve">Primario — </w:t>
      </w:r>
      <w:r>
        <w:rPr>
          <w:color w:val="14181B"/>
          <w:sz w:val="21"/>
        </w:rPr>
        <w:t>Contactar.</w:t>
      </w:r>
    </w:p>
    <w:p>
      <w:pPr>
        <w:spacing w:before="200" w:after="60"/>
      </w:pPr>
      <w:r>
        <w:rPr>
          <w:rFonts w:ascii="Space Mono" w:hAnsi="Space Mono" w:cs="Space Mono"/>
          <w:b/>
          <w:color w:val="14181B"/>
          <w:sz w:val="26"/>
        </w:rPr>
        <w:t>SEO</w:t>
      </w:r>
    </w:p>
    <w:p>
      <w:pPr>
        <w:spacing w:after="60"/>
      </w:pPr>
      <w:r>
        <w:rPr>
          <w:rFonts w:ascii="Space Mono" w:hAnsi="Space Mono" w:cs="Space Mono"/>
          <w:b/>
          <w:color w:val="0E7C86"/>
          <w:sz w:val="20"/>
        </w:rPr>
        <w:t xml:space="preserve">URL  </w:t>
      </w:r>
      <w:r>
        <w:rPr>
          <w:color w:val="14181B"/>
          <w:sz w:val="21"/>
        </w:rPr>
        <w:t>/compania</w:t>
      </w:r>
    </w:p>
    <w:p>
      <w:pPr>
        <w:spacing w:after="60"/>
      </w:pPr>
      <w:r>
        <w:rPr>
          <w:rFonts w:ascii="Space Mono" w:hAnsi="Space Mono" w:cs="Space Mono"/>
          <w:b/>
          <w:color w:val="0E7C86"/>
          <w:sz w:val="20"/>
        </w:rPr>
        <w:t xml:space="preserve">Title  </w:t>
      </w:r>
      <w:r>
        <w:rPr>
          <w:color w:val="14181B"/>
          <w:sz w:val="21"/>
        </w:rPr>
        <w:t>Sobre ISN Labs: MSSP con GRC propio en Asturias  (47 car.)</w:t>
      </w:r>
    </w:p>
    <w:p>
      <w:pPr>
        <w:spacing w:after="60"/>
      </w:pPr>
      <w:r>
        <w:rPr>
          <w:rFonts w:ascii="Space Mono" w:hAnsi="Space Mono" w:cs="Space Mono"/>
          <w:b/>
          <w:color w:val="0E7C86"/>
          <w:sz w:val="20"/>
        </w:rPr>
        <w:t xml:space="preserve">Meta description  </w:t>
      </w:r>
      <w:r>
        <w:rPr>
          <w:color w:val="14181B"/>
          <w:sz w:val="21"/>
        </w:rPr>
        <w:t>ISN Labs (Innovation and Security North Labs) une seguridad gestionada y cumplimiento GRC, en IT y OT, con I+D+i propio. Base en Asturias.  (138 car.)</w:t>
      </w:r>
    </w:p>
    <w:p>
      <w:pPr>
        <w:spacing w:after="60"/>
      </w:pPr>
      <w:r>
        <w:rPr>
          <w:rFonts w:ascii="Space Mono" w:hAnsi="Space Mono" w:cs="Space Mono"/>
          <w:b/>
          <w:color w:val="0E7C86"/>
          <w:sz w:val="20"/>
        </w:rPr>
        <w:t xml:space="preserve">H1  </w:t>
      </w:r>
      <w:r>
        <w:rPr>
          <w:color w:val="14181B"/>
          <w:sz w:val="21"/>
        </w:rPr>
        <w:t>Seguridad y cumplimiento, bajo un mismo techo</w:t>
      </w:r>
    </w:p>
    <w:p>
      <w:pPr>
        <w:spacing w:after="60"/>
      </w:pPr>
      <w:r>
        <w:rPr>
          <w:rFonts w:ascii="Space Mono" w:hAnsi="Space Mono" w:cs="Space Mono"/>
          <w:b/>
          <w:color w:val="0E7C86"/>
          <w:sz w:val="20"/>
        </w:rPr>
        <w:t xml:space="preserve">Keywords  </w:t>
      </w:r>
      <w:r>
        <w:rPr>
          <w:color w:val="14181B"/>
          <w:sz w:val="21"/>
        </w:rPr>
        <w:t>ISN Labs, MSSP Asturias, sobre nosotros, empresa ciberseguridad</w:t>
      </w:r>
    </w:p>
    <w:p>
      <w:pPr>
        <w:spacing w:before="200" w:after="60"/>
      </w:pPr>
      <w:r>
        <w:rPr>
          <w:rFonts w:ascii="Space Mono" w:hAnsi="Space Mono" w:cs="Space Mono"/>
          <w:b/>
          <w:color w:val="14181B"/>
          <w:sz w:val="26"/>
        </w:rPr>
        <w:t>Notas para desarrollo</w:t>
      </w:r>
    </w:p>
    <w:p>
      <w:pPr>
        <w:pStyle w:val="ListBullet"/>
        <w:spacing w:after="40"/>
      </w:pPr>
      <w:r>
        <w:rPr>
          <w:color w:val="14181B"/>
          <w:sz w:val="21"/>
        </w:rPr>
        <w:t>Tarjetas de equipo con foto real en fase 2 (placeholder inicial con inicial).</w:t>
      </w:r>
    </w:p>
    <w:p>
      <w:pPr>
        <w:pStyle w:val="ListBullet"/>
        <w:spacing w:after="40"/>
      </w:pPr>
      <w:r>
        <w:rPr>
          <w:color w:val="14181B"/>
          <w:sz w:val="21"/>
        </w:rPr>
        <w:t>Incluir datos de Organization (schema.org) y enlaces a LinkedIn de empresa.</w:t>
      </w:r>
    </w:p>
    <w:p>
      <w:pPr>
        <w:pStyle w:val="ListBullet"/>
        <w:spacing w:after="40"/>
      </w:pPr>
      <w:r>
        <w:rPr>
          <w:color w:val="14181B"/>
          <w:sz w:val="21"/>
        </w:rPr>
        <w:t>No publicar cifras financieras del one-pager de inversión (documento confidencial).</w:t>
      </w:r>
    </w:p>
    <w:p>
      <w:r>
        <w:br w:type="page"/>
      </w:r>
    </w:p>
    <w:p>
      <w:pPr>
        <w:spacing w:before="200" w:after="40"/>
      </w:pPr>
      <w:r>
        <w:rPr>
          <w:rFonts w:ascii="Space Mono" w:hAnsi="Space Mono" w:cs="Space Mono"/>
          <w:b/>
          <w:color w:val="0E7C86"/>
          <w:sz w:val="18"/>
        </w:rPr>
        <w:t>&gt;_ PÁGINA · CLAVE</w:t>
      </w:r>
    </w:p>
    <w:p>
      <w:pPr>
        <w:spacing w:after="0"/>
      </w:pPr>
    </w:p>
    <w:p>
      <w:pPr>
        <w:pStyle w:val="Heading1"/>
        <w:spacing w:before="80" w:after="80"/>
        <w:pBdr>
          <w:bottom w:val="single" w:sz="6" w:space="4" w:color="0E7C86"/>
        </w:pBdr>
      </w:pPr>
      <w:r>
        <w:rPr>
          <w:rFonts w:ascii="Space Mono" w:hAnsi="Space Mono" w:cs="Space Mono"/>
          <w:b/>
          <w:color w:val="0E7C86"/>
          <w:sz w:val="36"/>
        </w:rPr>
        <w:t xml:space="preserve">10  </w:t>
      </w:r>
      <w:r>
        <w:rPr>
          <w:rFonts w:ascii="Space Mono" w:hAnsi="Space Mono" w:cs="Space Mono"/>
          <w:b/>
          <w:color w:val="14181B"/>
          <w:sz w:val="36"/>
        </w:rPr>
        <w:t>Contacto</w:t>
      </w:r>
    </w:p>
    <w:p>
      <w:pPr>
        <w:spacing w:before="120" w:after="40"/>
        <w:jc w:val="center"/>
      </w:pPr>
      <w:r>
        <w:drawing>
          <wp:inline xmlns:a="http://schemas.openxmlformats.org/drawingml/2006/main" xmlns:pic="http://schemas.openxmlformats.org/drawingml/2006/picture">
            <wp:extent cx="6007607" cy="5732258"/>
            <wp:docPr id="10" name="Picture 10"/>
            <wp:cNvGraphicFramePr>
              <a:graphicFrameLocks noChangeAspect="1"/>
            </wp:cNvGraphicFramePr>
            <a:graphic>
              <a:graphicData uri="http://schemas.openxmlformats.org/drawingml/2006/picture">
                <pic:pic>
                  <pic:nvPicPr>
                    <pic:cNvPr id="0" name="mk_contacto.png"/>
                    <pic:cNvPicPr/>
                  </pic:nvPicPr>
                  <pic:blipFill>
                    <a:blip r:embed="rId18"/>
                    <a:stretch>
                      <a:fillRect/>
                    </a:stretch>
                  </pic:blipFill>
                  <pic:spPr>
                    <a:xfrm>
                      <a:off x="0" y="0"/>
                      <a:ext cx="6007607" cy="5732258"/>
                    </a:xfrm>
                    <a:prstGeom prst="rect"/>
                  </pic:spPr>
                </pic:pic>
              </a:graphicData>
            </a:graphic>
          </wp:inline>
        </w:drawing>
      </w:r>
    </w:p>
    <w:p>
      <w:pPr>
        <w:spacing w:after="160"/>
        <w:jc w:val="center"/>
      </w:pPr>
      <w:r>
        <w:rPr>
          <w:i/>
          <w:color w:val="8A9399"/>
          <w:sz w:val="17"/>
        </w:rPr>
        <w:t>Contacto — formulario + vías directas. (Página solicitada expresamente.)</w:t>
      </w:r>
    </w:p>
    <w:p>
      <w:pPr>
        <w:spacing w:before="200" w:after="60"/>
      </w:pPr>
      <w:r>
        <w:rPr>
          <w:rFonts w:ascii="Space Mono" w:hAnsi="Space Mono" w:cs="Space Mono"/>
          <w:b/>
          <w:color w:val="14181B"/>
          <w:sz w:val="26"/>
        </w:rPr>
        <w:t>Objetivo</w:t>
      </w:r>
    </w:p>
    <w:p>
      <w:pPr>
        <w:spacing w:after="120" w:before="0"/>
      </w:pPr>
      <w:r>
        <w:rPr>
          <w:rFonts w:ascii="Noto Sans" w:hAnsi="Noto Sans" w:cs="Noto Sans"/>
          <w:b w:val="0"/>
          <w:i w:val="0"/>
          <w:color w:val="14181B"/>
          <w:sz w:val="21"/>
        </w:rPr>
        <w:t>Convertir: facilitar al máximo la solicitud de información/demo y ofrecer una vía prioritaria ante incidentes.</w:t>
      </w:r>
    </w:p>
    <w:p>
      <w:pPr>
        <w:spacing w:before="200" w:after="60"/>
      </w:pPr>
      <w:r>
        <w:rPr>
          <w:rFonts w:ascii="Space Mono" w:hAnsi="Space Mono" w:cs="Space Mono"/>
          <w:b/>
          <w:color w:val="14181B"/>
          <w:sz w:val="26"/>
        </w:rPr>
        <w:t>Estructura de la página (de arriba a abajo)</w:t>
      </w:r>
    </w:p>
    <w:p>
      <w:pPr>
        <w:pStyle w:val="ListBullet"/>
        <w:spacing w:after="40"/>
      </w:pPr>
      <w:r>
        <w:rPr>
          <w:b/>
          <w:color w:val="0E7C86"/>
          <w:sz w:val="21"/>
        </w:rPr>
        <w:t xml:space="preserve">Hero interior — </w:t>
      </w:r>
      <w:r>
        <w:rPr>
          <w:color w:val="14181B"/>
          <w:sz w:val="21"/>
        </w:rPr>
        <w:t>«hablemos de tu postura de seguridad», respuesta &lt; 24 h.</w:t>
      </w:r>
    </w:p>
    <w:p>
      <w:pPr>
        <w:pStyle w:val="ListBullet"/>
        <w:spacing w:after="40"/>
      </w:pPr>
      <w:r>
        <w:rPr>
          <w:b/>
          <w:color w:val="0E7C86"/>
          <w:sz w:val="21"/>
        </w:rPr>
        <w:t xml:space="preserve">Columna izquierda — </w:t>
      </w:r>
      <w:r>
        <w:rPr>
          <w:color w:val="14181B"/>
          <w:sz w:val="21"/>
        </w:rPr>
        <w:t>formulario (ver especificación detallada abajo).</w:t>
      </w:r>
    </w:p>
    <w:p>
      <w:pPr>
        <w:pStyle w:val="ListBullet"/>
        <w:spacing w:after="40"/>
      </w:pPr>
      <w:r>
        <w:rPr>
          <w:b/>
          <w:color w:val="0E7C86"/>
          <w:sz w:val="21"/>
        </w:rPr>
        <w:t xml:space="preserve">Columna derecha — </w:t>
      </w:r>
      <w:r>
        <w:rPr>
          <w:color w:val="14181B"/>
          <w:sz w:val="21"/>
        </w:rPr>
        <w:t>contacto directo, «qué pasa después» (3 pasos) y bloque «¿incidente en curso?».</w:t>
      </w:r>
    </w:p>
    <w:p>
      <w:pPr>
        <w:pStyle w:val="ListBullet"/>
        <w:spacing w:after="40"/>
      </w:pPr>
      <w:r>
        <w:rPr>
          <w:b/>
          <w:color w:val="0E7C86"/>
          <w:sz w:val="21"/>
        </w:rPr>
        <w:t xml:space="preserve">Pie. </w:t>
      </w:r>
      <w:r>
        <w:rPr>
          <w:color w:val="14181B"/>
          <w:sz w:val="21"/>
        </w:rPr>
      </w:r>
    </w:p>
    <w:p>
      <w:pPr>
        <w:spacing w:before="200" w:after="60"/>
      </w:pPr>
      <w:r>
        <w:rPr>
          <w:rFonts w:ascii="Space Mono" w:hAnsi="Space Mono" w:cs="Space Mono"/>
          <w:b/>
          <w:color w:val="14181B"/>
          <w:sz w:val="26"/>
        </w:rPr>
        <w:t>Mensajes clave / copy</w:t>
      </w:r>
    </w:p>
    <w:p>
      <w:pPr>
        <w:pStyle w:val="ListBullet"/>
        <w:spacing w:after="40"/>
      </w:pPr>
      <w:r>
        <w:rPr>
          <w:color w:val="14181B"/>
          <w:sz w:val="21"/>
        </w:rPr>
        <w:t>Habla un especialista, no un comercial. Diagnóstico inicial sin compromiso.</w:t>
      </w:r>
    </w:p>
    <w:p>
      <w:pPr>
        <w:pStyle w:val="ListBullet"/>
        <w:spacing w:after="40"/>
      </w:pPr>
      <w:r>
        <w:rPr>
          <w:color w:val="14181B"/>
          <w:sz w:val="21"/>
        </w:rPr>
        <w:t>Vía prioritaria 24/7 destacada para incidentes en curso.</w:t>
      </w:r>
    </w:p>
    <w:p>
      <w:pPr>
        <w:pStyle w:val="ListBullet"/>
        <w:spacing w:after="40"/>
      </w:pPr>
      <w:r>
        <w:rPr>
          <w:color w:val="14181B"/>
          <w:sz w:val="21"/>
        </w:rPr>
        <w:t>Datos de contacto y horario visibles (placeholders a confirmar).</w:t>
      </w:r>
    </w:p>
    <w:p>
      <w:pPr>
        <w:spacing w:before="200" w:after="60"/>
      </w:pPr>
      <w:r>
        <w:rPr>
          <w:rFonts w:ascii="Space Mono" w:hAnsi="Space Mono" w:cs="Space Mono"/>
          <w:b/>
          <w:color w:val="14181B"/>
          <w:sz w:val="26"/>
        </w:rPr>
        <w:t>CTAs</w:t>
      </w:r>
    </w:p>
    <w:p>
      <w:pPr>
        <w:pStyle w:val="ListBullet"/>
        <w:spacing w:after="40"/>
      </w:pPr>
      <w:r>
        <w:rPr>
          <w:b/>
          <w:color w:val="0E7C86"/>
          <w:sz w:val="21"/>
        </w:rPr>
        <w:t xml:space="preserve">Primario — </w:t>
      </w:r>
      <w:r>
        <w:rPr>
          <w:color w:val="14181B"/>
          <w:sz w:val="21"/>
        </w:rPr>
        <w:t>Enviar solicitud.</w:t>
      </w:r>
    </w:p>
    <w:p>
      <w:pPr>
        <w:pStyle w:val="ListBullet"/>
        <w:spacing w:after="40"/>
      </w:pPr>
      <w:r>
        <w:rPr>
          <w:b/>
          <w:color w:val="0E7C86"/>
          <w:sz w:val="21"/>
        </w:rPr>
        <w:t xml:space="preserve">Directo — </w:t>
      </w:r>
      <w:r>
        <w:rPr>
          <w:color w:val="14181B"/>
          <w:sz w:val="21"/>
        </w:rPr>
        <w:t>teléfono de incidentes 24/7.</w:t>
      </w:r>
    </w:p>
    <w:p>
      <w:pPr>
        <w:spacing w:before="200" w:after="60"/>
      </w:pPr>
      <w:r>
        <w:rPr>
          <w:rFonts w:ascii="Space Mono" w:hAnsi="Space Mono" w:cs="Space Mono"/>
          <w:b/>
          <w:color w:val="14181B"/>
          <w:sz w:val="26"/>
        </w:rPr>
        <w:t>SEO</w:t>
      </w:r>
    </w:p>
    <w:p>
      <w:pPr>
        <w:spacing w:after="60"/>
      </w:pPr>
      <w:r>
        <w:rPr>
          <w:rFonts w:ascii="Space Mono" w:hAnsi="Space Mono" w:cs="Space Mono"/>
          <w:b/>
          <w:color w:val="0E7C86"/>
          <w:sz w:val="20"/>
        </w:rPr>
        <w:t xml:space="preserve">URL  </w:t>
      </w:r>
      <w:r>
        <w:rPr>
          <w:color w:val="14181B"/>
          <w:sz w:val="21"/>
        </w:rPr>
        <w:t>/contacto</w:t>
      </w:r>
    </w:p>
    <w:p>
      <w:pPr>
        <w:spacing w:after="60"/>
      </w:pPr>
      <w:r>
        <w:rPr>
          <w:rFonts w:ascii="Space Mono" w:hAnsi="Space Mono" w:cs="Space Mono"/>
          <w:b/>
          <w:color w:val="0E7C86"/>
          <w:sz w:val="20"/>
        </w:rPr>
        <w:t xml:space="preserve">Title  </w:t>
      </w:r>
      <w:r>
        <w:rPr>
          <w:color w:val="14181B"/>
          <w:sz w:val="21"/>
        </w:rPr>
        <w:t>Contacto — Solicita información o una demo | ISN Labs  (53 car.)</w:t>
      </w:r>
    </w:p>
    <w:p>
      <w:pPr>
        <w:spacing w:after="60"/>
      </w:pPr>
      <w:r>
        <w:rPr>
          <w:rFonts w:ascii="Space Mono" w:hAnsi="Space Mono" w:cs="Space Mono"/>
          <w:b/>
          <w:color w:val="0E7C86"/>
          <w:sz w:val="20"/>
        </w:rPr>
        <w:t xml:space="preserve">Meta description  </w:t>
      </w:r>
      <w:r>
        <w:rPr>
          <w:color w:val="14181B"/>
          <w:sz w:val="21"/>
        </w:rPr>
        <w:t>Cuéntanos tu contexto IT/OT y te respondemos en menos de 24 h laborables. Diagnóstico inicial sin compromiso.  (109 car.)</w:t>
      </w:r>
    </w:p>
    <w:p>
      <w:pPr>
        <w:spacing w:after="60"/>
      </w:pPr>
      <w:r>
        <w:rPr>
          <w:rFonts w:ascii="Space Mono" w:hAnsi="Space Mono" w:cs="Space Mono"/>
          <w:b/>
          <w:color w:val="0E7C86"/>
          <w:sz w:val="20"/>
        </w:rPr>
        <w:t xml:space="preserve">H1  </w:t>
      </w:r>
      <w:r>
        <w:rPr>
          <w:color w:val="14181B"/>
          <w:sz w:val="21"/>
        </w:rPr>
        <w:t>Hablemos de tu postura de seguridad</w:t>
      </w:r>
    </w:p>
    <w:p>
      <w:pPr>
        <w:spacing w:after="60"/>
      </w:pPr>
      <w:r>
        <w:rPr>
          <w:rFonts w:ascii="Space Mono" w:hAnsi="Space Mono" w:cs="Space Mono"/>
          <w:b/>
          <w:color w:val="0E7C86"/>
          <w:sz w:val="20"/>
        </w:rPr>
        <w:t xml:space="preserve">Keywords  </w:t>
      </w:r>
      <w:r>
        <w:rPr>
          <w:color w:val="14181B"/>
          <w:sz w:val="21"/>
        </w:rPr>
        <w:t>contacto ISN Labs, solicitar demo ciberseguridad, contacto MSSP</w:t>
      </w:r>
    </w:p>
    <w:p>
      <w:pPr>
        <w:spacing w:before="200" w:after="60"/>
      </w:pPr>
      <w:r>
        <w:rPr>
          <w:rFonts w:ascii="Space Mono" w:hAnsi="Space Mono" w:cs="Space Mono"/>
          <w:b/>
          <w:color w:val="14181B"/>
          <w:sz w:val="26"/>
        </w:rPr>
        <w:t>Notas para desarrollo</w:t>
      </w:r>
    </w:p>
    <w:p>
      <w:pPr>
        <w:pStyle w:val="ListBullet"/>
        <w:spacing w:after="40"/>
      </w:pPr>
      <w:r>
        <w:rPr>
          <w:color w:val="14181B"/>
          <w:sz w:val="21"/>
        </w:rPr>
        <w:t>Ver especificación del formulario en la sección 11.</w:t>
      </w:r>
    </w:p>
    <w:p>
      <w:pPr>
        <w:pStyle w:val="ListBullet"/>
        <w:spacing w:after="40"/>
      </w:pPr>
      <w:r>
        <w:rPr>
          <w:color w:val="14181B"/>
          <w:sz w:val="21"/>
        </w:rPr>
        <w:t>Los datos de contacto (email, teléfono, dirección) son placeholders: confirmar antes de publicar.</w:t>
      </w:r>
    </w:p>
    <w:p>
      <w:pPr>
        <w:pStyle w:val="ListBullet"/>
        <w:spacing w:after="40"/>
      </w:pPr>
      <w:r>
        <w:rPr>
          <w:color w:val="14181B"/>
          <w:sz w:val="21"/>
        </w:rPr>
        <w:t>El botón de incidentes debe ser un enlace tel: en móvil.</w:t>
      </w:r>
    </w:p>
    <w:p>
      <w:r>
        <w:br w:type="page"/>
      </w:r>
    </w:p>
    <w:p>
      <w:pPr>
        <w:spacing w:before="200" w:after="40"/>
      </w:pPr>
      <w:r>
        <w:rPr>
          <w:rFonts w:ascii="Space Mono" w:hAnsi="Space Mono" w:cs="Space Mono"/>
          <w:b/>
          <w:color w:val="0E7C86"/>
          <w:sz w:val="18"/>
        </w:rPr>
        <w:t>&gt;_ PÁGINAS DE CATÁLOGO</w:t>
      </w:r>
    </w:p>
    <w:p>
      <w:pPr>
        <w:spacing w:after="0"/>
      </w:pPr>
    </w:p>
    <w:p>
      <w:pPr>
        <w:pStyle w:val="Heading1"/>
        <w:spacing w:before="80" w:after="80"/>
        <w:pBdr>
          <w:bottom w:val="single" w:sz="6" w:space="4" w:color="0E7C86"/>
        </w:pBdr>
      </w:pPr>
      <w:r>
        <w:rPr>
          <w:rFonts w:ascii="Space Mono" w:hAnsi="Space Mono" w:cs="Space Mono"/>
          <w:b/>
          <w:color w:val="14181B"/>
          <w:sz w:val="36"/>
        </w:rPr>
        <w:t>Páginas de catálogo de servicios</w:t>
      </w:r>
    </w:p>
    <w:p>
      <w:pPr>
        <w:spacing w:after="120" w:before="0"/>
      </w:pPr>
      <w:r>
        <w:rPr>
          <w:rFonts w:ascii="Noto Sans" w:hAnsi="Noto Sans" w:cs="Noto Sans"/>
          <w:b w:val="0"/>
          <w:i w:val="0"/>
          <w:color w:val="14181B"/>
          <w:sz w:val="21"/>
        </w:rPr>
        <w:t>Estas páginas son el desglose completo al que llevan los cajones «Ver todos los servicios» de las páginas MSSP y GRC. Todo su contenido está en es.json / en.json bajo las claves msspItCatalog, msspOtCatalog y grcCatalog.</w:t>
      </w:r>
    </w:p>
    <w:p>
      <w:pPr>
        <w:spacing w:before="200" w:after="60"/>
      </w:pPr>
      <w:r>
        <w:rPr>
          <w:rFonts w:ascii="Space Mono" w:hAnsi="Space Mono" w:cs="Space Mono"/>
          <w:b/>
          <w:color w:val="14181B"/>
          <w:sz w:val="26"/>
        </w:rPr>
        <w:t>Ciberseguridad IT — catálogo · /soluciones/mssp/it</w:t>
      </w:r>
    </w:p>
    <w:p>
      <w:pPr>
        <w:spacing w:before="120" w:after="40"/>
        <w:jc w:val="center"/>
      </w:pPr>
      <w:r>
        <w:drawing>
          <wp:inline xmlns:a="http://schemas.openxmlformats.org/drawingml/2006/main" xmlns:pic="http://schemas.openxmlformats.org/drawingml/2006/picture">
            <wp:extent cx="4199158" cy="7680960"/>
            <wp:docPr id="11" name="Picture 11"/>
            <wp:cNvGraphicFramePr>
              <a:graphicFrameLocks noChangeAspect="1"/>
            </wp:cNvGraphicFramePr>
            <a:graphic>
              <a:graphicData uri="http://schemas.openxmlformats.org/drawingml/2006/picture">
                <pic:pic>
                  <pic:nvPicPr>
                    <pic:cNvPr id="0" name="mk_cat_it.png"/>
                    <pic:cNvPicPr/>
                  </pic:nvPicPr>
                  <pic:blipFill>
                    <a:blip r:embed="rId19"/>
                    <a:stretch>
                      <a:fillRect/>
                    </a:stretch>
                  </pic:blipFill>
                  <pic:spPr>
                    <a:xfrm>
                      <a:off x="0" y="0"/>
                      <a:ext cx="4199158" cy="7680960"/>
                    </a:xfrm>
                    <a:prstGeom prst="rect"/>
                  </pic:spPr>
                </pic:pic>
              </a:graphicData>
            </a:graphic>
          </wp:inline>
        </w:drawing>
      </w:r>
    </w:p>
    <w:p>
      <w:pPr>
        <w:spacing w:after="160"/>
        <w:jc w:val="center"/>
      </w:pPr>
      <w:r>
        <w:rPr>
          <w:i/>
          <w:color w:val="8A9399"/>
          <w:sz w:val="17"/>
        </w:rPr>
        <w:t>Catálogo IT: bloques C1–C7 con sus servicios.</w:t>
      </w:r>
    </w:p>
    <w:p>
      <w:pPr>
        <w:spacing w:after="120" w:before="0"/>
      </w:pPr>
      <w:r>
        <w:rPr>
          <w:rFonts w:ascii="Noto Sans" w:hAnsi="Noto Sans" w:cs="Noto Sans"/>
          <w:b w:val="0"/>
          <w:i w:val="0"/>
          <w:color w:val="14181B"/>
          <w:sz w:val="21"/>
        </w:rPr>
        <w:t>7 bloques (C1–C7) y 23 servicios. Enlazada desde el cajón «Ver todos los servicios IT» de la página MSSP.</w:t>
      </w:r>
    </w:p>
    <w:p>
      <w:r>
        <w:br w:type="page"/>
      </w:r>
    </w:p>
    <w:p>
      <w:pPr>
        <w:spacing w:before="200" w:after="60"/>
      </w:pPr>
      <w:r>
        <w:rPr>
          <w:rFonts w:ascii="Space Mono" w:hAnsi="Space Mono" w:cs="Space Mono"/>
          <w:b/>
          <w:color w:val="14181B"/>
          <w:sz w:val="26"/>
        </w:rPr>
        <w:t>Ciberseguridad OT — catálogo · /soluciones/mssp/ot</w:t>
      </w:r>
    </w:p>
    <w:p>
      <w:pPr>
        <w:spacing w:before="120" w:after="40"/>
        <w:jc w:val="center"/>
      </w:pPr>
      <w:r>
        <w:drawing>
          <wp:inline xmlns:a="http://schemas.openxmlformats.org/drawingml/2006/main" xmlns:pic="http://schemas.openxmlformats.org/drawingml/2006/picture">
            <wp:extent cx="6007607" cy="7451101"/>
            <wp:docPr id="12" name="Picture 12"/>
            <wp:cNvGraphicFramePr>
              <a:graphicFrameLocks noChangeAspect="1"/>
            </wp:cNvGraphicFramePr>
            <a:graphic>
              <a:graphicData uri="http://schemas.openxmlformats.org/drawingml/2006/picture">
                <pic:pic>
                  <pic:nvPicPr>
                    <pic:cNvPr id="0" name="mk_cat_ot.png"/>
                    <pic:cNvPicPr/>
                  </pic:nvPicPr>
                  <pic:blipFill>
                    <a:blip r:embed="rId20"/>
                    <a:stretch>
                      <a:fillRect/>
                    </a:stretch>
                  </pic:blipFill>
                  <pic:spPr>
                    <a:xfrm>
                      <a:off x="0" y="0"/>
                      <a:ext cx="6007607" cy="7451101"/>
                    </a:xfrm>
                    <a:prstGeom prst="rect"/>
                  </pic:spPr>
                </pic:pic>
              </a:graphicData>
            </a:graphic>
          </wp:inline>
        </w:drawing>
      </w:r>
    </w:p>
    <w:p>
      <w:pPr>
        <w:spacing w:after="160"/>
        <w:jc w:val="center"/>
      </w:pPr>
      <w:r>
        <w:rPr>
          <w:i/>
          <w:color w:val="8A9399"/>
          <w:sz w:val="17"/>
        </w:rPr>
        <w:t>Catálogo OT: bloques B1–B5 con sus servicios.</w:t>
      </w:r>
    </w:p>
    <w:p>
      <w:pPr>
        <w:spacing w:after="120" w:before="0"/>
      </w:pPr>
      <w:r>
        <w:rPr>
          <w:rFonts w:ascii="Noto Sans" w:hAnsi="Noto Sans" w:cs="Noto Sans"/>
          <w:b w:val="0"/>
          <w:i w:val="0"/>
          <w:color w:val="14181B"/>
          <w:sz w:val="21"/>
        </w:rPr>
        <w:t>5 bloques (B1–B5) y 14 servicios. Enlazada desde el cajón «Ver todos los servicios OT».</w:t>
      </w:r>
    </w:p>
    <w:p>
      <w:r>
        <w:br w:type="page"/>
      </w:r>
    </w:p>
    <w:p>
      <w:pPr>
        <w:spacing w:before="200" w:after="60"/>
      </w:pPr>
      <w:r>
        <w:rPr>
          <w:rFonts w:ascii="Space Mono" w:hAnsi="Space Mono" w:cs="Space Mono"/>
          <w:b/>
          <w:color w:val="14181B"/>
          <w:sz w:val="26"/>
        </w:rPr>
        <w:t>GRC — catálogo · /soluciones/grc/catalogo</w:t>
      </w:r>
    </w:p>
    <w:p>
      <w:pPr>
        <w:spacing w:before="120" w:after="40"/>
        <w:jc w:val="center"/>
      </w:pPr>
      <w:r>
        <w:drawing>
          <wp:inline xmlns:a="http://schemas.openxmlformats.org/drawingml/2006/main" xmlns:pic="http://schemas.openxmlformats.org/drawingml/2006/picture">
            <wp:extent cx="6007607" cy="5319235"/>
            <wp:docPr id="13" name="Picture 13"/>
            <wp:cNvGraphicFramePr>
              <a:graphicFrameLocks noChangeAspect="1"/>
            </wp:cNvGraphicFramePr>
            <a:graphic>
              <a:graphicData uri="http://schemas.openxmlformats.org/drawingml/2006/picture">
                <pic:pic>
                  <pic:nvPicPr>
                    <pic:cNvPr id="0" name="mk_cat_grc.png"/>
                    <pic:cNvPicPr/>
                  </pic:nvPicPr>
                  <pic:blipFill>
                    <a:blip r:embed="rId21"/>
                    <a:stretch>
                      <a:fillRect/>
                    </a:stretch>
                  </pic:blipFill>
                  <pic:spPr>
                    <a:xfrm>
                      <a:off x="0" y="0"/>
                      <a:ext cx="6007607" cy="5319235"/>
                    </a:xfrm>
                    <a:prstGeom prst="rect"/>
                  </pic:spPr>
                </pic:pic>
              </a:graphicData>
            </a:graphic>
          </wp:inline>
        </w:drawing>
      </w:r>
    </w:p>
    <w:p>
      <w:pPr>
        <w:spacing w:after="160"/>
        <w:jc w:val="center"/>
      </w:pPr>
      <w:r>
        <w:rPr>
          <w:i/>
          <w:color w:val="8A9399"/>
          <w:sz w:val="17"/>
        </w:rPr>
        <w:t>Catálogo GRC: servicios A1–A11.</w:t>
      </w:r>
    </w:p>
    <w:p>
      <w:pPr>
        <w:spacing w:after="120" w:before="0"/>
      </w:pPr>
      <w:r>
        <w:rPr>
          <w:rFonts w:ascii="Noto Sans" w:hAnsi="Noto Sans" w:cs="Noto Sans"/>
          <w:b w:val="0"/>
          <w:i w:val="0"/>
          <w:color w:val="14181B"/>
          <w:sz w:val="21"/>
        </w:rPr>
        <w:t>11 servicios (A1–A11). Enlazada desde el cajón «Ver todos los servicios GRC».</w:t>
      </w:r>
    </w:p>
    <w:p>
      <w:r>
        <w:br w:type="page"/>
      </w:r>
    </w:p>
    <w:p>
      <w:pPr>
        <w:spacing w:before="200" w:after="40"/>
      </w:pPr>
      <w:r>
        <w:rPr>
          <w:rFonts w:ascii="Space Mono" w:hAnsi="Space Mono" w:cs="Space Mono"/>
          <w:b/>
          <w:color w:val="0E7C86"/>
          <w:sz w:val="18"/>
        </w:rPr>
        <w:t>&gt;_ ESPECIFICACIÓN</w:t>
      </w:r>
    </w:p>
    <w:p>
      <w:pPr>
        <w:spacing w:after="0"/>
      </w:pPr>
    </w:p>
    <w:p>
      <w:pPr>
        <w:pStyle w:val="Heading1"/>
        <w:spacing w:before="80" w:after="80"/>
        <w:pBdr>
          <w:bottom w:val="single" w:sz="6" w:space="4" w:color="0E7C86"/>
        </w:pBdr>
      </w:pPr>
      <w:r>
        <w:rPr>
          <w:rFonts w:ascii="Space Mono" w:hAnsi="Space Mono" w:cs="Space Mono"/>
          <w:b/>
          <w:color w:val="0E7C86"/>
          <w:sz w:val="36"/>
        </w:rPr>
        <w:t xml:space="preserve">11  </w:t>
      </w:r>
      <w:r>
        <w:rPr>
          <w:rFonts w:ascii="Space Mono" w:hAnsi="Space Mono" w:cs="Space Mono"/>
          <w:b/>
          <w:color w:val="14181B"/>
          <w:sz w:val="36"/>
        </w:rPr>
        <w:t>Formulario de contacto</w:t>
      </w:r>
    </w:p>
    <w:p>
      <w:pPr>
        <w:spacing w:after="120" w:before="0"/>
      </w:pPr>
      <w:r>
        <w:rPr>
          <w:rFonts w:ascii="Noto Sans" w:hAnsi="Noto Sans" w:cs="Noto Sans"/>
          <w:b w:val="0"/>
          <w:i w:val="0"/>
          <w:color w:val="14181B"/>
          <w:sz w:val="21"/>
        </w:rPr>
        <w:t>Especificación funcional del formulario principal (página Contacto y modal «Solicitar demo»). Objetivo: mínima fricción, cualificación básica del lead y cumplimiento RGPD.</w:t>
      </w:r>
    </w:p>
    <w:p>
      <w:pPr>
        <w:spacing w:before="200" w:after="60"/>
      </w:pPr>
      <w:r>
        <w:rPr>
          <w:rFonts w:ascii="Space Mono" w:hAnsi="Space Mono" w:cs="Space Mono"/>
          <w:b/>
          <w:color w:val="14181B"/>
          <w:sz w:val="26"/>
        </w:rPr>
        <w:t>Campos</w:t>
      </w:r>
    </w:p>
    <w:tbl>
      <w:tblPr>
        <w:tblStyle w:val="TableGrid"/>
        <w:tblW w:type="auto" w:w="0"/>
        <w:jc w:val="center"/>
        <w:tblLook w:firstColumn="1" w:firstRow="1" w:lastColumn="0" w:lastRow="0" w:noHBand="0" w:noVBand="1" w:val="04A0"/>
      </w:tblPr>
      <w:tblGrid>
        <w:gridCol w:w="2365"/>
        <w:gridCol w:w="2365"/>
        <w:gridCol w:w="2365"/>
        <w:gridCol w:w="2365"/>
      </w:tblGrid>
      <w:tr>
        <w:tc>
          <w:tcPr>
            <w:tcW w:type="dxa" w:w="2304"/>
            <w:shd w:val="clear" w:fill="123B40"/>
          </w:tcPr>
          <w:p>
            <w:pPr>
              <w:spacing w:after="20"/>
            </w:pPr>
            <w:r>
              <w:rPr>
                <w:rFonts w:ascii="Space Mono" w:hAnsi="Space Mono" w:cs="Space Mono"/>
                <w:b/>
                <w:color w:val="FFFFFF"/>
                <w:sz w:val="18"/>
              </w:rPr>
              <w:t>Campo</w:t>
            </w:r>
          </w:p>
        </w:tc>
        <w:tc>
          <w:tcPr>
            <w:tcW w:type="dxa" w:w="1224"/>
            <w:shd w:val="clear" w:fill="123B40"/>
          </w:tcPr>
          <w:p>
            <w:pPr>
              <w:spacing w:after="20"/>
            </w:pPr>
            <w:r>
              <w:rPr>
                <w:rFonts w:ascii="Space Mono" w:hAnsi="Space Mono" w:cs="Space Mono"/>
                <w:b/>
                <w:color w:val="FFFFFF"/>
                <w:sz w:val="18"/>
              </w:rPr>
              <w:t>Tipo</w:t>
            </w:r>
          </w:p>
        </w:tc>
        <w:tc>
          <w:tcPr>
            <w:tcW w:type="dxa" w:w="1440"/>
            <w:shd w:val="clear" w:fill="123B40"/>
          </w:tcPr>
          <w:p>
            <w:pPr>
              <w:spacing w:after="20"/>
            </w:pPr>
            <w:r>
              <w:rPr>
                <w:rFonts w:ascii="Space Mono" w:hAnsi="Space Mono" w:cs="Space Mono"/>
                <w:b/>
                <w:color w:val="FFFFFF"/>
                <w:sz w:val="18"/>
              </w:rPr>
              <w:t>Obligatorio</w:t>
            </w:r>
          </w:p>
        </w:tc>
        <w:tc>
          <w:tcPr>
            <w:tcW w:type="dxa" w:w="4493"/>
            <w:shd w:val="clear" w:fill="123B40"/>
          </w:tcPr>
          <w:p>
            <w:pPr>
              <w:spacing w:after="20"/>
            </w:pPr>
            <w:r>
              <w:rPr>
                <w:rFonts w:ascii="Space Mono" w:hAnsi="Space Mono" w:cs="Space Mono"/>
                <w:b/>
                <w:color w:val="FFFFFF"/>
                <w:sz w:val="18"/>
              </w:rPr>
              <w:t>Validación / notas</w:t>
            </w:r>
          </w:p>
        </w:tc>
      </w:tr>
      <w:tr>
        <w:tc>
          <w:tcPr>
            <w:tcW w:type="dxa" w:w="2304"/>
          </w:tcPr>
          <w:p>
            <w:pPr>
              <w:spacing w:after="20"/>
            </w:pPr>
            <w:r>
              <w:rPr>
                <w:b/>
                <w:color w:val="14181B"/>
                <w:sz w:val="18"/>
              </w:rPr>
              <w:t>Nombre y apellidos</w:t>
            </w:r>
          </w:p>
        </w:tc>
        <w:tc>
          <w:tcPr>
            <w:tcW w:type="dxa" w:w="1224"/>
          </w:tcPr>
          <w:p>
            <w:pPr>
              <w:spacing w:after="20"/>
            </w:pPr>
            <w:r>
              <w:rPr>
                <w:color w:val="333A40"/>
                <w:sz w:val="18"/>
              </w:rPr>
              <w:t>text</w:t>
            </w:r>
          </w:p>
        </w:tc>
        <w:tc>
          <w:tcPr>
            <w:tcW w:type="dxa" w:w="1440"/>
          </w:tcPr>
          <w:p>
            <w:pPr>
              <w:spacing w:after="20"/>
            </w:pPr>
            <w:r>
              <w:rPr>
                <w:color w:val="333A40"/>
                <w:sz w:val="18"/>
              </w:rPr>
              <w:t>Sí</w:t>
            </w:r>
          </w:p>
        </w:tc>
        <w:tc>
          <w:tcPr>
            <w:tcW w:type="dxa" w:w="4493"/>
          </w:tcPr>
          <w:p>
            <w:pPr>
              <w:spacing w:after="20"/>
            </w:pPr>
            <w:r>
              <w:rPr>
                <w:color w:val="333A40"/>
                <w:sz w:val="18"/>
              </w:rPr>
              <w:t>2–80 caracteres.</w:t>
            </w:r>
          </w:p>
        </w:tc>
      </w:tr>
      <w:tr>
        <w:tc>
          <w:tcPr>
            <w:tcW w:type="dxa" w:w="2304"/>
          </w:tcPr>
          <w:p>
            <w:pPr>
              <w:spacing w:after="20"/>
            </w:pPr>
            <w:r>
              <w:rPr>
                <w:b/>
                <w:color w:val="14181B"/>
                <w:sz w:val="18"/>
              </w:rPr>
              <w:t>Empresa</w:t>
            </w:r>
          </w:p>
        </w:tc>
        <w:tc>
          <w:tcPr>
            <w:tcW w:type="dxa" w:w="1224"/>
          </w:tcPr>
          <w:p>
            <w:pPr>
              <w:spacing w:after="20"/>
            </w:pPr>
            <w:r>
              <w:rPr>
                <w:color w:val="333A40"/>
                <w:sz w:val="18"/>
              </w:rPr>
              <w:t>text</w:t>
            </w:r>
          </w:p>
        </w:tc>
        <w:tc>
          <w:tcPr>
            <w:tcW w:type="dxa" w:w="1440"/>
          </w:tcPr>
          <w:p>
            <w:pPr>
              <w:spacing w:after="20"/>
            </w:pPr>
            <w:r>
              <w:rPr>
                <w:color w:val="333A40"/>
                <w:sz w:val="18"/>
              </w:rPr>
              <w:t>Sí</w:t>
            </w:r>
          </w:p>
        </w:tc>
        <w:tc>
          <w:tcPr>
            <w:tcW w:type="dxa" w:w="4493"/>
          </w:tcPr>
          <w:p>
            <w:pPr>
              <w:spacing w:after="20"/>
            </w:pPr>
            <w:r>
              <w:rPr>
                <w:color w:val="333A40"/>
                <w:sz w:val="18"/>
              </w:rPr>
              <w:t>2–80 caracteres.</w:t>
            </w:r>
          </w:p>
        </w:tc>
      </w:tr>
      <w:tr>
        <w:tc>
          <w:tcPr>
            <w:tcW w:type="dxa" w:w="2304"/>
          </w:tcPr>
          <w:p>
            <w:pPr>
              <w:spacing w:after="20"/>
            </w:pPr>
            <w:r>
              <w:rPr>
                <w:b/>
                <w:color w:val="14181B"/>
                <w:sz w:val="18"/>
              </w:rPr>
              <w:t>Email corporativo</w:t>
            </w:r>
          </w:p>
        </w:tc>
        <w:tc>
          <w:tcPr>
            <w:tcW w:type="dxa" w:w="1224"/>
          </w:tcPr>
          <w:p>
            <w:pPr>
              <w:spacing w:after="20"/>
            </w:pPr>
            <w:r>
              <w:rPr>
                <w:color w:val="333A40"/>
                <w:sz w:val="18"/>
              </w:rPr>
              <w:t>email</w:t>
            </w:r>
          </w:p>
        </w:tc>
        <w:tc>
          <w:tcPr>
            <w:tcW w:type="dxa" w:w="1440"/>
          </w:tcPr>
          <w:p>
            <w:pPr>
              <w:spacing w:after="20"/>
            </w:pPr>
            <w:r>
              <w:rPr>
                <w:color w:val="333A40"/>
                <w:sz w:val="18"/>
              </w:rPr>
              <w:t>Sí</w:t>
            </w:r>
          </w:p>
        </w:tc>
        <w:tc>
          <w:tcPr>
            <w:tcW w:type="dxa" w:w="4493"/>
          </w:tcPr>
          <w:p>
            <w:pPr>
              <w:spacing w:after="20"/>
            </w:pPr>
            <w:r>
              <w:rPr>
                <w:color w:val="333A40"/>
                <w:sz w:val="18"/>
              </w:rPr>
              <w:t>Formato email; recomendable bloquear dominios genéricos (gmail, hotmail…) con aviso suave.</w:t>
            </w:r>
          </w:p>
        </w:tc>
      </w:tr>
      <w:tr>
        <w:tc>
          <w:tcPr>
            <w:tcW w:type="dxa" w:w="2304"/>
          </w:tcPr>
          <w:p>
            <w:pPr>
              <w:spacing w:after="20"/>
            </w:pPr>
            <w:r>
              <w:rPr>
                <w:b/>
                <w:color w:val="14181B"/>
                <w:sz w:val="18"/>
              </w:rPr>
              <w:t>Teléfono</w:t>
            </w:r>
          </w:p>
        </w:tc>
        <w:tc>
          <w:tcPr>
            <w:tcW w:type="dxa" w:w="1224"/>
          </w:tcPr>
          <w:p>
            <w:pPr>
              <w:spacing w:after="20"/>
            </w:pPr>
            <w:r>
              <w:rPr>
                <w:color w:val="333A40"/>
                <w:sz w:val="18"/>
              </w:rPr>
              <w:t>tel</w:t>
            </w:r>
          </w:p>
        </w:tc>
        <w:tc>
          <w:tcPr>
            <w:tcW w:type="dxa" w:w="1440"/>
          </w:tcPr>
          <w:p>
            <w:pPr>
              <w:spacing w:after="20"/>
            </w:pPr>
            <w:r>
              <w:rPr>
                <w:color w:val="333A40"/>
                <w:sz w:val="18"/>
              </w:rPr>
              <w:t>No</w:t>
            </w:r>
          </w:p>
        </w:tc>
        <w:tc>
          <w:tcPr>
            <w:tcW w:type="dxa" w:w="4493"/>
          </w:tcPr>
          <w:p>
            <w:pPr>
              <w:spacing w:after="20"/>
            </w:pPr>
            <w:r>
              <w:rPr>
                <w:color w:val="333A40"/>
                <w:sz w:val="18"/>
              </w:rPr>
              <w:t>Prefijo internacional; validación laxa.</w:t>
            </w:r>
          </w:p>
        </w:tc>
      </w:tr>
      <w:tr>
        <w:tc>
          <w:tcPr>
            <w:tcW w:type="dxa" w:w="2304"/>
          </w:tcPr>
          <w:p>
            <w:pPr>
              <w:spacing w:after="20"/>
            </w:pPr>
            <w:r>
              <w:rPr>
                <w:b/>
                <w:color w:val="14181B"/>
                <w:sz w:val="18"/>
              </w:rPr>
              <w:t>Cargo / rol</w:t>
            </w:r>
          </w:p>
        </w:tc>
        <w:tc>
          <w:tcPr>
            <w:tcW w:type="dxa" w:w="1224"/>
          </w:tcPr>
          <w:p>
            <w:pPr>
              <w:spacing w:after="20"/>
            </w:pPr>
            <w:r>
              <w:rPr>
                <w:color w:val="333A40"/>
                <w:sz w:val="18"/>
              </w:rPr>
              <w:t>text</w:t>
            </w:r>
          </w:p>
        </w:tc>
        <w:tc>
          <w:tcPr>
            <w:tcW w:type="dxa" w:w="1440"/>
          </w:tcPr>
          <w:p>
            <w:pPr>
              <w:spacing w:after="20"/>
            </w:pPr>
            <w:r>
              <w:rPr>
                <w:color w:val="333A40"/>
                <w:sz w:val="18"/>
              </w:rPr>
              <w:t>No</w:t>
            </w:r>
          </w:p>
        </w:tc>
        <w:tc>
          <w:tcPr>
            <w:tcW w:type="dxa" w:w="4493"/>
          </w:tcPr>
          <w:p>
            <w:pPr>
              <w:spacing w:after="20"/>
            </w:pPr>
            <w:r>
              <w:rPr>
                <w:color w:val="333A40"/>
                <w:sz w:val="18"/>
              </w:rPr>
              <w:t>Campo libre (CISO, IT, Compliance…).</w:t>
            </w:r>
          </w:p>
        </w:tc>
      </w:tr>
      <w:tr>
        <w:tc>
          <w:tcPr>
            <w:tcW w:type="dxa" w:w="2304"/>
          </w:tcPr>
          <w:p>
            <w:pPr>
              <w:spacing w:after="20"/>
            </w:pPr>
            <w:r>
              <w:rPr>
                <w:b/>
                <w:color w:val="14181B"/>
                <w:sz w:val="18"/>
              </w:rPr>
              <w:t>¿Qué necesitas?</w:t>
            </w:r>
          </w:p>
        </w:tc>
        <w:tc>
          <w:tcPr>
            <w:tcW w:type="dxa" w:w="1224"/>
          </w:tcPr>
          <w:p>
            <w:pPr>
              <w:spacing w:after="20"/>
            </w:pPr>
            <w:r>
              <w:rPr>
                <w:color w:val="333A40"/>
                <w:sz w:val="18"/>
              </w:rPr>
              <w:t>select</w:t>
            </w:r>
          </w:p>
        </w:tc>
        <w:tc>
          <w:tcPr>
            <w:tcW w:type="dxa" w:w="1440"/>
          </w:tcPr>
          <w:p>
            <w:pPr>
              <w:spacing w:after="20"/>
            </w:pPr>
            <w:r>
              <w:rPr>
                <w:color w:val="333A40"/>
                <w:sz w:val="18"/>
              </w:rPr>
              <w:t>Sí</w:t>
            </w:r>
          </w:p>
        </w:tc>
        <w:tc>
          <w:tcPr>
            <w:tcW w:type="dxa" w:w="4493"/>
          </w:tcPr>
          <w:p>
            <w:pPr>
              <w:spacing w:after="20"/>
            </w:pPr>
            <w:r>
              <w:rPr>
                <w:color w:val="333A40"/>
                <w:sz w:val="18"/>
              </w:rPr>
              <w:t>Opciones: MSSP IT · MSSP OT · GRC · Demo SentryN3t · Licencias · Otro.</w:t>
            </w:r>
          </w:p>
        </w:tc>
      </w:tr>
      <w:tr>
        <w:tc>
          <w:tcPr>
            <w:tcW w:type="dxa" w:w="2304"/>
          </w:tcPr>
          <w:p>
            <w:pPr>
              <w:spacing w:after="20"/>
            </w:pPr>
            <w:r>
              <w:rPr>
                <w:b/>
                <w:color w:val="14181B"/>
                <w:sz w:val="18"/>
              </w:rPr>
              <w:t>Mensaje</w:t>
            </w:r>
          </w:p>
        </w:tc>
        <w:tc>
          <w:tcPr>
            <w:tcW w:type="dxa" w:w="1224"/>
          </w:tcPr>
          <w:p>
            <w:pPr>
              <w:spacing w:after="20"/>
            </w:pPr>
            <w:r>
              <w:rPr>
                <w:color w:val="333A40"/>
                <w:sz w:val="18"/>
              </w:rPr>
              <w:t>textarea</w:t>
            </w:r>
          </w:p>
        </w:tc>
        <w:tc>
          <w:tcPr>
            <w:tcW w:type="dxa" w:w="1440"/>
          </w:tcPr>
          <w:p>
            <w:pPr>
              <w:spacing w:after="20"/>
            </w:pPr>
            <w:r>
              <w:rPr>
                <w:color w:val="333A40"/>
                <w:sz w:val="18"/>
              </w:rPr>
              <w:t>No</w:t>
            </w:r>
          </w:p>
        </w:tc>
        <w:tc>
          <w:tcPr>
            <w:tcW w:type="dxa" w:w="4493"/>
          </w:tcPr>
          <w:p>
            <w:pPr>
              <w:spacing w:after="20"/>
            </w:pPr>
            <w:r>
              <w:rPr>
                <w:color w:val="333A40"/>
                <w:sz w:val="18"/>
              </w:rPr>
              <w:t>Hasta 1.000 caracteres.</w:t>
            </w:r>
          </w:p>
        </w:tc>
      </w:tr>
      <w:tr>
        <w:tc>
          <w:tcPr>
            <w:tcW w:type="dxa" w:w="2304"/>
          </w:tcPr>
          <w:p>
            <w:pPr>
              <w:spacing w:after="20"/>
            </w:pPr>
            <w:r>
              <w:rPr>
                <w:b/>
                <w:color w:val="14181B"/>
                <w:sz w:val="18"/>
              </w:rPr>
              <w:t>Consentimiento RGPD</w:t>
            </w:r>
          </w:p>
        </w:tc>
        <w:tc>
          <w:tcPr>
            <w:tcW w:type="dxa" w:w="1224"/>
          </w:tcPr>
          <w:p>
            <w:pPr>
              <w:spacing w:after="20"/>
            </w:pPr>
            <w:r>
              <w:rPr>
                <w:color w:val="333A40"/>
                <w:sz w:val="18"/>
              </w:rPr>
              <w:t>checkbox</w:t>
            </w:r>
          </w:p>
        </w:tc>
        <w:tc>
          <w:tcPr>
            <w:tcW w:type="dxa" w:w="1440"/>
          </w:tcPr>
          <w:p>
            <w:pPr>
              <w:spacing w:after="20"/>
            </w:pPr>
            <w:r>
              <w:rPr>
                <w:color w:val="333A40"/>
                <w:sz w:val="18"/>
              </w:rPr>
              <w:t>Sí</w:t>
            </w:r>
          </w:p>
        </w:tc>
        <w:tc>
          <w:tcPr>
            <w:tcW w:type="dxa" w:w="4493"/>
          </w:tcPr>
          <w:p>
            <w:pPr>
              <w:spacing w:after="20"/>
            </w:pPr>
            <w:r>
              <w:rPr>
                <w:color w:val="333A40"/>
                <w:sz w:val="18"/>
              </w:rPr>
              <w:t>Debe aceptarse para enviar; enlaza a Política de Privacidad.</w:t>
            </w:r>
          </w:p>
        </w:tc>
      </w:tr>
      <w:tr>
        <w:tc>
          <w:tcPr>
            <w:tcW w:type="dxa" w:w="2304"/>
          </w:tcPr>
          <w:p>
            <w:pPr>
              <w:spacing w:after="20"/>
            </w:pPr>
            <w:r>
              <w:rPr>
                <w:b/>
                <w:color w:val="14181B"/>
                <w:sz w:val="18"/>
              </w:rPr>
              <w:t>Marketing (opt-in)</w:t>
            </w:r>
          </w:p>
        </w:tc>
        <w:tc>
          <w:tcPr>
            <w:tcW w:type="dxa" w:w="1224"/>
          </w:tcPr>
          <w:p>
            <w:pPr>
              <w:spacing w:after="20"/>
            </w:pPr>
            <w:r>
              <w:rPr>
                <w:color w:val="333A40"/>
                <w:sz w:val="18"/>
              </w:rPr>
              <w:t>checkbox</w:t>
            </w:r>
          </w:p>
        </w:tc>
        <w:tc>
          <w:tcPr>
            <w:tcW w:type="dxa" w:w="1440"/>
          </w:tcPr>
          <w:p>
            <w:pPr>
              <w:spacing w:after="20"/>
            </w:pPr>
            <w:r>
              <w:rPr>
                <w:color w:val="333A40"/>
                <w:sz w:val="18"/>
              </w:rPr>
              <w:t>No</w:t>
            </w:r>
          </w:p>
        </w:tc>
        <w:tc>
          <w:tcPr>
            <w:tcW w:type="dxa" w:w="4493"/>
          </w:tcPr>
          <w:p>
            <w:pPr>
              <w:spacing w:after="20"/>
            </w:pPr>
            <w:r>
              <w:rPr>
                <w:color w:val="333A40"/>
                <w:sz w:val="18"/>
              </w:rPr>
              <w:t>Consentimiento separado para comunicaciones comerciales.</w:t>
            </w:r>
          </w:p>
        </w:tc>
      </w:tr>
    </w:tbl>
    <w:p>
      <w:pPr>
        <w:spacing w:after="40"/>
      </w:pPr>
    </w:p>
    <w:p>
      <w:pPr>
        <w:spacing w:before="200" w:after="60"/>
      </w:pPr>
      <w:r>
        <w:rPr>
          <w:rFonts w:ascii="Space Mono" w:hAnsi="Space Mono" w:cs="Space Mono"/>
          <w:b/>
          <w:color w:val="14181B"/>
          <w:sz w:val="26"/>
        </w:rPr>
        <w:t>Comportamiento e integración</w:t>
      </w:r>
    </w:p>
    <w:p>
      <w:pPr>
        <w:pStyle w:val="ListBullet"/>
        <w:spacing w:after="40"/>
      </w:pPr>
      <w:r>
        <w:rPr>
          <w:b/>
          <w:color w:val="0E7C86"/>
          <w:sz w:val="21"/>
        </w:rPr>
        <w:t xml:space="preserve">Validación — </w:t>
      </w:r>
      <w:r>
        <w:rPr>
          <w:color w:val="14181B"/>
          <w:sz w:val="21"/>
        </w:rPr>
        <w:t>en cliente (inline, al perder foco) y en servidor. Mensajes de error claros bajo cada campo.</w:t>
      </w:r>
    </w:p>
    <w:p>
      <w:pPr>
        <w:pStyle w:val="ListBullet"/>
        <w:spacing w:after="40"/>
      </w:pPr>
      <w:r>
        <w:rPr>
          <w:b/>
          <w:color w:val="0E7C86"/>
          <w:sz w:val="21"/>
        </w:rPr>
        <w:t xml:space="preserve">Anti-spam — </w:t>
      </w:r>
      <w:r>
        <w:rPr>
          <w:color w:val="14181B"/>
          <w:sz w:val="21"/>
        </w:rPr>
        <w:t>honeypot + reCAPTCHA v3 (o similar) invisible; rate-limiting por IP.</w:t>
      </w:r>
    </w:p>
    <w:p>
      <w:pPr>
        <w:pStyle w:val="ListBullet"/>
        <w:spacing w:after="40"/>
      </w:pPr>
      <w:r>
        <w:rPr>
          <w:b/>
          <w:color w:val="0E7C86"/>
          <w:sz w:val="21"/>
        </w:rPr>
        <w:t xml:space="preserve">Envío — </w:t>
      </w:r>
      <w:r>
        <w:rPr>
          <w:color w:val="14181B"/>
          <w:sz w:val="21"/>
        </w:rPr>
        <w:t>POST a endpoint propio o servicio de formularios; respuesta con estado de éxito/error sin recargar.</w:t>
      </w:r>
    </w:p>
    <w:p>
      <w:pPr>
        <w:pStyle w:val="ListBullet"/>
        <w:spacing w:after="40"/>
      </w:pPr>
      <w:r>
        <w:rPr>
          <w:b/>
          <w:color w:val="0E7C86"/>
          <w:sz w:val="21"/>
        </w:rPr>
        <w:t xml:space="preserve">Destino — </w:t>
      </w:r>
      <w:r>
        <w:rPr>
          <w:color w:val="14181B"/>
          <w:sz w:val="21"/>
        </w:rPr>
        <w:t>email a buzón comercial + alta en CRM/hoja; idealmente webhook a CRM (HubSpot/Pipedrive/…).</w:t>
      </w:r>
    </w:p>
    <w:p>
      <w:pPr>
        <w:pStyle w:val="ListBullet"/>
        <w:spacing w:after="40"/>
      </w:pPr>
      <w:r>
        <w:rPr>
          <w:b/>
          <w:color w:val="0E7C86"/>
          <w:sz w:val="21"/>
        </w:rPr>
        <w:t xml:space="preserve">Confirmación — </w:t>
      </w:r>
      <w:r>
        <w:rPr>
          <w:color w:val="14181B"/>
          <w:sz w:val="21"/>
        </w:rPr>
        <w:t>mensaje de éxito «Gracias, te respondemos en &lt; 24 h laborables» + autorespuesta al usuario.</w:t>
      </w:r>
    </w:p>
    <w:p>
      <w:pPr>
        <w:pStyle w:val="ListBullet"/>
        <w:spacing w:after="40"/>
      </w:pPr>
      <w:r>
        <w:rPr>
          <w:b/>
          <w:color w:val="0E7C86"/>
          <w:sz w:val="21"/>
        </w:rPr>
        <w:t xml:space="preserve">RGPD — </w:t>
      </w:r>
      <w:r>
        <w:rPr>
          <w:color w:val="14181B"/>
          <w:sz w:val="21"/>
        </w:rPr>
        <w:t>no enviar sin el check obligatorio; registrar timestamp e IP del consentimiento; enlace a privacidad.</w:t>
      </w:r>
    </w:p>
    <w:p>
      <w:pPr>
        <w:pStyle w:val="ListBullet"/>
        <w:spacing w:after="40"/>
      </w:pPr>
      <w:r>
        <w:rPr>
          <w:b/>
          <w:color w:val="0E7C86"/>
          <w:sz w:val="21"/>
        </w:rPr>
        <w:t xml:space="preserve">Accesibilidad — </w:t>
      </w:r>
      <w:r>
        <w:rPr>
          <w:color w:val="14181B"/>
          <w:sz w:val="21"/>
        </w:rPr>
        <w:t>labels asociados, foco visible, navegable por teclado, errores anunciados (aria-live).</w:t>
      </w:r>
    </w:p>
    <w:p>
      <w:pPr>
        <w:pStyle w:val="ListBullet"/>
        <w:spacing w:after="40"/>
      </w:pPr>
      <w:r>
        <w:rPr>
          <w:b/>
          <w:color w:val="0E7C86"/>
          <w:sz w:val="21"/>
        </w:rPr>
        <w:t xml:space="preserve">Incidente 24/7 — </w:t>
      </w:r>
      <w:r>
        <w:rPr>
          <w:color w:val="14181B"/>
          <w:sz w:val="21"/>
        </w:rPr>
        <w:t>el bloque de incidente es informativo (teléfono tel:), no forma parte del envío del formulario.</w:t>
      </w:r>
    </w:p>
    <w:p>
      <w:pPr>
        <w:spacing w:after="120" w:before="0"/>
      </w:pPr>
      <w:r>
        <w:rPr>
          <w:rFonts w:ascii="Noto Sans" w:hAnsi="Noto Sans" w:cs="Noto Sans"/>
          <w:b w:val="0"/>
          <w:i/>
          <w:color w:val="545E66"/>
          <w:sz w:val="19"/>
        </w:rPr>
        <w:t>Nota: el correo, teléfono y dirección mostrados en los mockups son marcadores de posición. Confirmar los datos reales de ISN Labs antes de publicar.</w:t>
      </w:r>
    </w:p>
    <w:p>
      <w:r>
        <w:br w:type="page"/>
      </w:r>
    </w:p>
    <w:p>
      <w:pPr>
        <w:spacing w:before="200" w:after="40"/>
      </w:pPr>
      <w:r>
        <w:rPr>
          <w:rFonts w:ascii="Space Mono" w:hAnsi="Space Mono" w:cs="Space Mono"/>
          <w:b/>
          <w:color w:val="0E7C86"/>
          <w:sz w:val="18"/>
        </w:rPr>
        <w:t>&gt;_ IMPLEMENTACIÓN</w:t>
      </w:r>
    </w:p>
    <w:p>
      <w:pPr>
        <w:spacing w:after="0"/>
      </w:pPr>
    </w:p>
    <w:p>
      <w:pPr>
        <w:pStyle w:val="Heading1"/>
        <w:spacing w:before="80" w:after="80"/>
        <w:pBdr>
          <w:bottom w:val="single" w:sz="6" w:space="4" w:color="0E7C86"/>
        </w:pBdr>
      </w:pPr>
      <w:r>
        <w:rPr>
          <w:rFonts w:ascii="Space Mono" w:hAnsi="Space Mono" w:cs="Space Mono"/>
          <w:b/>
          <w:color w:val="0E7C86"/>
          <w:sz w:val="36"/>
        </w:rPr>
        <w:t xml:space="preserve">12  </w:t>
      </w:r>
      <w:r>
        <w:rPr>
          <w:rFonts w:ascii="Space Mono" w:hAnsi="Space Mono" w:cs="Space Mono"/>
          <w:b/>
          <w:color w:val="14181B"/>
          <w:sz w:val="36"/>
        </w:rPr>
        <w:t>Notas técnicas para desarrollo</w:t>
      </w:r>
    </w:p>
    <w:p>
      <w:pPr>
        <w:spacing w:before="200" w:after="60"/>
      </w:pPr>
      <w:r>
        <w:rPr>
          <w:rFonts w:ascii="Space Mono" w:hAnsi="Space Mono" w:cs="Space Mono"/>
          <w:b/>
          <w:color w:val="14181B"/>
          <w:sz w:val="26"/>
        </w:rPr>
        <w:t>Stack sugerido (orientativo)</w:t>
      </w:r>
    </w:p>
    <w:p>
      <w:pPr>
        <w:pStyle w:val="ListBullet"/>
        <w:spacing w:after="40"/>
      </w:pPr>
      <w:r>
        <w:rPr>
          <w:b/>
          <w:color w:val="0E7C86"/>
          <w:sz w:val="21"/>
        </w:rPr>
        <w:t xml:space="preserve">Framework — </w:t>
      </w:r>
      <w:r>
        <w:rPr>
          <w:color w:val="14181B"/>
          <w:sz w:val="21"/>
        </w:rPr>
        <w:t>sitio estático o SSR con buen SEO: Astro, Next.js o Nuxt. Contenido de Insights en CMS headless (Sanity, Strapi) o Markdown.</w:t>
      </w:r>
    </w:p>
    <w:p>
      <w:pPr>
        <w:pStyle w:val="ListBullet"/>
        <w:spacing w:after="40"/>
      </w:pPr>
      <w:r>
        <w:rPr>
          <w:b/>
          <w:color w:val="0E7C86"/>
          <w:sz w:val="21"/>
        </w:rPr>
        <w:t xml:space="preserve">Estilos — </w:t>
      </w:r>
      <w:r>
        <w:rPr>
          <w:color w:val="14181B"/>
          <w:sz w:val="21"/>
        </w:rPr>
        <w:t>design tokens (CSS variables) según sección 1; utilidades tipo Tailwind o CSS modular. Dark-first.</w:t>
      </w:r>
    </w:p>
    <w:p>
      <w:pPr>
        <w:pStyle w:val="ListBullet"/>
        <w:spacing w:after="40"/>
      </w:pPr>
      <w:r>
        <w:rPr>
          <w:b/>
          <w:color w:val="0E7C86"/>
          <w:sz w:val="21"/>
        </w:rPr>
        <w:t xml:space="preserve">Fuentes — </w:t>
      </w:r>
      <w:r>
        <w:rPr>
          <w:color w:val="14181B"/>
          <w:sz w:val="21"/>
        </w:rPr>
        <w:t>JetBrains Mono / IBM Plex Mono self-hosted (woff2) con font-display: swap.</w:t>
      </w:r>
    </w:p>
    <w:p>
      <w:pPr>
        <w:spacing w:before="200" w:after="60"/>
      </w:pPr>
      <w:r>
        <w:rPr>
          <w:rFonts w:ascii="Space Mono" w:hAnsi="Space Mono" w:cs="Space Mono"/>
          <w:b/>
          <w:color w:val="14181B"/>
          <w:sz w:val="26"/>
        </w:rPr>
        <w:t>Responsive</w:t>
      </w:r>
    </w:p>
    <w:p>
      <w:pPr>
        <w:pStyle w:val="ListBullet"/>
        <w:spacing w:after="40"/>
      </w:pPr>
      <w:r>
        <w:rPr>
          <w:color w:val="14181B"/>
          <w:sz w:val="21"/>
        </w:rPr>
        <w:t>Breakpoints orientativos: móvil &lt; 640, tablet 640–1024, desktop &gt; 1024. Contenedor máx. 1440px.</w:t>
      </w:r>
    </w:p>
    <w:p>
      <w:pPr>
        <w:pStyle w:val="ListBullet"/>
        <w:spacing w:after="40"/>
      </w:pPr>
      <w:r>
        <w:rPr>
          <w:color w:val="14181B"/>
          <w:sz w:val="21"/>
        </w:rPr>
        <w:t>Rejillas de 4 columnas → 2 en tablet → 1 en móvil. El dashboard del hero pasa debajo del texto en móvil.</w:t>
      </w:r>
    </w:p>
    <w:p>
      <w:pPr>
        <w:pStyle w:val="ListBullet"/>
        <w:spacing w:after="40"/>
      </w:pPr>
      <w:r>
        <w:rPr>
          <w:color w:val="14181B"/>
          <w:sz w:val="21"/>
        </w:rPr>
        <w:t>Objetivo mobile-first en rendimiento; menú hamburguesa &lt; 1024px.</w:t>
      </w:r>
    </w:p>
    <w:p>
      <w:pPr>
        <w:spacing w:before="200" w:after="60"/>
      </w:pPr>
      <w:r>
        <w:rPr>
          <w:rFonts w:ascii="Space Mono" w:hAnsi="Space Mono" w:cs="Space Mono"/>
          <w:b/>
          <w:color w:val="14181B"/>
          <w:sz w:val="26"/>
        </w:rPr>
        <w:t>Rendimiento (Core Web Vitals)</w:t>
      </w:r>
    </w:p>
    <w:p>
      <w:pPr>
        <w:pStyle w:val="ListBullet"/>
        <w:spacing w:after="40"/>
      </w:pPr>
      <w:r>
        <w:rPr>
          <w:color w:val="14181B"/>
          <w:sz w:val="21"/>
        </w:rPr>
        <w:t>LCP &lt; 2,5 s: hero sin imágenes pesadas; glows como gradientes CSS.</w:t>
      </w:r>
    </w:p>
    <w:p>
      <w:pPr>
        <w:pStyle w:val="ListBullet"/>
        <w:spacing w:after="40"/>
      </w:pPr>
      <w:r>
        <w:rPr>
          <w:color w:val="14181B"/>
          <w:sz w:val="21"/>
        </w:rPr>
        <w:t>Imágenes en AVIF/WebP, lazy-loading bajo el fold, width/height para evitar CLS.</w:t>
      </w:r>
    </w:p>
    <w:p>
      <w:pPr>
        <w:pStyle w:val="ListBullet"/>
        <w:spacing w:after="40"/>
      </w:pPr>
      <w:r>
        <w:rPr>
          <w:color w:val="14181B"/>
          <w:sz w:val="21"/>
        </w:rPr>
        <w:t>JS mínimo; animaciones sutiles y respetando prefers-reduced-motion.</w:t>
      </w:r>
    </w:p>
    <w:p>
      <w:pPr>
        <w:spacing w:before="200" w:after="60"/>
      </w:pPr>
      <w:r>
        <w:rPr>
          <w:rFonts w:ascii="Space Mono" w:hAnsi="Space Mono" w:cs="Space Mono"/>
          <w:b/>
          <w:color w:val="14181B"/>
          <w:sz w:val="26"/>
        </w:rPr>
        <w:t>Accesibilidad (WCAG 2.1 AA)</w:t>
      </w:r>
    </w:p>
    <w:p>
      <w:pPr>
        <w:pStyle w:val="ListBullet"/>
        <w:spacing w:after="40"/>
      </w:pPr>
      <w:r>
        <w:rPr>
          <w:color w:val="14181B"/>
          <w:sz w:val="21"/>
        </w:rPr>
        <w:t>Contraste: verificar cian/verde sobre negro para textos pequeños (usar el texto claro, no el acento, en cuerpos).</w:t>
      </w:r>
    </w:p>
    <w:p>
      <w:pPr>
        <w:pStyle w:val="ListBullet"/>
        <w:spacing w:after="40"/>
      </w:pPr>
      <w:r>
        <w:rPr>
          <w:color w:val="14181B"/>
          <w:sz w:val="21"/>
        </w:rPr>
        <w:t>Foco visible, orden lógico de tabulación, navegación por teclado completa.</w:t>
      </w:r>
    </w:p>
    <w:p>
      <w:pPr>
        <w:pStyle w:val="ListBullet"/>
        <w:spacing w:after="40"/>
      </w:pPr>
      <w:r>
        <w:rPr>
          <w:color w:val="14181B"/>
          <w:sz w:val="21"/>
        </w:rPr>
        <w:t>Alt text en imágenes informativas; landmarks y encabezados jerárquicos.</w:t>
      </w:r>
    </w:p>
    <w:p>
      <w:pPr>
        <w:spacing w:before="200" w:after="60"/>
      </w:pPr>
      <w:r>
        <w:rPr>
          <w:rFonts w:ascii="Space Mono" w:hAnsi="Space Mono" w:cs="Space Mono"/>
          <w:b/>
          <w:color w:val="14181B"/>
          <w:sz w:val="26"/>
        </w:rPr>
        <w:t>Analítica, legal e i18n</w:t>
      </w:r>
    </w:p>
    <w:p>
      <w:pPr>
        <w:pStyle w:val="ListBullet"/>
        <w:spacing w:after="40"/>
      </w:pPr>
      <w:r>
        <w:rPr>
          <w:color w:val="14181B"/>
          <w:sz w:val="21"/>
        </w:rPr>
        <w:t>Analítica respetuosa con privacidad (p. ej. Plausible/Matomo) o GA4 con banner de consentimiento.</w:t>
      </w:r>
    </w:p>
    <w:p>
      <w:pPr>
        <w:pStyle w:val="ListBullet"/>
        <w:spacing w:after="40"/>
      </w:pPr>
      <w:r>
        <w:rPr>
          <w:color w:val="14181B"/>
          <w:sz w:val="21"/>
        </w:rPr>
        <w:t>Banner de cookies + páginas legales (aviso legal, privacidad, cookies) enlazadas en el pie.</w:t>
      </w:r>
    </w:p>
    <w:p>
      <w:pPr>
        <w:pStyle w:val="ListBullet"/>
        <w:spacing w:after="40"/>
      </w:pPr>
      <w:r>
        <w:rPr>
          <w:color w:val="14181B"/>
          <w:sz w:val="21"/>
        </w:rPr>
        <w:t>i18n ES/EN con hreflang; el selector de idioma ya está en la cabecera.</w:t>
      </w:r>
    </w:p>
    <w:p>
      <w:pPr>
        <w:pStyle w:val="ListBullet"/>
        <w:spacing w:after="40"/>
      </w:pPr>
      <w:r>
        <w:rPr>
          <w:color w:val="14181B"/>
          <w:sz w:val="21"/>
        </w:rPr>
        <w:t>Marca: usar el logo correcto según fondo (wordmark blanco sobre oscuro); respetar área de reserva; no deformar ni recolorear.</w:t>
      </w:r>
    </w:p>
    <w:p>
      <w:r>
        <w:br w:type="page"/>
      </w:r>
    </w:p>
    <w:p>
      <w:pPr>
        <w:spacing w:before="200" w:after="40"/>
      </w:pPr>
      <w:r>
        <w:rPr>
          <w:rFonts w:ascii="Space Mono" w:hAnsi="Space Mono" w:cs="Space Mono"/>
          <w:b/>
          <w:color w:val="0E7C86"/>
          <w:sz w:val="18"/>
        </w:rPr>
        <w:t>&gt;_ RESUMEN</w:t>
      </w:r>
    </w:p>
    <w:p>
      <w:pPr>
        <w:spacing w:after="0"/>
      </w:pPr>
    </w:p>
    <w:p>
      <w:pPr>
        <w:pStyle w:val="Heading1"/>
        <w:spacing w:before="80" w:after="80"/>
        <w:pBdr>
          <w:bottom w:val="single" w:sz="6" w:space="4" w:color="0E7C86"/>
        </w:pBdr>
      </w:pPr>
      <w:r>
        <w:rPr>
          <w:rFonts w:ascii="Space Mono" w:hAnsi="Space Mono" w:cs="Space Mono"/>
          <w:b/>
          <w:color w:val="0E7C86"/>
          <w:sz w:val="36"/>
        </w:rPr>
        <w:t xml:space="preserve">13  </w:t>
      </w:r>
      <w:r>
        <w:rPr>
          <w:rFonts w:ascii="Space Mono" w:hAnsi="Space Mono" w:cs="Space Mono"/>
          <w:b/>
          <w:color w:val="14181B"/>
          <w:sz w:val="36"/>
        </w:rPr>
        <w:t>Resumen SEO por página</w:t>
      </w:r>
    </w:p>
    <w:p>
      <w:pPr>
        <w:spacing w:after="120" w:before="0"/>
      </w:pPr>
      <w:r>
        <w:rPr>
          <w:rFonts w:ascii="Noto Sans" w:hAnsi="Noto Sans" w:cs="Noto Sans"/>
          <w:b w:val="0"/>
          <w:i w:val="0"/>
          <w:color w:val="14181B"/>
          <w:sz w:val="21"/>
        </w:rPr>
        <w:t>Títulos y meta descripciones propuestos (ajustar longitud final: title ≤ 60, meta ≤ 155 caracteres).</w:t>
      </w:r>
    </w:p>
    <w:tbl>
      <w:tblPr>
        <w:tblStyle w:val="TableGrid"/>
        <w:tblW w:type="auto" w:w="0"/>
        <w:jc w:val="center"/>
        <w:tblLook w:firstColumn="1" w:firstRow="1" w:lastColumn="0" w:lastRow="0" w:noHBand="0" w:noVBand="1" w:val="04A0"/>
      </w:tblPr>
      <w:tblGrid>
        <w:gridCol w:w="3154"/>
        <w:gridCol w:w="3154"/>
        <w:gridCol w:w="3154"/>
      </w:tblGrid>
      <w:tr>
        <w:tc>
          <w:tcPr>
            <w:tcW w:type="dxa" w:w="2160"/>
            <w:shd w:val="clear" w:fill="123B40"/>
          </w:tcPr>
          <w:p>
            <w:pPr>
              <w:spacing w:after="20"/>
            </w:pPr>
            <w:r>
              <w:rPr>
                <w:rFonts w:ascii="Space Mono" w:hAnsi="Space Mono" w:cs="Space Mono"/>
                <w:b/>
                <w:color w:val="FFFFFF"/>
                <w:sz w:val="18"/>
              </w:rPr>
              <w:t>Página</w:t>
            </w:r>
          </w:p>
        </w:tc>
        <w:tc>
          <w:tcPr>
            <w:tcW w:type="dxa" w:w="4896"/>
            <w:shd w:val="clear" w:fill="123B40"/>
          </w:tcPr>
          <w:p>
            <w:pPr>
              <w:spacing w:after="20"/>
            </w:pPr>
            <w:r>
              <w:rPr>
                <w:rFonts w:ascii="Space Mono" w:hAnsi="Space Mono" w:cs="Space Mono"/>
                <w:b/>
                <w:color w:val="FFFFFF"/>
                <w:sz w:val="18"/>
              </w:rPr>
              <w:t>Title (propuesto)</w:t>
            </w:r>
          </w:p>
        </w:tc>
        <w:tc>
          <w:tcPr>
            <w:tcW w:type="dxa" w:w="2405"/>
            <w:shd w:val="clear" w:fill="123B40"/>
          </w:tcPr>
          <w:p>
            <w:pPr>
              <w:spacing w:after="20"/>
            </w:pPr>
            <w:r>
              <w:rPr>
                <w:rFonts w:ascii="Space Mono" w:hAnsi="Space Mono" w:cs="Space Mono"/>
                <w:b/>
                <w:color w:val="FFFFFF"/>
                <w:sz w:val="18"/>
              </w:rPr>
              <w:t>Keyword principal</w:t>
            </w:r>
          </w:p>
        </w:tc>
      </w:tr>
      <w:tr>
        <w:tc>
          <w:tcPr>
            <w:tcW w:type="dxa" w:w="2160"/>
          </w:tcPr>
          <w:p>
            <w:pPr>
              <w:spacing w:after="20"/>
            </w:pPr>
            <w:r>
              <w:rPr>
                <w:b/>
                <w:color w:val="14181B"/>
                <w:sz w:val="18"/>
              </w:rPr>
              <w:t>Home</w:t>
            </w:r>
          </w:p>
        </w:tc>
        <w:tc>
          <w:tcPr>
            <w:tcW w:type="dxa" w:w="4896"/>
          </w:tcPr>
          <w:p>
            <w:pPr>
              <w:spacing w:after="20"/>
            </w:pPr>
            <w:r>
              <w:rPr>
                <w:color w:val="333A40"/>
                <w:sz w:val="18"/>
              </w:rPr>
              <w:t>ISN Labs · MSSP y GRC | Ciberseguridad gestionada IT y OT</w:t>
            </w:r>
          </w:p>
        </w:tc>
        <w:tc>
          <w:tcPr>
            <w:tcW w:type="dxa" w:w="2405"/>
          </w:tcPr>
          <w:p>
            <w:pPr>
              <w:spacing w:after="20"/>
            </w:pPr>
            <w:r>
              <w:rPr>
                <w:color w:val="333A40"/>
                <w:sz w:val="18"/>
              </w:rPr>
              <w:t>ciberseguridad gestionada</w:t>
            </w:r>
          </w:p>
        </w:tc>
      </w:tr>
      <w:tr>
        <w:tc>
          <w:tcPr>
            <w:tcW w:type="dxa" w:w="2160"/>
          </w:tcPr>
          <w:p>
            <w:pPr>
              <w:spacing w:after="20"/>
            </w:pPr>
            <w:r>
              <w:rPr>
                <w:b/>
                <w:color w:val="14181B"/>
                <w:sz w:val="18"/>
              </w:rPr>
              <w:t>MSSP</w:t>
            </w:r>
          </w:p>
        </w:tc>
        <w:tc>
          <w:tcPr>
            <w:tcW w:type="dxa" w:w="4896"/>
          </w:tcPr>
          <w:p>
            <w:pPr>
              <w:spacing w:after="20"/>
            </w:pPr>
            <w:r>
              <w:rPr>
                <w:color w:val="333A40"/>
                <w:sz w:val="18"/>
              </w:rPr>
              <w:t>Servicios MSSP IT y OT | Ciberseguridad gestionada</w:t>
            </w:r>
          </w:p>
        </w:tc>
        <w:tc>
          <w:tcPr>
            <w:tcW w:type="dxa" w:w="2405"/>
          </w:tcPr>
          <w:p>
            <w:pPr>
              <w:spacing w:after="20"/>
            </w:pPr>
            <w:r>
              <w:rPr>
                <w:color w:val="333A40"/>
                <w:sz w:val="18"/>
              </w:rPr>
              <w:t>servicios MSSP</w:t>
            </w:r>
          </w:p>
        </w:tc>
      </w:tr>
      <w:tr>
        <w:tc>
          <w:tcPr>
            <w:tcW w:type="dxa" w:w="2160"/>
          </w:tcPr>
          <w:p>
            <w:pPr>
              <w:spacing w:after="20"/>
            </w:pPr>
            <w:r>
              <w:rPr>
                <w:b/>
                <w:color w:val="14181B"/>
                <w:sz w:val="18"/>
              </w:rPr>
              <w:t>GRC</w:t>
            </w:r>
          </w:p>
        </w:tc>
        <w:tc>
          <w:tcPr>
            <w:tcW w:type="dxa" w:w="4896"/>
          </w:tcPr>
          <w:p>
            <w:pPr>
              <w:spacing w:after="20"/>
            </w:pPr>
            <w:r>
              <w:rPr>
                <w:color w:val="333A40"/>
                <w:sz w:val="18"/>
              </w:rPr>
              <w:t>Consultoría GRC: ENS, ISO 27001, ISO 42001 y NIS2</w:t>
            </w:r>
          </w:p>
        </w:tc>
        <w:tc>
          <w:tcPr>
            <w:tcW w:type="dxa" w:w="2405"/>
          </w:tcPr>
          <w:p>
            <w:pPr>
              <w:spacing w:after="20"/>
            </w:pPr>
            <w:r>
              <w:rPr>
                <w:color w:val="333A40"/>
                <w:sz w:val="18"/>
              </w:rPr>
              <w:t>consultoría GRC</w:t>
            </w:r>
          </w:p>
        </w:tc>
      </w:tr>
      <w:tr>
        <w:tc>
          <w:tcPr>
            <w:tcW w:type="dxa" w:w="2160"/>
          </w:tcPr>
          <w:p>
            <w:pPr>
              <w:spacing w:after="20"/>
            </w:pPr>
            <w:r>
              <w:rPr>
                <w:b/>
                <w:color w:val="14181B"/>
                <w:sz w:val="18"/>
              </w:rPr>
              <w:t>Software</w:t>
            </w:r>
          </w:p>
        </w:tc>
        <w:tc>
          <w:tcPr>
            <w:tcW w:type="dxa" w:w="4896"/>
          </w:tcPr>
          <w:p>
            <w:pPr>
              <w:spacing w:after="20"/>
            </w:pPr>
            <w:r>
              <w:rPr>
                <w:color w:val="333A40"/>
                <w:sz w:val="18"/>
              </w:rPr>
              <w:t>Software y licencias: SentryN3t, Microsoft, Huntress, OPNsense, Fortinet</w:t>
            </w:r>
          </w:p>
        </w:tc>
        <w:tc>
          <w:tcPr>
            <w:tcW w:type="dxa" w:w="2405"/>
          </w:tcPr>
          <w:p>
            <w:pPr>
              <w:spacing w:after="20"/>
            </w:pPr>
            <w:r>
              <w:rPr>
                <w:color w:val="333A40"/>
                <w:sz w:val="18"/>
              </w:rPr>
              <w:t>software licencias SentryN3t</w:t>
            </w:r>
          </w:p>
        </w:tc>
      </w:tr>
      <w:tr>
        <w:tc>
          <w:tcPr>
            <w:tcW w:type="dxa" w:w="2160"/>
          </w:tcPr>
          <w:p>
            <w:pPr>
              <w:spacing w:after="20"/>
            </w:pPr>
            <w:r>
              <w:rPr>
                <w:b/>
                <w:color w:val="14181B"/>
                <w:sz w:val="18"/>
              </w:rPr>
              <w:t>Sectores</w:t>
            </w:r>
          </w:p>
        </w:tc>
        <w:tc>
          <w:tcPr>
            <w:tcW w:type="dxa" w:w="4896"/>
          </w:tcPr>
          <w:p>
            <w:pPr>
              <w:spacing w:after="20"/>
            </w:pPr>
            <w:r>
              <w:rPr>
                <w:color w:val="333A40"/>
                <w:sz w:val="18"/>
              </w:rPr>
              <w:t>Ciberseguridad por sectores: industria, críticos, salud</w:t>
            </w:r>
          </w:p>
        </w:tc>
        <w:tc>
          <w:tcPr>
            <w:tcW w:type="dxa" w:w="2405"/>
          </w:tcPr>
          <w:p>
            <w:pPr>
              <w:spacing w:after="20"/>
            </w:pPr>
            <w:r>
              <w:rPr>
                <w:color w:val="333A40"/>
                <w:sz w:val="18"/>
              </w:rPr>
              <w:t>ciberseguridad por sectores</w:t>
            </w:r>
          </w:p>
        </w:tc>
      </w:tr>
      <w:tr>
        <w:tc>
          <w:tcPr>
            <w:tcW w:type="dxa" w:w="2160"/>
          </w:tcPr>
          <w:p>
            <w:pPr>
              <w:spacing w:after="20"/>
            </w:pPr>
            <w:r>
              <w:rPr>
                <w:b/>
                <w:color w:val="14181B"/>
                <w:sz w:val="18"/>
              </w:rPr>
              <w:t>Blog</w:t>
            </w:r>
          </w:p>
        </w:tc>
        <w:tc>
          <w:tcPr>
            <w:tcW w:type="dxa" w:w="4896"/>
          </w:tcPr>
          <w:p>
            <w:pPr>
              <w:spacing w:after="20"/>
            </w:pPr>
            <w:r>
              <w:rPr>
                <w:color w:val="333A40"/>
                <w:sz w:val="18"/>
              </w:rPr>
              <w:t>Blog de ciberseguridad y cumplimiento (NIS2, DORA)</w:t>
            </w:r>
          </w:p>
        </w:tc>
        <w:tc>
          <w:tcPr>
            <w:tcW w:type="dxa" w:w="2405"/>
          </w:tcPr>
          <w:p>
            <w:pPr>
              <w:spacing w:after="20"/>
            </w:pPr>
            <w:r>
              <w:rPr>
                <w:color w:val="333A40"/>
                <w:sz w:val="18"/>
              </w:rPr>
              <w:t>blog ciberseguridad NIS2</w:t>
            </w:r>
          </w:p>
        </w:tc>
      </w:tr>
      <w:tr>
        <w:tc>
          <w:tcPr>
            <w:tcW w:type="dxa" w:w="2160"/>
          </w:tcPr>
          <w:p>
            <w:pPr>
              <w:spacing w:after="20"/>
            </w:pPr>
            <w:r>
              <w:rPr>
                <w:b/>
                <w:color w:val="14181B"/>
                <w:sz w:val="18"/>
              </w:rPr>
              <w:t>Compañía</w:t>
            </w:r>
          </w:p>
        </w:tc>
        <w:tc>
          <w:tcPr>
            <w:tcW w:type="dxa" w:w="4896"/>
          </w:tcPr>
          <w:p>
            <w:pPr>
              <w:spacing w:after="20"/>
            </w:pPr>
            <w:r>
              <w:rPr>
                <w:color w:val="333A40"/>
                <w:sz w:val="18"/>
              </w:rPr>
              <w:t>Sobre ISN Labs: MSSP con GRC propio en Asturias</w:t>
            </w:r>
          </w:p>
        </w:tc>
        <w:tc>
          <w:tcPr>
            <w:tcW w:type="dxa" w:w="2405"/>
          </w:tcPr>
          <w:p>
            <w:pPr>
              <w:spacing w:after="20"/>
            </w:pPr>
            <w:r>
              <w:rPr>
                <w:color w:val="333A40"/>
                <w:sz w:val="18"/>
              </w:rPr>
              <w:t>ISN Labs empresa</w:t>
            </w:r>
          </w:p>
        </w:tc>
      </w:tr>
      <w:tr>
        <w:tc>
          <w:tcPr>
            <w:tcW w:type="dxa" w:w="2160"/>
          </w:tcPr>
          <w:p>
            <w:pPr>
              <w:spacing w:after="20"/>
            </w:pPr>
            <w:r>
              <w:rPr>
                <w:b/>
                <w:color w:val="14181B"/>
                <w:sz w:val="18"/>
              </w:rPr>
              <w:t>Contacto</w:t>
            </w:r>
          </w:p>
        </w:tc>
        <w:tc>
          <w:tcPr>
            <w:tcW w:type="dxa" w:w="4896"/>
          </w:tcPr>
          <w:p>
            <w:pPr>
              <w:spacing w:after="20"/>
            </w:pPr>
            <w:r>
              <w:rPr>
                <w:color w:val="333A40"/>
                <w:sz w:val="18"/>
              </w:rPr>
              <w:t>Contacto — Solicita información o una demo | ISN Labs</w:t>
            </w:r>
          </w:p>
        </w:tc>
        <w:tc>
          <w:tcPr>
            <w:tcW w:type="dxa" w:w="2405"/>
          </w:tcPr>
          <w:p>
            <w:pPr>
              <w:spacing w:after="20"/>
            </w:pPr>
            <w:r>
              <w:rPr>
                <w:color w:val="333A40"/>
                <w:sz w:val="18"/>
              </w:rPr>
              <w:t>contacto MSSP</w:t>
            </w:r>
          </w:p>
        </w:tc>
      </w:tr>
    </w:tbl>
    <w:p>
      <w:pPr>
        <w:spacing w:after="40"/>
      </w:pPr>
    </w:p>
    <w:p>
      <w:r>
        <w:br w:type="page"/>
      </w:r>
    </w:p>
    <w:p>
      <w:pPr>
        <w:spacing w:before="200" w:after="40"/>
      </w:pPr>
      <w:r>
        <w:rPr>
          <w:rFonts w:ascii="Space Mono" w:hAnsi="Space Mono" w:cs="Space Mono"/>
          <w:b/>
          <w:color w:val="0E7C86"/>
          <w:sz w:val="18"/>
        </w:rPr>
        <w:t>&gt;_ ANEXO</w:t>
      </w:r>
    </w:p>
    <w:p>
      <w:pPr>
        <w:spacing w:after="0"/>
      </w:pPr>
    </w:p>
    <w:p>
      <w:pPr>
        <w:pStyle w:val="Heading1"/>
        <w:spacing w:before="80" w:after="80"/>
        <w:pBdr>
          <w:bottom w:val="single" w:sz="6" w:space="4" w:color="0E7C86"/>
        </w:pBdr>
      </w:pPr>
      <w:r>
        <w:rPr>
          <w:rFonts w:ascii="Space Mono" w:hAnsi="Space Mono" w:cs="Space Mono"/>
          <w:b/>
          <w:color w:val="0E7C86"/>
          <w:sz w:val="36"/>
        </w:rPr>
        <w:t xml:space="preserve">14  </w:t>
      </w:r>
      <w:r>
        <w:rPr>
          <w:rFonts w:ascii="Space Mono" w:hAnsi="Space Mono" w:cs="Space Mono"/>
          <w:b/>
          <w:color w:val="14181B"/>
          <w:sz w:val="36"/>
        </w:rPr>
        <w:t>Anexo: marca, entregables y siguientes pasos</w:t>
      </w:r>
    </w:p>
    <w:p>
      <w:pPr>
        <w:spacing w:before="200" w:after="60"/>
      </w:pPr>
      <w:r>
        <w:rPr>
          <w:rFonts w:ascii="Space Mono" w:hAnsi="Space Mono" w:cs="Space Mono"/>
          <w:b/>
          <w:color w:val="14181B"/>
          <w:sz w:val="26"/>
        </w:rPr>
        <w:t>Identidad de marca</w:t>
      </w:r>
    </w:p>
    <w:p>
      <w:pPr>
        <w:pStyle w:val="ListBullet"/>
        <w:spacing w:after="40"/>
      </w:pPr>
      <w:r>
        <w:rPr>
          <w:b/>
          <w:color w:val="0E7C86"/>
          <w:sz w:val="21"/>
        </w:rPr>
        <w:t xml:space="preserve">Nombre público — </w:t>
      </w:r>
      <w:r>
        <w:rPr>
          <w:color w:val="14181B"/>
          <w:sz w:val="21"/>
        </w:rPr>
        <w:t>ISN Labs. Razón social (solo legales/facturas): Innovation and Security North Labs SL (ISNOL).</w:t>
      </w:r>
    </w:p>
    <w:p>
      <w:pPr>
        <w:pStyle w:val="ListBullet"/>
        <w:spacing w:after="40"/>
      </w:pPr>
      <w:r>
        <w:rPr>
          <w:b/>
          <w:color w:val="0E7C86"/>
          <w:sz w:val="21"/>
        </w:rPr>
        <w:t xml:space="preserve">Claim — </w:t>
      </w:r>
      <w:r>
        <w:rPr>
          <w:color w:val="14181B"/>
          <w:sz w:val="21"/>
        </w:rPr>
        <w:t>«Cybersecurity, IA &amp; Innovation» (no traducir).</w:t>
      </w:r>
    </w:p>
    <w:p>
      <w:pPr>
        <w:pStyle w:val="ListBullet"/>
        <w:spacing w:after="40"/>
      </w:pPr>
      <w:r>
        <w:rPr>
          <w:b/>
          <w:color w:val="0E7C86"/>
          <w:sz w:val="21"/>
        </w:rPr>
        <w:t xml:space="preserve">Logo — </w:t>
      </w:r>
      <w:r>
        <w:rPr>
          <w:color w:val="14181B"/>
          <w:sz w:val="21"/>
        </w:rPr>
        <w:t>versiones fondo claro (wordmark negro) y fondo oscuro (wordmark blanco). En la web oscura, usar el blanco.</w:t>
      </w:r>
    </w:p>
    <w:p>
      <w:pPr>
        <w:pStyle w:val="ListBullet"/>
        <w:spacing w:after="40"/>
      </w:pPr>
      <w:r>
        <w:rPr>
          <w:b/>
          <w:color w:val="0E7C86"/>
          <w:sz w:val="21"/>
        </w:rPr>
        <w:t xml:space="preserve">Color — </w:t>
      </w:r>
      <w:r>
        <w:rPr>
          <w:color w:val="14181B"/>
          <w:sz w:val="21"/>
        </w:rPr>
        <w:t>monocromo + cian (#5BD8E8) y verde (#00E48D). Cambiar a monocromo puro es trivial si se desea.</w:t>
      </w:r>
    </w:p>
    <w:p>
      <w:pPr>
        <w:spacing w:before="200" w:after="60"/>
      </w:pPr>
      <w:r>
        <w:rPr>
          <w:rFonts w:ascii="Space Mono" w:hAnsi="Space Mono" w:cs="Space Mono"/>
          <w:b/>
          <w:color w:val="14181B"/>
          <w:sz w:val="26"/>
        </w:rPr>
        <w:t>Archivos entregados</w:t>
      </w:r>
    </w:p>
    <w:p>
      <w:pPr>
        <w:pStyle w:val="ListBullet"/>
        <w:spacing w:after="40"/>
      </w:pPr>
      <w:r>
        <w:rPr>
          <w:color w:val="14181B"/>
          <w:sz w:val="21"/>
        </w:rPr>
        <w:t>Este documento (mockups + especificaciones).</w:t>
      </w:r>
    </w:p>
    <w:p>
      <w:pPr>
        <w:pStyle w:val="ListBullet"/>
        <w:spacing w:after="40"/>
      </w:pPr>
      <w:r>
        <w:rPr>
          <w:color w:val="14181B"/>
          <w:sz w:val="21"/>
        </w:rPr>
        <w:t>12 mockups PNG en alta resolución (home, MSSP, GRC, software/licencias, sectores, blog, compañía, contacto, sistema de diseño y los 3 catálogos IT/OT/GRC) + portada.</w:t>
      </w:r>
    </w:p>
    <w:p>
      <w:pPr>
        <w:pStyle w:val="ListBullet"/>
        <w:spacing w:after="40"/>
      </w:pPr>
      <w:r>
        <w:rPr>
          <w:color w:val="14181B"/>
          <w:sz w:val="21"/>
        </w:rPr>
        <w:t>Los PNG pueden entregarse sueltos al equipo de desarrollo bajo petición.</w:t>
      </w:r>
    </w:p>
    <w:p>
      <w:pPr>
        <w:spacing w:before="200" w:after="60"/>
      </w:pPr>
      <w:r>
        <w:rPr>
          <w:rFonts w:ascii="Space Mono" w:hAnsi="Space Mono" w:cs="Space Mono"/>
          <w:b/>
          <w:color w:val="14181B"/>
          <w:sz w:val="26"/>
        </w:rPr>
        <w:t>Qué funciona / qué falta / siguiente paso</w:t>
      </w:r>
    </w:p>
    <w:p>
      <w:pPr>
        <w:pStyle w:val="ListBullet"/>
        <w:spacing w:after="40"/>
      </w:pPr>
      <w:r>
        <w:rPr>
          <w:b/>
          <w:color w:val="0E7C86"/>
          <w:sz w:val="21"/>
        </w:rPr>
        <w:t xml:space="preserve">Funciona — </w:t>
      </w:r>
      <w:r>
        <w:rPr>
          <w:color w:val="14181B"/>
          <w:sz w:val="21"/>
        </w:rPr>
        <w:t>arquitectura completa, estética alineada con la marca, dos páginas clave (Licencias y Contacto) resueltas.</w:t>
      </w:r>
    </w:p>
    <w:p>
      <w:pPr>
        <w:pStyle w:val="ListBullet"/>
        <w:spacing w:after="40"/>
      </w:pPr>
      <w:r>
        <w:rPr>
          <w:b/>
          <w:color w:val="0E7C86"/>
          <w:sz w:val="21"/>
        </w:rPr>
        <w:t xml:space="preserve">Falta — </w:t>
      </w:r>
      <w:r>
        <w:rPr>
          <w:color w:val="14181B"/>
          <w:sz w:val="21"/>
        </w:rPr>
        <w:t>confirmar datos de contacto reales, plan editorial de Insights, fotos de equipo y logos oficiales de Microsoft/Ewala.</w:t>
      </w:r>
    </w:p>
    <w:p>
      <w:pPr>
        <w:pStyle w:val="ListBullet"/>
        <w:spacing w:after="40"/>
      </w:pPr>
      <w:r>
        <w:rPr>
          <w:b/>
          <w:color w:val="0E7C86"/>
          <w:sz w:val="21"/>
        </w:rPr>
        <w:t xml:space="preserve">Siguiente paso — </w:t>
      </w:r>
      <w:r>
        <w:rPr>
          <w:color w:val="14181B"/>
          <w:sz w:val="21"/>
        </w:rPr>
        <w:t>1) validar copy y estructura; 2) confirmar datos y activos; 3) maquetación responsive a partir de estos mockups; 4) definir CMS para Insights.</w:t>
      </w:r>
    </w:p>
    <w:p>
      <w:pPr>
        <w:spacing w:after="120" w:before="160"/>
      </w:pPr>
      <w:r>
        <w:rPr>
          <w:rFonts w:ascii="Noto Sans" w:hAnsi="Noto Sans" w:cs="Noto Sans"/>
          <w:b w:val="0"/>
          <w:i/>
          <w:color w:val="545E66"/>
          <w:sz w:val="18"/>
        </w:rPr>
        <w:t>Documento generado como apoyo interno de marketing de ISN Labs. Cifras y datos de contacto mostrados son marcadores de posición salvo indicación contraria.</w:t>
      </w:r>
    </w:p>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Noto Sans" w:hAnsi="Noto Sans"/>
      <w:color w:val="14181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ntTable" Target="fontTable.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image" Target="media/image3.png"/><Relationship Id="rId24" Type="http://schemas.openxmlformats.org/officeDocument/2006/relationships/customXml" Target="../customXml/item4.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customXml" Target="../customXml/item3.xml"/><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4B17372B96D196408A3ED6882F601B0B" ma:contentTypeVersion="10" ma:contentTypeDescription="Crear nuevo documento." ma:contentTypeScope="" ma:versionID="4566ad20f0a8afbf6cf0626bfeab9acb">
  <xsd:schema xmlns:xsd="http://www.w3.org/2001/XMLSchema" xmlns:xs="http://www.w3.org/2001/XMLSchema" xmlns:p="http://schemas.microsoft.com/office/2006/metadata/properties" xmlns:ns2="12430677-d01f-43e4-a494-4af6f726fde1" xmlns:ns3="e3ea70ae-122d-4b27-8f2e-b693e119de87" targetNamespace="http://schemas.microsoft.com/office/2006/metadata/properties" ma:root="true" ma:fieldsID="a9d648090c6609ca34381bc6c2048a85" ns2:_="" ns3:_="">
    <xsd:import namespace="12430677-d01f-43e4-a494-4af6f726fde1"/>
    <xsd:import namespace="e3ea70ae-122d-4b27-8f2e-b693e119de8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430677-d01f-43e4-a494-4af6f726fd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564dc7c-3150-4c5c-8fb5-35981d3eff5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ea70ae-122d-4b27-8f2e-b693e119de8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61487a7-bed2-4e0f-8411-2ee83dcb0bdf}" ma:internalName="TaxCatchAll" ma:showField="CatchAllData" ma:web="e3ea70ae-122d-4b27-8f2e-b693e119de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2430677-d01f-43e4-a494-4af6f726fde1">
      <Terms xmlns="http://schemas.microsoft.com/office/infopath/2007/PartnerControls"/>
    </lcf76f155ced4ddcb4097134ff3c332f>
    <TaxCatchAll xmlns="e3ea70ae-122d-4b27-8f2e-b693e119de87"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8A2E7B7-A19C-4180-986C-B65223C9291E}"/>
</file>

<file path=customXml/itemProps3.xml><?xml version="1.0" encoding="utf-8"?>
<ds:datastoreItem xmlns:ds="http://schemas.openxmlformats.org/officeDocument/2006/customXml" ds:itemID="{76C42F30-7FFD-48D3-AF6F-A047C8FB5935}"/>
</file>

<file path=customXml/itemProps4.xml><?xml version="1.0" encoding="utf-8"?>
<ds:datastoreItem xmlns:ds="http://schemas.openxmlformats.org/officeDocument/2006/customXml" ds:itemID="{4ECFAAED-A624-47AB-969C-9E5234CB815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0x0101004B17372B96D196408A3ED6882F601B0B</vt:lpwstr>
  </property>
</Properties>
</file>