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6870D" w14:textId="77777777" w:rsidR="000A42FA" w:rsidRPr="000A42FA" w:rsidRDefault="000A42FA" w:rsidP="000A42FA">
      <w:pPr>
        <w:rPr>
          <w:rFonts w:ascii="Verdana" w:hAnsi="Verdana"/>
          <w:b/>
          <w:bCs/>
          <w:color w:val="003152"/>
          <w:sz w:val="20"/>
          <w:szCs w:val="20"/>
        </w:rPr>
      </w:pPr>
      <w:r w:rsidRPr="000A42FA">
        <w:rPr>
          <w:rFonts w:ascii="Verdana" w:hAnsi="Verdana"/>
          <w:b/>
          <w:bCs/>
          <w:color w:val="003152"/>
          <w:sz w:val="20"/>
          <w:szCs w:val="20"/>
        </w:rPr>
        <w:t>Technical Guide: Medication Burden Index (MBI) for Clinical Triage</w:t>
      </w:r>
    </w:p>
    <w:p w14:paraId="6E580232" w14:textId="77777777" w:rsidR="000A42FA" w:rsidRPr="000A42FA" w:rsidRDefault="000A42FA" w:rsidP="000A42FA">
      <w:pPr>
        <w:rPr>
          <w:rFonts w:ascii="Verdana" w:hAnsi="Verdana"/>
          <w:b/>
          <w:bCs/>
          <w:color w:val="004F2D"/>
          <w:sz w:val="20"/>
          <w:szCs w:val="20"/>
        </w:rPr>
      </w:pPr>
      <w:r w:rsidRPr="000A42FA">
        <w:rPr>
          <w:rFonts w:ascii="Verdana" w:hAnsi="Verdana"/>
          <w:b/>
          <w:bCs/>
          <w:color w:val="004F2D"/>
          <w:sz w:val="20"/>
          <w:szCs w:val="20"/>
        </w:rPr>
        <w:t>1. The Core Philosophy</w:t>
      </w:r>
    </w:p>
    <w:p w14:paraId="41591766" w14:textId="77777777" w:rsidR="000A42FA" w:rsidRPr="000A42FA" w:rsidRDefault="000A42FA" w:rsidP="000A42FA">
      <w:pPr>
        <w:rPr>
          <w:rFonts w:ascii="Verdana" w:hAnsi="Verdana"/>
          <w:sz w:val="20"/>
          <w:szCs w:val="20"/>
        </w:rPr>
      </w:pPr>
      <w:r w:rsidRPr="000A42FA">
        <w:rPr>
          <w:rFonts w:ascii="Verdana" w:hAnsi="Verdana"/>
          <w:sz w:val="20"/>
          <w:szCs w:val="20"/>
        </w:rPr>
        <w:t xml:space="preserve">The MBI is a weighted clinical metric that quantifies </w:t>
      </w:r>
      <w:r w:rsidRPr="000A42FA">
        <w:rPr>
          <w:rFonts w:ascii="Verdana" w:hAnsi="Verdana"/>
          <w:b/>
          <w:bCs/>
          <w:sz w:val="20"/>
          <w:szCs w:val="20"/>
        </w:rPr>
        <w:t>pharmacological intensity</w:t>
      </w:r>
      <w:r w:rsidRPr="000A42FA">
        <w:rPr>
          <w:rFonts w:ascii="Verdana" w:hAnsi="Verdana"/>
          <w:sz w:val="20"/>
          <w:szCs w:val="20"/>
        </w:rPr>
        <w:t>. It transforms a fragmented medication list into a single, actionable number that reflects hemodynamic distress and predicts critical valvular pathology.</w:t>
      </w:r>
    </w:p>
    <w:p w14:paraId="11E378CD" w14:textId="77777777" w:rsidR="000A42FA" w:rsidRPr="000A42FA" w:rsidRDefault="000A42FA" w:rsidP="000A42FA">
      <w:pPr>
        <w:rPr>
          <w:rFonts w:ascii="Verdana" w:hAnsi="Verdana"/>
          <w:b/>
          <w:bCs/>
          <w:color w:val="004F2D"/>
          <w:sz w:val="20"/>
          <w:szCs w:val="20"/>
        </w:rPr>
      </w:pPr>
      <w:r w:rsidRPr="000A42FA">
        <w:rPr>
          <w:rFonts w:ascii="Verdana" w:hAnsi="Verdana"/>
          <w:b/>
          <w:bCs/>
          <w:color w:val="004F2D"/>
          <w:sz w:val="20"/>
          <w:szCs w:val="20"/>
        </w:rPr>
        <w:t>2. Clinical Weights by Medication Class</w:t>
      </w:r>
    </w:p>
    <w:p w14:paraId="5E9E14A8" w14:textId="77777777" w:rsidR="000A42FA" w:rsidRDefault="000A42FA" w:rsidP="000A42FA">
      <w:pPr>
        <w:rPr>
          <w:rFonts w:ascii="Verdana" w:hAnsi="Verdana"/>
          <w:sz w:val="20"/>
          <w:szCs w:val="20"/>
        </w:rPr>
      </w:pPr>
      <w:r w:rsidRPr="000A42FA">
        <w:rPr>
          <w:rFonts w:ascii="Verdana" w:hAnsi="Verdana"/>
          <w:sz w:val="20"/>
          <w:szCs w:val="20"/>
        </w:rPr>
        <w:t>Each class is assigned a weight based on the severity of the condition it treats.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620"/>
        <w:gridCol w:w="2880"/>
        <w:gridCol w:w="3438"/>
      </w:tblGrid>
      <w:tr w:rsidR="00EF3814" w:rsidRPr="000A42FA" w14:paraId="33A4C912" w14:textId="77777777" w:rsidTr="00EF3814">
        <w:trPr>
          <w:tblHeader/>
          <w:tblCellSpacing w:w="15" w:type="dxa"/>
        </w:trPr>
        <w:tc>
          <w:tcPr>
            <w:tcW w:w="855" w:type="dxa"/>
            <w:vAlign w:val="center"/>
            <w:hideMark/>
          </w:tcPr>
          <w:p w14:paraId="7BAACEF7" w14:textId="77777777" w:rsidR="000A42FA" w:rsidRPr="000A42FA" w:rsidRDefault="000A42FA" w:rsidP="00EF3814">
            <w:pPr>
              <w:spacing w:after="0"/>
              <w:rPr>
                <w:rFonts w:ascii="Calibri" w:hAnsi="Calibri" w:cs="Calibri"/>
                <w:b/>
                <w:bCs/>
                <w:color w:val="003152"/>
                <w:sz w:val="22"/>
                <w:szCs w:val="22"/>
              </w:rPr>
            </w:pPr>
            <w:r w:rsidRPr="000A42FA">
              <w:rPr>
                <w:rFonts w:ascii="Calibri" w:hAnsi="Calibri" w:cs="Calibri"/>
                <w:b/>
                <w:bCs/>
                <w:color w:val="003152"/>
                <w:sz w:val="22"/>
                <w:szCs w:val="22"/>
              </w:rPr>
              <w:t>Weight</w:t>
            </w:r>
          </w:p>
        </w:tc>
        <w:tc>
          <w:tcPr>
            <w:tcW w:w="1590" w:type="dxa"/>
            <w:vAlign w:val="center"/>
            <w:hideMark/>
          </w:tcPr>
          <w:p w14:paraId="62D2DFDA" w14:textId="77777777" w:rsidR="000A42FA" w:rsidRPr="000A42FA" w:rsidRDefault="000A42FA" w:rsidP="00EF3814">
            <w:pPr>
              <w:spacing w:after="0"/>
              <w:rPr>
                <w:rFonts w:ascii="Calibri" w:hAnsi="Calibri" w:cs="Calibri"/>
                <w:b/>
                <w:bCs/>
                <w:color w:val="003152"/>
                <w:sz w:val="22"/>
                <w:szCs w:val="22"/>
              </w:rPr>
            </w:pPr>
            <w:r w:rsidRPr="000A42FA">
              <w:rPr>
                <w:rFonts w:ascii="Calibri" w:hAnsi="Calibri" w:cs="Calibri"/>
                <w:b/>
                <w:bCs/>
                <w:color w:val="003152"/>
                <w:sz w:val="22"/>
                <w:szCs w:val="22"/>
              </w:rPr>
              <w:t>Clinical Priority</w:t>
            </w:r>
          </w:p>
        </w:tc>
        <w:tc>
          <w:tcPr>
            <w:tcW w:w="2850" w:type="dxa"/>
            <w:vAlign w:val="center"/>
            <w:hideMark/>
          </w:tcPr>
          <w:p w14:paraId="4EE28D6E" w14:textId="77777777" w:rsidR="000A42FA" w:rsidRPr="000A42FA" w:rsidRDefault="000A42FA" w:rsidP="00EF3814">
            <w:pPr>
              <w:spacing w:after="0"/>
              <w:rPr>
                <w:rFonts w:ascii="Calibri" w:hAnsi="Calibri" w:cs="Calibri"/>
                <w:b/>
                <w:bCs/>
                <w:color w:val="003152"/>
                <w:sz w:val="22"/>
                <w:szCs w:val="22"/>
              </w:rPr>
            </w:pPr>
            <w:r w:rsidRPr="000A42FA">
              <w:rPr>
                <w:rFonts w:ascii="Calibri" w:hAnsi="Calibri" w:cs="Calibri"/>
                <w:b/>
                <w:bCs/>
                <w:color w:val="003152"/>
                <w:sz w:val="22"/>
                <w:szCs w:val="22"/>
              </w:rPr>
              <w:t>Medication Classes</w:t>
            </w:r>
          </w:p>
        </w:tc>
        <w:tc>
          <w:tcPr>
            <w:tcW w:w="3393" w:type="dxa"/>
            <w:vAlign w:val="center"/>
            <w:hideMark/>
          </w:tcPr>
          <w:p w14:paraId="645889A1" w14:textId="77777777" w:rsidR="000A42FA" w:rsidRPr="000A42FA" w:rsidRDefault="000A42FA" w:rsidP="00EF3814">
            <w:pPr>
              <w:spacing w:after="0"/>
              <w:rPr>
                <w:rFonts w:ascii="Calibri" w:hAnsi="Calibri" w:cs="Calibri"/>
                <w:b/>
                <w:bCs/>
                <w:color w:val="003152"/>
                <w:sz w:val="22"/>
                <w:szCs w:val="22"/>
              </w:rPr>
            </w:pPr>
            <w:r w:rsidRPr="000A42FA">
              <w:rPr>
                <w:rFonts w:ascii="Calibri" w:hAnsi="Calibri" w:cs="Calibri"/>
                <w:b/>
                <w:bCs/>
                <w:color w:val="003152"/>
                <w:sz w:val="22"/>
                <w:szCs w:val="22"/>
              </w:rPr>
              <w:t>Clinical Significance</w:t>
            </w:r>
          </w:p>
        </w:tc>
      </w:tr>
      <w:tr w:rsidR="00EF3814" w:rsidRPr="000A42FA" w14:paraId="4C68BF9B" w14:textId="77777777" w:rsidTr="00EF3814">
        <w:trPr>
          <w:tblHeader/>
          <w:tblCellSpacing w:w="15" w:type="dxa"/>
        </w:trPr>
        <w:tc>
          <w:tcPr>
            <w:tcW w:w="855" w:type="dxa"/>
            <w:tcBorders>
              <w:top w:val="nil"/>
              <w:bottom w:val="nil"/>
            </w:tcBorders>
            <w:vAlign w:val="center"/>
            <w:hideMark/>
          </w:tcPr>
          <w:p w14:paraId="53C27A60" w14:textId="77777777" w:rsidR="000A42FA" w:rsidRPr="000A42FA" w:rsidRDefault="000A42FA" w:rsidP="00EF3814">
            <w:pPr>
              <w:spacing w:after="0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0A42F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3.0</w:t>
            </w:r>
          </w:p>
        </w:tc>
        <w:tc>
          <w:tcPr>
            <w:tcW w:w="1590" w:type="dxa"/>
            <w:tcBorders>
              <w:top w:val="nil"/>
              <w:bottom w:val="nil"/>
            </w:tcBorders>
            <w:vAlign w:val="center"/>
            <w:hideMark/>
          </w:tcPr>
          <w:p w14:paraId="66DD8F9C" w14:textId="77777777" w:rsidR="000A42FA" w:rsidRPr="000A42FA" w:rsidRDefault="000A42FA" w:rsidP="00EF3814">
            <w:pPr>
              <w:spacing w:after="0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0A42F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Critical</w:t>
            </w:r>
          </w:p>
        </w:tc>
        <w:tc>
          <w:tcPr>
            <w:tcW w:w="2850" w:type="dxa"/>
            <w:tcBorders>
              <w:top w:val="nil"/>
              <w:bottom w:val="nil"/>
            </w:tcBorders>
            <w:vAlign w:val="center"/>
            <w:hideMark/>
          </w:tcPr>
          <w:p w14:paraId="5CDB5299" w14:textId="77777777" w:rsidR="000A42FA" w:rsidRPr="000A42FA" w:rsidRDefault="000A42FA" w:rsidP="00EF3814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0A42FA">
              <w:rPr>
                <w:rFonts w:ascii="Calibri" w:hAnsi="Calibri" w:cs="Calibri"/>
                <w:sz w:val="22"/>
                <w:szCs w:val="22"/>
              </w:rPr>
              <w:t>Diuretics (Loop), Pulmonary Vasodilators</w:t>
            </w:r>
          </w:p>
        </w:tc>
        <w:tc>
          <w:tcPr>
            <w:tcW w:w="3393" w:type="dxa"/>
            <w:tcBorders>
              <w:top w:val="nil"/>
              <w:bottom w:val="nil"/>
            </w:tcBorders>
            <w:vAlign w:val="center"/>
            <w:hideMark/>
          </w:tcPr>
          <w:p w14:paraId="64FCAC3E" w14:textId="77777777" w:rsidR="000A42FA" w:rsidRPr="000A42FA" w:rsidRDefault="000A42FA" w:rsidP="00EF3814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0A42FA">
              <w:rPr>
                <w:rFonts w:ascii="Calibri" w:hAnsi="Calibri" w:cs="Calibri"/>
                <w:sz w:val="22"/>
                <w:szCs w:val="22"/>
              </w:rPr>
              <w:t>Signifies active heart failure or critical pulmonary hypertension.</w:t>
            </w:r>
          </w:p>
        </w:tc>
      </w:tr>
      <w:tr w:rsidR="00EF3814" w:rsidRPr="000A42FA" w14:paraId="7AC5B316" w14:textId="77777777" w:rsidTr="00EF3814">
        <w:trPr>
          <w:tblHeader/>
          <w:tblCellSpacing w:w="15" w:type="dxa"/>
        </w:trPr>
        <w:tc>
          <w:tcPr>
            <w:tcW w:w="855" w:type="dxa"/>
            <w:vAlign w:val="center"/>
            <w:hideMark/>
          </w:tcPr>
          <w:p w14:paraId="698B8B87" w14:textId="77777777" w:rsidR="000A42FA" w:rsidRPr="000A42FA" w:rsidRDefault="000A42FA" w:rsidP="00EF3814">
            <w:pPr>
              <w:spacing w:after="0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0A42F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2.0</w:t>
            </w:r>
          </w:p>
        </w:tc>
        <w:tc>
          <w:tcPr>
            <w:tcW w:w="1590" w:type="dxa"/>
            <w:vAlign w:val="center"/>
            <w:hideMark/>
          </w:tcPr>
          <w:p w14:paraId="29749B4D" w14:textId="77777777" w:rsidR="000A42FA" w:rsidRPr="000A42FA" w:rsidRDefault="000A42FA" w:rsidP="00EF3814">
            <w:pPr>
              <w:spacing w:after="0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0A42F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High</w:t>
            </w:r>
          </w:p>
        </w:tc>
        <w:tc>
          <w:tcPr>
            <w:tcW w:w="2850" w:type="dxa"/>
            <w:vAlign w:val="center"/>
            <w:hideMark/>
          </w:tcPr>
          <w:p w14:paraId="7976A9F8" w14:textId="58604AC9" w:rsidR="000A42FA" w:rsidRPr="000A42FA" w:rsidRDefault="000A42FA" w:rsidP="00EF3814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0A42FA">
              <w:rPr>
                <w:rFonts w:ascii="Calibri" w:hAnsi="Calibri" w:cs="Calibri"/>
                <w:sz w:val="22"/>
                <w:szCs w:val="22"/>
              </w:rPr>
              <w:t xml:space="preserve">RAAS Inhibitors, SGLT2 </w:t>
            </w:r>
            <w:r w:rsidR="00D67AD4">
              <w:rPr>
                <w:rFonts w:ascii="Calibri" w:hAnsi="Calibri" w:cs="Calibri"/>
                <w:sz w:val="22"/>
                <w:szCs w:val="22"/>
              </w:rPr>
              <w:t>}</w:t>
            </w:r>
            <w:r w:rsidRPr="000A42FA">
              <w:rPr>
                <w:rFonts w:ascii="Calibri" w:hAnsi="Calibri" w:cs="Calibri"/>
                <w:sz w:val="22"/>
                <w:szCs w:val="22"/>
              </w:rPr>
              <w:t>Inhibitors, Beta-Blockers</w:t>
            </w:r>
          </w:p>
        </w:tc>
        <w:tc>
          <w:tcPr>
            <w:tcW w:w="3393" w:type="dxa"/>
            <w:vAlign w:val="center"/>
            <w:hideMark/>
          </w:tcPr>
          <w:p w14:paraId="5863767E" w14:textId="77777777" w:rsidR="000A42FA" w:rsidRPr="000A42FA" w:rsidRDefault="000A42FA" w:rsidP="00EF3814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0A42FA">
              <w:rPr>
                <w:rFonts w:ascii="Calibri" w:hAnsi="Calibri" w:cs="Calibri"/>
                <w:sz w:val="22"/>
                <w:szCs w:val="22"/>
              </w:rPr>
              <w:t>Indicates chronic heart failure management or significant remodeling.</w:t>
            </w:r>
          </w:p>
        </w:tc>
      </w:tr>
      <w:tr w:rsidR="00EF3814" w:rsidRPr="000A42FA" w14:paraId="1739F407" w14:textId="77777777" w:rsidTr="00EF3814">
        <w:trPr>
          <w:tblHeader/>
          <w:tblCellSpacing w:w="15" w:type="dxa"/>
        </w:trPr>
        <w:tc>
          <w:tcPr>
            <w:tcW w:w="855" w:type="dxa"/>
            <w:tcBorders>
              <w:top w:val="nil"/>
              <w:bottom w:val="nil"/>
            </w:tcBorders>
            <w:vAlign w:val="center"/>
            <w:hideMark/>
          </w:tcPr>
          <w:p w14:paraId="0D7441BD" w14:textId="77777777" w:rsidR="000A42FA" w:rsidRPr="000A42FA" w:rsidRDefault="000A42FA" w:rsidP="00EF3814">
            <w:pPr>
              <w:spacing w:after="0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0A42F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1590" w:type="dxa"/>
            <w:tcBorders>
              <w:top w:val="nil"/>
              <w:bottom w:val="nil"/>
            </w:tcBorders>
            <w:vAlign w:val="center"/>
            <w:hideMark/>
          </w:tcPr>
          <w:p w14:paraId="400AB51E" w14:textId="77777777" w:rsidR="000A42FA" w:rsidRPr="000A42FA" w:rsidRDefault="000A42FA" w:rsidP="00EF3814">
            <w:pPr>
              <w:spacing w:after="0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0A42F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Moderate</w:t>
            </w:r>
          </w:p>
        </w:tc>
        <w:tc>
          <w:tcPr>
            <w:tcW w:w="2850" w:type="dxa"/>
            <w:tcBorders>
              <w:top w:val="nil"/>
              <w:bottom w:val="nil"/>
            </w:tcBorders>
            <w:vAlign w:val="center"/>
            <w:hideMark/>
          </w:tcPr>
          <w:p w14:paraId="75D32858" w14:textId="77777777" w:rsidR="000A42FA" w:rsidRPr="000A42FA" w:rsidRDefault="000A42FA" w:rsidP="00EF3814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0A42FA">
              <w:rPr>
                <w:rFonts w:ascii="Calibri" w:hAnsi="Calibri" w:cs="Calibri"/>
                <w:sz w:val="22"/>
                <w:szCs w:val="22"/>
              </w:rPr>
              <w:t>Anticoagulants, Calcium Channel Blockers, Rate Control</w:t>
            </w:r>
          </w:p>
        </w:tc>
        <w:tc>
          <w:tcPr>
            <w:tcW w:w="3393" w:type="dxa"/>
            <w:tcBorders>
              <w:top w:val="nil"/>
              <w:bottom w:val="nil"/>
            </w:tcBorders>
            <w:vAlign w:val="center"/>
            <w:hideMark/>
          </w:tcPr>
          <w:p w14:paraId="40BFC01D" w14:textId="77777777" w:rsidR="000A42FA" w:rsidRPr="000A42FA" w:rsidRDefault="000A42FA" w:rsidP="00EF3814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0A42FA">
              <w:rPr>
                <w:rFonts w:ascii="Calibri" w:hAnsi="Calibri" w:cs="Calibri"/>
                <w:sz w:val="22"/>
                <w:szCs w:val="22"/>
              </w:rPr>
              <w:t>Addresses secondary risks like AFib or hypertension.</w:t>
            </w:r>
          </w:p>
        </w:tc>
      </w:tr>
      <w:tr w:rsidR="00EF3814" w:rsidRPr="000A42FA" w14:paraId="420997D2" w14:textId="77777777" w:rsidTr="00EF3814">
        <w:trPr>
          <w:tblHeader/>
          <w:tblCellSpacing w:w="15" w:type="dxa"/>
        </w:trPr>
        <w:tc>
          <w:tcPr>
            <w:tcW w:w="855" w:type="dxa"/>
            <w:vAlign w:val="center"/>
            <w:hideMark/>
          </w:tcPr>
          <w:p w14:paraId="25535BB4" w14:textId="77777777" w:rsidR="000A42FA" w:rsidRPr="000A42FA" w:rsidRDefault="000A42FA" w:rsidP="00EF3814">
            <w:pPr>
              <w:spacing w:after="0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0A42F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0.5</w:t>
            </w:r>
          </w:p>
        </w:tc>
        <w:tc>
          <w:tcPr>
            <w:tcW w:w="1590" w:type="dxa"/>
            <w:vAlign w:val="center"/>
            <w:hideMark/>
          </w:tcPr>
          <w:p w14:paraId="09F1D3D9" w14:textId="77777777" w:rsidR="000A42FA" w:rsidRPr="000A42FA" w:rsidRDefault="000A42FA" w:rsidP="00EF3814">
            <w:pPr>
              <w:spacing w:after="0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0A42F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Maintenance</w:t>
            </w:r>
          </w:p>
        </w:tc>
        <w:tc>
          <w:tcPr>
            <w:tcW w:w="2850" w:type="dxa"/>
            <w:vAlign w:val="center"/>
            <w:hideMark/>
          </w:tcPr>
          <w:p w14:paraId="1D58DBF0" w14:textId="77777777" w:rsidR="000A42FA" w:rsidRPr="000A42FA" w:rsidRDefault="000A42FA" w:rsidP="00EF3814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0A42FA">
              <w:rPr>
                <w:rFonts w:ascii="Calibri" w:hAnsi="Calibri" w:cs="Calibri"/>
                <w:sz w:val="22"/>
                <w:szCs w:val="22"/>
              </w:rPr>
              <w:t>Lipid-Lowering, Metabolic/Endocrine</w:t>
            </w:r>
          </w:p>
        </w:tc>
        <w:tc>
          <w:tcPr>
            <w:tcW w:w="3393" w:type="dxa"/>
            <w:vAlign w:val="center"/>
            <w:hideMark/>
          </w:tcPr>
          <w:p w14:paraId="74FA5130" w14:textId="77777777" w:rsidR="000A42FA" w:rsidRPr="000A42FA" w:rsidRDefault="000A42FA" w:rsidP="00EF3814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0A42FA">
              <w:rPr>
                <w:rFonts w:ascii="Calibri" w:hAnsi="Calibri" w:cs="Calibri"/>
                <w:sz w:val="22"/>
                <w:szCs w:val="22"/>
              </w:rPr>
              <w:t>General metabolic health; lower immediate surgical risk impact.</w:t>
            </w:r>
          </w:p>
        </w:tc>
      </w:tr>
    </w:tbl>
    <w:p w14:paraId="34B30FF2" w14:textId="64F586D6" w:rsidR="000A42FA" w:rsidRPr="000A42FA" w:rsidRDefault="000A42FA" w:rsidP="00EF3814">
      <w:pPr>
        <w:spacing w:before="120"/>
        <w:rPr>
          <w:rFonts w:ascii="Verdana" w:hAnsi="Verdana"/>
          <w:b/>
          <w:bCs/>
          <w:color w:val="004F2D"/>
          <w:sz w:val="20"/>
          <w:szCs w:val="20"/>
        </w:rPr>
      </w:pPr>
      <w:r w:rsidRPr="000A42FA">
        <w:rPr>
          <w:rFonts w:ascii="Verdana" w:hAnsi="Verdana"/>
          <w:b/>
          <w:bCs/>
          <w:color w:val="004F2D"/>
          <w:sz w:val="20"/>
          <w:szCs w:val="20"/>
        </w:rPr>
        <w:t>3. Understanding Total Daily Dose (TDD)</w:t>
      </w:r>
    </w:p>
    <w:p w14:paraId="547793F9" w14:textId="77777777" w:rsidR="000A42FA" w:rsidRPr="000A42FA" w:rsidRDefault="000A42FA" w:rsidP="000A42FA">
      <w:pPr>
        <w:rPr>
          <w:rFonts w:ascii="Verdana" w:hAnsi="Verdana"/>
          <w:sz w:val="20"/>
          <w:szCs w:val="20"/>
        </w:rPr>
      </w:pPr>
      <w:r w:rsidRPr="000A42FA">
        <w:rPr>
          <w:rFonts w:ascii="Verdana" w:hAnsi="Verdana"/>
          <w:sz w:val="20"/>
          <w:szCs w:val="20"/>
        </w:rPr>
        <w:t xml:space="preserve">To calculate the MBI accurately, we use the </w:t>
      </w:r>
      <w:r w:rsidRPr="000A42FA">
        <w:rPr>
          <w:rFonts w:ascii="Verdana" w:hAnsi="Verdana"/>
          <w:b/>
          <w:bCs/>
          <w:sz w:val="20"/>
          <w:szCs w:val="20"/>
        </w:rPr>
        <w:t>Total Daily Dose (TDD)</w:t>
      </w:r>
      <w:r w:rsidRPr="000A42FA">
        <w:rPr>
          <w:rFonts w:ascii="Verdana" w:hAnsi="Verdana"/>
          <w:sz w:val="20"/>
          <w:szCs w:val="20"/>
        </w:rPr>
        <w:t>. This is the sum of all milligrams of a specific drug taken in a 24-hour period.</w:t>
      </w:r>
    </w:p>
    <w:p w14:paraId="0A74A83A" w14:textId="77777777" w:rsidR="000A42FA" w:rsidRPr="000A42FA" w:rsidRDefault="000A42FA" w:rsidP="000A42FA">
      <w:pPr>
        <w:rPr>
          <w:rFonts w:ascii="Verdana" w:hAnsi="Verdana"/>
          <w:sz w:val="20"/>
          <w:szCs w:val="20"/>
        </w:rPr>
      </w:pPr>
      <w:r w:rsidRPr="000A42FA">
        <w:rPr>
          <w:rFonts w:ascii="Verdana" w:hAnsi="Verdana"/>
          <w:sz w:val="20"/>
          <w:szCs w:val="20"/>
        </w:rPr>
        <w:t>The Formula:</w:t>
      </w:r>
    </w:p>
    <w:p w14:paraId="38F60498" w14:textId="77777777" w:rsidR="000A42FA" w:rsidRPr="000A42FA" w:rsidRDefault="000A42FA" w:rsidP="000A42FA">
      <w:pPr>
        <w:ind w:left="720"/>
        <w:rPr>
          <w:rFonts w:ascii="Verdana" w:eastAsiaTheme="minorEastAsia" w:hAnsi="Verdan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 xml:space="preserve">MBI=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Class Weight×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Total Daily Dose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Maximum Clinical Dose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</m:e>
          </m:nary>
        </m:oMath>
      </m:oMathPara>
    </w:p>
    <w:p w14:paraId="4E7E5017" w14:textId="1080D19C" w:rsidR="000A42FA" w:rsidRPr="000A42FA" w:rsidRDefault="000A42FA" w:rsidP="000A42FA">
      <w:pPr>
        <w:numPr>
          <w:ilvl w:val="0"/>
          <w:numId w:val="2"/>
        </w:numPr>
        <w:rPr>
          <w:rFonts w:ascii="Verdana" w:eastAsiaTheme="minorEastAsia" w:hAnsi="Verdana"/>
          <w:sz w:val="20"/>
          <w:szCs w:val="20"/>
        </w:rPr>
      </w:pPr>
      <w:r w:rsidRPr="000A42FA">
        <w:rPr>
          <w:rFonts w:ascii="Verdana" w:hAnsi="Verdana"/>
          <w:b/>
          <w:bCs/>
          <w:sz w:val="20"/>
          <w:szCs w:val="20"/>
        </w:rPr>
        <w:t>Why TDD?</w:t>
      </w:r>
      <w:r w:rsidRPr="000A42FA">
        <w:rPr>
          <w:rFonts w:ascii="Verdana" w:hAnsi="Verdana"/>
          <w:sz w:val="20"/>
          <w:szCs w:val="20"/>
        </w:rPr>
        <w:t xml:space="preserve"> A patient taking Furosemide 40mg twice daily has a </w:t>
      </w:r>
      <w:r w:rsidRPr="000A42FA">
        <w:rPr>
          <w:rFonts w:ascii="Verdana" w:hAnsi="Verdana"/>
          <w:b/>
          <w:bCs/>
          <w:sz w:val="20"/>
          <w:szCs w:val="20"/>
        </w:rPr>
        <w:t>TDD of 80mg</w:t>
      </w:r>
      <w:r w:rsidRPr="000A42FA">
        <w:rPr>
          <w:rFonts w:ascii="Verdana" w:hAnsi="Verdana"/>
          <w:sz w:val="20"/>
          <w:szCs w:val="20"/>
        </w:rPr>
        <w:t>. Using only the "single dose" would underestimate their clinical burden by 50%.</w:t>
      </w:r>
    </w:p>
    <w:p w14:paraId="7F101533" w14:textId="48A0EC52" w:rsidR="000A42FA" w:rsidRPr="000A42FA" w:rsidRDefault="000A42FA" w:rsidP="000A42FA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0A42FA">
        <w:rPr>
          <w:rFonts w:ascii="Verdana" w:hAnsi="Verdana"/>
          <w:b/>
          <w:bCs/>
          <w:sz w:val="20"/>
          <w:szCs w:val="20"/>
        </w:rPr>
        <w:t>Normalization:</w:t>
      </w:r>
      <w:r w:rsidRPr="000A42FA">
        <w:rPr>
          <w:rFonts w:ascii="Verdana" w:hAnsi="Verdana"/>
          <w:sz w:val="20"/>
          <w:szCs w:val="20"/>
        </w:rPr>
        <w:t xml:space="preserve"> The ratio (TDD / Max Dose) is capped at 1.0 to ensure that supratherapeutic doses do not skew the model disproportionately, while still flagging patients at "Maximal Medical Therapy."</w:t>
      </w:r>
    </w:p>
    <w:p w14:paraId="6BB5F0A8" w14:textId="77777777" w:rsidR="000A42FA" w:rsidRPr="000A42FA" w:rsidRDefault="000A42FA" w:rsidP="000A42FA">
      <w:pPr>
        <w:rPr>
          <w:rFonts w:ascii="Verdana" w:hAnsi="Verdana"/>
          <w:b/>
          <w:bCs/>
          <w:color w:val="004F2D"/>
          <w:sz w:val="20"/>
          <w:szCs w:val="20"/>
        </w:rPr>
      </w:pPr>
      <w:r w:rsidRPr="000A42FA">
        <w:rPr>
          <w:rFonts w:ascii="Verdana" w:hAnsi="Verdana"/>
          <w:b/>
          <w:bCs/>
          <w:color w:val="004F2D"/>
          <w:sz w:val="20"/>
          <w:szCs w:val="20"/>
        </w:rPr>
        <w:t>4. The Logic of the Thresholds</w:t>
      </w:r>
    </w:p>
    <w:p w14:paraId="3DDE41BC" w14:textId="678913C1" w:rsidR="000A42FA" w:rsidRPr="000A42FA" w:rsidRDefault="000A42FA" w:rsidP="000A42FA">
      <w:pPr>
        <w:rPr>
          <w:rFonts w:ascii="Verdana" w:hAnsi="Verdana"/>
          <w:sz w:val="20"/>
          <w:szCs w:val="20"/>
        </w:rPr>
      </w:pPr>
      <w:r w:rsidRPr="000A42FA">
        <w:rPr>
          <w:rFonts w:ascii="Verdana" w:hAnsi="Verdana"/>
          <w:sz w:val="20"/>
          <w:szCs w:val="20"/>
        </w:rPr>
        <w:t xml:space="preserve">Our thresholds are anchored in the statistical reality of the </w:t>
      </w:r>
      <w:r w:rsidR="00EF3814">
        <w:rPr>
          <w:rFonts w:ascii="Verdana" w:hAnsi="Verdana"/>
          <w:sz w:val="20"/>
          <w:szCs w:val="20"/>
        </w:rPr>
        <w:t>brigade</w:t>
      </w:r>
      <w:r w:rsidRPr="000A42FA">
        <w:rPr>
          <w:rFonts w:ascii="Verdana" w:hAnsi="Verdana"/>
          <w:sz w:val="20"/>
          <w:szCs w:val="20"/>
        </w:rPr>
        <w:t xml:space="preserve"> cohort:</w:t>
      </w:r>
    </w:p>
    <w:p w14:paraId="128CA7EF" w14:textId="77777777" w:rsidR="000A42FA" w:rsidRPr="000A42FA" w:rsidRDefault="000A42FA" w:rsidP="000A42FA">
      <w:pPr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0A42FA">
        <w:rPr>
          <w:rFonts w:ascii="Verdana" w:hAnsi="Verdana"/>
          <w:b/>
          <w:bCs/>
          <w:sz w:val="20"/>
          <w:szCs w:val="20"/>
        </w:rPr>
        <w:t>The Baseline (2.27):</w:t>
      </w:r>
      <w:r w:rsidRPr="000A42FA">
        <w:rPr>
          <w:rFonts w:ascii="Verdana" w:hAnsi="Verdana"/>
          <w:sz w:val="20"/>
          <w:szCs w:val="20"/>
        </w:rPr>
        <w:t xml:space="preserve"> This is the "Native Constant." It represents the average pharmacological footprint of a standard patient in this mission.</w:t>
      </w:r>
    </w:p>
    <w:p w14:paraId="39133F1C" w14:textId="77777777" w:rsidR="000A42FA" w:rsidRPr="000A42FA" w:rsidRDefault="000A42FA" w:rsidP="000A42FA">
      <w:pPr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0A42FA">
        <w:rPr>
          <w:rFonts w:ascii="Verdana" w:hAnsi="Verdana"/>
          <w:b/>
          <w:bCs/>
          <w:sz w:val="20"/>
          <w:szCs w:val="20"/>
        </w:rPr>
        <w:t>The Mixed Signal (+2.22):</w:t>
      </w:r>
      <w:r w:rsidRPr="000A42FA">
        <w:rPr>
          <w:rFonts w:ascii="Verdana" w:hAnsi="Verdana"/>
          <w:sz w:val="20"/>
          <w:szCs w:val="20"/>
        </w:rPr>
        <w:t xml:space="preserve"> Patients with </w:t>
      </w:r>
      <w:r w:rsidRPr="000A42FA">
        <w:rPr>
          <w:rFonts w:ascii="Verdana" w:hAnsi="Verdana"/>
          <w:b/>
          <w:bCs/>
          <w:sz w:val="20"/>
          <w:szCs w:val="20"/>
        </w:rPr>
        <w:t>Mixed Mitral Disease</w:t>
      </w:r>
      <w:r w:rsidRPr="000A42FA">
        <w:rPr>
          <w:rFonts w:ascii="Verdana" w:hAnsi="Verdana"/>
          <w:sz w:val="20"/>
          <w:szCs w:val="20"/>
        </w:rPr>
        <w:t xml:space="preserve"> carry an additional weight of 2.22. When added to the baseline, these patients naturally land at an </w:t>
      </w:r>
      <w:r w:rsidRPr="000A42FA">
        <w:rPr>
          <w:rFonts w:ascii="Verdana" w:hAnsi="Verdana"/>
          <w:b/>
          <w:bCs/>
          <w:sz w:val="20"/>
          <w:szCs w:val="20"/>
        </w:rPr>
        <w:t>MBI of ~4.5</w:t>
      </w:r>
      <w:r w:rsidRPr="000A42FA">
        <w:rPr>
          <w:rFonts w:ascii="Verdana" w:hAnsi="Verdana"/>
          <w:sz w:val="20"/>
          <w:szCs w:val="20"/>
        </w:rPr>
        <w:t>, validating our "Complexity Floor."</w:t>
      </w:r>
    </w:p>
    <w:p w14:paraId="3268F35C" w14:textId="77777777" w:rsidR="000A42FA" w:rsidRPr="000A42FA" w:rsidRDefault="000A42FA" w:rsidP="000A42FA">
      <w:pPr>
        <w:rPr>
          <w:rFonts w:ascii="Verdana" w:hAnsi="Verdana"/>
          <w:b/>
          <w:bCs/>
          <w:color w:val="004F2D"/>
          <w:sz w:val="20"/>
          <w:szCs w:val="20"/>
        </w:rPr>
      </w:pPr>
      <w:r w:rsidRPr="000A42FA">
        <w:rPr>
          <w:rFonts w:ascii="Verdana" w:hAnsi="Verdana"/>
          <w:b/>
          <w:bCs/>
          <w:color w:val="004F2D"/>
          <w:sz w:val="20"/>
          <w:szCs w:val="20"/>
        </w:rPr>
        <w:lastRenderedPageBreak/>
        <w:t>5. Triage Reference Table for Intake Staff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1576"/>
        <w:gridCol w:w="6005"/>
      </w:tblGrid>
      <w:tr w:rsidR="000A42FA" w:rsidRPr="000A42FA" w14:paraId="24830140" w14:textId="77777777" w:rsidTr="00EF3814">
        <w:trPr>
          <w:tblHeader/>
          <w:tblCellSpacing w:w="15" w:type="dxa"/>
        </w:trPr>
        <w:tc>
          <w:tcPr>
            <w:tcW w:w="1207" w:type="dxa"/>
            <w:vAlign w:val="center"/>
            <w:hideMark/>
          </w:tcPr>
          <w:p w14:paraId="7F4CD042" w14:textId="77777777" w:rsidR="000A42FA" w:rsidRPr="000A42FA" w:rsidRDefault="000A42FA" w:rsidP="00EF3814">
            <w:pPr>
              <w:spacing w:after="0"/>
              <w:rPr>
                <w:rFonts w:ascii="Calibri" w:hAnsi="Calibri" w:cs="Calibri"/>
                <w:b/>
                <w:bCs/>
                <w:color w:val="003152"/>
                <w:sz w:val="22"/>
                <w:szCs w:val="22"/>
              </w:rPr>
            </w:pPr>
            <w:r w:rsidRPr="000A42FA">
              <w:rPr>
                <w:rFonts w:ascii="Calibri" w:hAnsi="Calibri" w:cs="Calibri"/>
                <w:b/>
                <w:bCs/>
                <w:color w:val="003152"/>
                <w:sz w:val="22"/>
                <w:szCs w:val="22"/>
              </w:rPr>
              <w:t>MBI Range</w:t>
            </w:r>
          </w:p>
        </w:tc>
        <w:tc>
          <w:tcPr>
            <w:tcW w:w="1546" w:type="dxa"/>
            <w:vAlign w:val="center"/>
            <w:hideMark/>
          </w:tcPr>
          <w:p w14:paraId="40DE6AE3" w14:textId="77777777" w:rsidR="000A42FA" w:rsidRPr="000A42FA" w:rsidRDefault="000A42FA" w:rsidP="00EF3814">
            <w:pPr>
              <w:spacing w:after="0"/>
              <w:rPr>
                <w:rFonts w:ascii="Calibri" w:hAnsi="Calibri" w:cs="Calibri"/>
                <w:b/>
                <w:bCs/>
                <w:color w:val="003152"/>
                <w:sz w:val="22"/>
                <w:szCs w:val="22"/>
              </w:rPr>
            </w:pPr>
            <w:r w:rsidRPr="000A42FA">
              <w:rPr>
                <w:rFonts w:ascii="Calibri" w:hAnsi="Calibri" w:cs="Calibri"/>
                <w:b/>
                <w:bCs/>
                <w:color w:val="003152"/>
                <w:sz w:val="22"/>
                <w:szCs w:val="22"/>
              </w:rPr>
              <w:t>Triage Zone</w:t>
            </w:r>
          </w:p>
        </w:tc>
        <w:tc>
          <w:tcPr>
            <w:tcW w:w="0" w:type="auto"/>
            <w:vAlign w:val="center"/>
            <w:hideMark/>
          </w:tcPr>
          <w:p w14:paraId="2FB76A7F" w14:textId="77777777" w:rsidR="000A42FA" w:rsidRPr="000A42FA" w:rsidRDefault="000A42FA" w:rsidP="00EF3814">
            <w:pPr>
              <w:spacing w:after="0"/>
              <w:rPr>
                <w:rFonts w:ascii="Calibri" w:hAnsi="Calibri" w:cs="Calibri"/>
                <w:b/>
                <w:bCs/>
                <w:color w:val="003152"/>
                <w:sz w:val="22"/>
                <w:szCs w:val="22"/>
              </w:rPr>
            </w:pPr>
            <w:r w:rsidRPr="000A42FA">
              <w:rPr>
                <w:rFonts w:ascii="Calibri" w:hAnsi="Calibri" w:cs="Calibri"/>
                <w:b/>
                <w:bCs/>
                <w:color w:val="003152"/>
                <w:sz w:val="22"/>
                <w:szCs w:val="22"/>
              </w:rPr>
              <w:t>Clinical Interpretation</w:t>
            </w:r>
          </w:p>
        </w:tc>
      </w:tr>
      <w:tr w:rsidR="000A42FA" w:rsidRPr="000A42FA" w14:paraId="6007036B" w14:textId="77777777" w:rsidTr="00EF3814">
        <w:trPr>
          <w:tblCellSpacing w:w="15" w:type="dxa"/>
        </w:trPr>
        <w:tc>
          <w:tcPr>
            <w:tcW w:w="1207" w:type="dxa"/>
            <w:tcBorders>
              <w:top w:val="nil"/>
              <w:bottom w:val="nil"/>
            </w:tcBorders>
            <w:vAlign w:val="center"/>
            <w:hideMark/>
          </w:tcPr>
          <w:p w14:paraId="50D3A8B3" w14:textId="77777777" w:rsidR="000A42FA" w:rsidRPr="000A42FA" w:rsidRDefault="000A42FA" w:rsidP="00EF3814">
            <w:pPr>
              <w:spacing w:after="0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0A42F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&lt; 2.27</w:t>
            </w:r>
          </w:p>
        </w:tc>
        <w:tc>
          <w:tcPr>
            <w:tcW w:w="1546" w:type="dxa"/>
            <w:tcBorders>
              <w:top w:val="nil"/>
              <w:bottom w:val="nil"/>
            </w:tcBorders>
            <w:vAlign w:val="center"/>
            <w:hideMark/>
          </w:tcPr>
          <w:p w14:paraId="62FBBA8F" w14:textId="77777777" w:rsidR="000A42FA" w:rsidRPr="000A42FA" w:rsidRDefault="000A42FA" w:rsidP="00EF3814">
            <w:pPr>
              <w:spacing w:after="0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0A42F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Standard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E30F07D" w14:textId="77777777" w:rsidR="000A42FA" w:rsidRPr="000A42FA" w:rsidRDefault="000A42FA" w:rsidP="00EF3814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0A42FA">
              <w:rPr>
                <w:rFonts w:ascii="Calibri" w:hAnsi="Calibri" w:cs="Calibri"/>
                <w:sz w:val="22"/>
                <w:szCs w:val="22"/>
              </w:rPr>
              <w:t>Near the cohort average. Likely compensated.</w:t>
            </w:r>
          </w:p>
        </w:tc>
      </w:tr>
      <w:tr w:rsidR="000A42FA" w:rsidRPr="000A42FA" w14:paraId="561B4F95" w14:textId="77777777" w:rsidTr="00EF3814">
        <w:trPr>
          <w:tblCellSpacing w:w="15" w:type="dxa"/>
        </w:trPr>
        <w:tc>
          <w:tcPr>
            <w:tcW w:w="1207" w:type="dxa"/>
            <w:vAlign w:val="center"/>
            <w:hideMark/>
          </w:tcPr>
          <w:p w14:paraId="081B19DC" w14:textId="77777777" w:rsidR="000A42FA" w:rsidRPr="000A42FA" w:rsidRDefault="000A42FA" w:rsidP="00EF3814">
            <w:pPr>
              <w:spacing w:after="0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0A42F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4.0 – 5.25</w:t>
            </w:r>
          </w:p>
        </w:tc>
        <w:tc>
          <w:tcPr>
            <w:tcW w:w="1546" w:type="dxa"/>
            <w:vAlign w:val="center"/>
            <w:hideMark/>
          </w:tcPr>
          <w:p w14:paraId="12BBB550" w14:textId="77777777" w:rsidR="000A42FA" w:rsidRPr="000A42FA" w:rsidRDefault="000A42FA" w:rsidP="00EF3814">
            <w:pPr>
              <w:spacing w:after="0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0A42F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Zone 2: Complex</w:t>
            </w:r>
          </w:p>
        </w:tc>
        <w:tc>
          <w:tcPr>
            <w:tcW w:w="0" w:type="auto"/>
            <w:vAlign w:val="center"/>
            <w:hideMark/>
          </w:tcPr>
          <w:p w14:paraId="46276DDE" w14:textId="77777777" w:rsidR="000A42FA" w:rsidRPr="000A42FA" w:rsidRDefault="000A42FA" w:rsidP="00EF3814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0A42FA">
              <w:rPr>
                <w:rFonts w:ascii="Calibri" w:hAnsi="Calibri" w:cs="Calibri"/>
                <w:sz w:val="22"/>
                <w:szCs w:val="22"/>
              </w:rPr>
              <w:t>"Surgical Sweet Spot." High likelihood of mixed-lesion phenotypes.</w:t>
            </w:r>
          </w:p>
        </w:tc>
      </w:tr>
      <w:tr w:rsidR="000A42FA" w:rsidRPr="000A42FA" w14:paraId="24C2CE47" w14:textId="77777777" w:rsidTr="00EF3814">
        <w:trPr>
          <w:tblCellSpacing w:w="15" w:type="dxa"/>
        </w:trPr>
        <w:tc>
          <w:tcPr>
            <w:tcW w:w="1207" w:type="dxa"/>
            <w:tcBorders>
              <w:top w:val="nil"/>
              <w:bottom w:val="nil"/>
            </w:tcBorders>
            <w:vAlign w:val="center"/>
            <w:hideMark/>
          </w:tcPr>
          <w:p w14:paraId="70C8E95B" w14:textId="77777777" w:rsidR="000A42FA" w:rsidRPr="000A42FA" w:rsidRDefault="000A42FA" w:rsidP="00EF3814">
            <w:pPr>
              <w:spacing w:after="0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0A42F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5.25 – 5.5</w:t>
            </w:r>
          </w:p>
        </w:tc>
        <w:tc>
          <w:tcPr>
            <w:tcW w:w="1546" w:type="dxa"/>
            <w:tcBorders>
              <w:top w:val="nil"/>
              <w:bottom w:val="nil"/>
            </w:tcBorders>
            <w:vAlign w:val="center"/>
            <w:hideMark/>
          </w:tcPr>
          <w:p w14:paraId="66AD4D47" w14:textId="77777777" w:rsidR="000A42FA" w:rsidRPr="000A42FA" w:rsidRDefault="000A42FA" w:rsidP="00EF3814">
            <w:pPr>
              <w:spacing w:after="0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0A42F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Zone 3: Critical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17A9B80" w14:textId="77777777" w:rsidR="000A42FA" w:rsidRPr="000A42FA" w:rsidRDefault="000A42FA" w:rsidP="00EF3814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0A42FA">
              <w:rPr>
                <w:rFonts w:ascii="Calibri" w:hAnsi="Calibri" w:cs="Calibri"/>
                <w:sz w:val="22"/>
                <w:szCs w:val="22"/>
              </w:rPr>
              <w:t>85% Precision for Critical PH (RVSP &gt; 60 mmHg).</w:t>
            </w:r>
          </w:p>
        </w:tc>
      </w:tr>
      <w:tr w:rsidR="000A42FA" w:rsidRPr="000A42FA" w14:paraId="6F59143A" w14:textId="77777777" w:rsidTr="00EF3814">
        <w:trPr>
          <w:tblCellSpacing w:w="15" w:type="dxa"/>
        </w:trPr>
        <w:tc>
          <w:tcPr>
            <w:tcW w:w="1207" w:type="dxa"/>
            <w:vAlign w:val="center"/>
            <w:hideMark/>
          </w:tcPr>
          <w:p w14:paraId="60704099" w14:textId="77777777" w:rsidR="000A42FA" w:rsidRPr="000A42FA" w:rsidRDefault="000A42FA" w:rsidP="00EF3814">
            <w:pPr>
              <w:spacing w:after="0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0A42F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&gt; 5.5</w:t>
            </w:r>
          </w:p>
        </w:tc>
        <w:tc>
          <w:tcPr>
            <w:tcW w:w="1546" w:type="dxa"/>
            <w:vAlign w:val="center"/>
            <w:hideMark/>
          </w:tcPr>
          <w:p w14:paraId="4D6B205F" w14:textId="77777777" w:rsidR="000A42FA" w:rsidRPr="000A42FA" w:rsidRDefault="000A42FA" w:rsidP="00EF3814">
            <w:pPr>
              <w:spacing w:after="0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0A42F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Zone 4: Palliative?</w:t>
            </w:r>
          </w:p>
        </w:tc>
        <w:tc>
          <w:tcPr>
            <w:tcW w:w="0" w:type="auto"/>
            <w:vAlign w:val="center"/>
            <w:hideMark/>
          </w:tcPr>
          <w:p w14:paraId="21C5C0D8" w14:textId="77777777" w:rsidR="000A42FA" w:rsidRPr="000A42FA" w:rsidRDefault="000A42FA" w:rsidP="00EF3814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0A42FA">
              <w:rPr>
                <w:rFonts w:ascii="Calibri" w:hAnsi="Calibri" w:cs="Calibri"/>
                <w:sz w:val="22"/>
                <w:szCs w:val="22"/>
              </w:rPr>
              <w:t>Pharmacological exhaustion; risk of surgical futility.</w:t>
            </w:r>
          </w:p>
        </w:tc>
      </w:tr>
    </w:tbl>
    <w:p w14:paraId="4769F7BF" w14:textId="77777777" w:rsidR="000A42FA" w:rsidRPr="000A42FA" w:rsidRDefault="000A42FA" w:rsidP="00EF3814">
      <w:pPr>
        <w:spacing w:before="120"/>
        <w:rPr>
          <w:rFonts w:ascii="Verdana" w:hAnsi="Verdana"/>
          <w:b/>
          <w:bCs/>
          <w:color w:val="004F2D"/>
          <w:sz w:val="20"/>
          <w:szCs w:val="20"/>
        </w:rPr>
      </w:pPr>
      <w:r w:rsidRPr="000A42FA">
        <w:rPr>
          <w:rFonts w:ascii="Verdana" w:hAnsi="Verdana"/>
          <w:b/>
          <w:bCs/>
          <w:color w:val="004F2D"/>
          <w:sz w:val="20"/>
          <w:szCs w:val="20"/>
        </w:rPr>
        <w:t>6. Operational Impact</w:t>
      </w:r>
    </w:p>
    <w:p w14:paraId="47522BD5" w14:textId="77777777" w:rsidR="000A42FA" w:rsidRPr="000A42FA" w:rsidRDefault="000A42FA" w:rsidP="000A42FA">
      <w:pPr>
        <w:rPr>
          <w:rFonts w:ascii="Verdana" w:hAnsi="Verdana"/>
          <w:sz w:val="20"/>
          <w:szCs w:val="20"/>
        </w:rPr>
      </w:pPr>
      <w:r w:rsidRPr="000A42FA">
        <w:rPr>
          <w:rFonts w:ascii="Verdana" w:hAnsi="Verdana"/>
          <w:sz w:val="20"/>
          <w:szCs w:val="20"/>
        </w:rPr>
        <w:t xml:space="preserve">By identifying the </w:t>
      </w:r>
      <w:r w:rsidRPr="000A42FA">
        <w:rPr>
          <w:rFonts w:ascii="Verdana" w:hAnsi="Verdana"/>
          <w:b/>
          <w:bCs/>
          <w:sz w:val="20"/>
          <w:szCs w:val="20"/>
        </w:rPr>
        <w:t>TDD</w:t>
      </w:r>
      <w:r w:rsidRPr="000A42FA">
        <w:rPr>
          <w:rFonts w:ascii="Verdana" w:hAnsi="Verdana"/>
          <w:sz w:val="20"/>
          <w:szCs w:val="20"/>
        </w:rPr>
        <w:t xml:space="preserve"> at registration, the intake team can objectively identify the "Zone 2 and 3" patients. This ensures that the Echo machine—the mission's most constrained resource—is prioritized for the patients with the highest surgical impact.</w:t>
      </w:r>
    </w:p>
    <w:p w14:paraId="54385BBF" w14:textId="48416DEE" w:rsidR="000A42FA" w:rsidRDefault="000A42FA" w:rsidP="000A42FA"/>
    <w:sectPr w:rsidR="000A42F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47E67"/>
    <w:multiLevelType w:val="multilevel"/>
    <w:tmpl w:val="0AA4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AF3A0B"/>
    <w:multiLevelType w:val="multilevel"/>
    <w:tmpl w:val="12F4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C0041E"/>
    <w:multiLevelType w:val="multilevel"/>
    <w:tmpl w:val="2B7A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794372">
    <w:abstractNumId w:val="1"/>
  </w:num>
  <w:num w:numId="2" w16cid:durableId="1750151313">
    <w:abstractNumId w:val="0"/>
  </w:num>
  <w:num w:numId="3" w16cid:durableId="1915384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2FA"/>
    <w:rsid w:val="000A42FA"/>
    <w:rsid w:val="00944596"/>
    <w:rsid w:val="00976888"/>
    <w:rsid w:val="00D67AD4"/>
    <w:rsid w:val="00EF3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A0C38"/>
  <w15:chartTrackingRefBased/>
  <w15:docId w15:val="{F89B53E4-03C0-44A4-A0BF-5A034DA7E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2F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A42FA"/>
    <w:rPr>
      <w:color w:val="666666"/>
    </w:rPr>
  </w:style>
  <w:style w:type="character" w:styleId="Strong">
    <w:name w:val="Strong"/>
    <w:basedOn w:val="DefaultParagraphFont"/>
    <w:uiPriority w:val="22"/>
    <w:qFormat/>
    <w:rsid w:val="000A42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Enyel Alexander Rodríguez Galo</dc:creator>
  <cp:keywords/>
  <dc:description/>
  <cp:lastModifiedBy>Enyel Alexander Rodríguez Galo</cp:lastModifiedBy>
  <cp:revision>3</cp:revision>
  <dcterms:created xsi:type="dcterms:W3CDTF">2026-01-03T17:37:00Z</dcterms:created>
  <dcterms:modified xsi:type="dcterms:W3CDTF">2026-01-03T18:33:00Z</dcterms:modified>
</cp:coreProperties>
</file>