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6655" w14:textId="77777777" w:rsidR="005D3C4F" w:rsidRDefault="00000000">
      <w:pPr>
        <w:jc w:val="center"/>
      </w:pPr>
      <w:r>
        <w:rPr>
          <w:b/>
          <w:sz w:val="44"/>
        </w:rPr>
        <w:t>Content Strategy &amp; Release Ops Playbook</w:t>
      </w:r>
    </w:p>
    <w:p w14:paraId="3AEA5E05" w14:textId="77777777" w:rsidR="005D3C4F" w:rsidRDefault="005D3C4F"/>
    <w:p w14:paraId="4C25C50D" w14:textId="77777777" w:rsidR="005D3C4F" w:rsidRDefault="00000000">
      <w:r>
        <w:t>Purpose: provide consistent guidance for internal teams when evaluating titles, planning releases, and interpreting performance metrics.</w:t>
      </w:r>
    </w:p>
    <w:p w14:paraId="60055864" w14:textId="77777777" w:rsidR="005D3C4F" w:rsidRDefault="00000000">
      <w:pPr>
        <w:pStyle w:val="Heading1"/>
      </w:pPr>
      <w:r>
        <w:t>1. Standard Definitions</w:t>
      </w:r>
    </w:p>
    <w:p w14:paraId="481CD7E8" w14:textId="77777777" w:rsidR="005D3C4F" w:rsidRDefault="00000000">
      <w:r>
        <w:rPr>
          <w:b/>
        </w:rPr>
        <w:t xml:space="preserve">Title: </w:t>
      </w:r>
      <w:r>
        <w:t>A film or episodic season treated as a single business unit in planning and reporting.</w:t>
      </w:r>
    </w:p>
    <w:p w14:paraId="1593C87C" w14:textId="77777777" w:rsidR="005D3C4F" w:rsidRDefault="00000000">
      <w:r>
        <w:rPr>
          <w:b/>
        </w:rPr>
        <w:t xml:space="preserve">Release Window: </w:t>
      </w:r>
      <w:r>
        <w:t>A distribution phase (e.g., Theatrical, PVOD, SVOD) with a defined start date and geography.</w:t>
      </w:r>
    </w:p>
    <w:p w14:paraId="617EF16C" w14:textId="77777777" w:rsidR="005D3C4F" w:rsidRDefault="00000000">
      <w:r>
        <w:rPr>
          <w:b/>
        </w:rPr>
        <w:t xml:space="preserve">Opening Weekend: </w:t>
      </w:r>
      <w:r>
        <w:t>Fri–Sun gross for Theatrical releases. For markets using different weekend norms, use the market calendar table.</w:t>
      </w:r>
    </w:p>
    <w:p w14:paraId="5E0094CC" w14:textId="77777777" w:rsidR="005D3C4F" w:rsidRDefault="00000000">
      <w:r>
        <w:rPr>
          <w:b/>
        </w:rPr>
        <w:t xml:space="preserve">Completion Rate: </w:t>
      </w:r>
      <w:r>
        <w:t>Completed starts / total starts for a given week and region.</w:t>
      </w:r>
    </w:p>
    <w:p w14:paraId="57594AC6" w14:textId="77777777" w:rsidR="005D3C4F" w:rsidRDefault="00000000">
      <w:r>
        <w:rPr>
          <w:b/>
        </w:rPr>
        <w:t xml:space="preserve">Marketing ROI: </w:t>
      </w:r>
      <w:r>
        <w:t>(Attributed Revenue - Spend) / Spend. Attribution uses the campaign model in this playbook.</w:t>
      </w:r>
    </w:p>
    <w:p w14:paraId="179660A7" w14:textId="77777777" w:rsidR="005D3C4F" w:rsidRDefault="00000000">
      <w:pPr>
        <w:pStyle w:val="Heading1"/>
      </w:pPr>
      <w:r>
        <w:t>2. Greenlight Scorecard (Simple)</w:t>
      </w:r>
    </w:p>
    <w:p w14:paraId="7F06AE85" w14:textId="77777777" w:rsidR="005D3C4F" w:rsidRDefault="00000000">
      <w:r>
        <w:t>Use this lightweight scorecard for internal discussions; it is not a financial model.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3C4F" w14:paraId="56C1DE45" w14:textId="77777777" w:rsidTr="005D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22BF0" w14:textId="77777777" w:rsidR="005D3C4F" w:rsidRDefault="00000000">
            <w:r>
              <w:t>Dimension</w:t>
            </w:r>
          </w:p>
        </w:tc>
        <w:tc>
          <w:tcPr>
            <w:tcW w:w="2880" w:type="dxa"/>
          </w:tcPr>
          <w:p w14:paraId="573C672F" w14:textId="77777777" w:rsidR="005D3C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2880" w:type="dxa"/>
          </w:tcPr>
          <w:p w14:paraId="434F5D7A" w14:textId="77777777" w:rsidR="005D3C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Scoring (1-5)</w:t>
            </w:r>
          </w:p>
        </w:tc>
      </w:tr>
      <w:tr w:rsidR="005D3C4F" w14:paraId="57D216B4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8EBCF" w14:textId="77777777" w:rsidR="005D3C4F" w:rsidRDefault="00000000">
            <w:r>
              <w:t>Audience Fit</w:t>
            </w:r>
          </w:p>
        </w:tc>
        <w:tc>
          <w:tcPr>
            <w:tcW w:w="2880" w:type="dxa"/>
          </w:tcPr>
          <w:p w14:paraId="47FB4FDF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 core audience clearly defined and reachable?</w:t>
            </w:r>
          </w:p>
        </w:tc>
        <w:tc>
          <w:tcPr>
            <w:tcW w:w="2880" w:type="dxa"/>
          </w:tcPr>
          <w:p w14:paraId="0F33F887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1=unclear, 5=high confidence</w:t>
            </w:r>
          </w:p>
        </w:tc>
      </w:tr>
      <w:tr w:rsidR="005D3C4F" w14:paraId="7640DBFB" w14:textId="77777777" w:rsidTr="005D3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DD20E" w14:textId="77777777" w:rsidR="005D3C4F" w:rsidRDefault="00000000">
            <w:r>
              <w:t>Differentiation</w:t>
            </w:r>
          </w:p>
        </w:tc>
        <w:tc>
          <w:tcPr>
            <w:tcW w:w="2880" w:type="dxa"/>
          </w:tcPr>
          <w:p w14:paraId="5A3034AE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 it have a unique hook vs recent comps?</w:t>
            </w:r>
          </w:p>
        </w:tc>
        <w:tc>
          <w:tcPr>
            <w:tcW w:w="2880" w:type="dxa"/>
          </w:tcPr>
          <w:p w14:paraId="0661F000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1=me-too, 5=distinct</w:t>
            </w:r>
          </w:p>
        </w:tc>
      </w:tr>
      <w:tr w:rsidR="005D3C4F" w14:paraId="4C3FFA66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41DED" w14:textId="77777777" w:rsidR="005D3C4F" w:rsidRDefault="00000000">
            <w:r>
              <w:t>Cast/Creator Heat</w:t>
            </w:r>
          </w:p>
        </w:tc>
        <w:tc>
          <w:tcPr>
            <w:tcW w:w="2880" w:type="dxa"/>
          </w:tcPr>
          <w:p w14:paraId="1D3CDC99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there proven draw in target regions?</w:t>
            </w:r>
          </w:p>
        </w:tc>
        <w:tc>
          <w:tcPr>
            <w:tcW w:w="2880" w:type="dxa"/>
          </w:tcPr>
          <w:p w14:paraId="42E7A8B5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1=none, 5=strong</w:t>
            </w:r>
          </w:p>
        </w:tc>
      </w:tr>
      <w:tr w:rsidR="005D3C4F" w14:paraId="63E9005E" w14:textId="77777777" w:rsidTr="005D3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6024E" w14:textId="77777777" w:rsidR="005D3C4F" w:rsidRDefault="00000000">
            <w:r>
              <w:t>Budget Discipline</w:t>
            </w:r>
          </w:p>
        </w:tc>
        <w:tc>
          <w:tcPr>
            <w:tcW w:w="2880" w:type="dxa"/>
          </w:tcPr>
          <w:p w14:paraId="43434FB7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the budget aligned to likely demand?</w:t>
            </w:r>
          </w:p>
        </w:tc>
        <w:tc>
          <w:tcPr>
            <w:tcW w:w="2880" w:type="dxa"/>
          </w:tcPr>
          <w:p w14:paraId="0855F01B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1=overbuilt, 5=right-sized</w:t>
            </w:r>
          </w:p>
        </w:tc>
      </w:tr>
      <w:tr w:rsidR="005D3C4F" w14:paraId="36A8B85F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FF7B4" w14:textId="77777777" w:rsidR="005D3C4F" w:rsidRDefault="00000000">
            <w:r>
              <w:t>Window Strategy</w:t>
            </w:r>
          </w:p>
        </w:tc>
        <w:tc>
          <w:tcPr>
            <w:tcW w:w="2880" w:type="dxa"/>
          </w:tcPr>
          <w:p w14:paraId="6B8EA142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 release window plan realistic?</w:t>
            </w:r>
          </w:p>
        </w:tc>
        <w:tc>
          <w:tcPr>
            <w:tcW w:w="2880" w:type="dxa"/>
          </w:tcPr>
          <w:p w14:paraId="59CD5E55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1=weak, 5=strong</w:t>
            </w:r>
          </w:p>
        </w:tc>
      </w:tr>
    </w:tbl>
    <w:p w14:paraId="01B5F805" w14:textId="77777777" w:rsidR="005D3C4F" w:rsidRDefault="005D3C4F"/>
    <w:p w14:paraId="3CF893AF" w14:textId="77777777" w:rsidR="005D3C4F" w:rsidRDefault="00000000">
      <w:pPr>
        <w:pStyle w:val="Heading1"/>
      </w:pPr>
      <w:r>
        <w:t>3. Interpreting Weekly Streaming Signals</w:t>
      </w:r>
    </w:p>
    <w:p w14:paraId="27467F70" w14:textId="77777777" w:rsidR="005D3C4F" w:rsidRDefault="00000000">
      <w:pPr>
        <w:pStyle w:val="ListBullet"/>
      </w:pPr>
      <w:r>
        <w:t>Look at region-by-region trends; global averages can hide churn risk in a single market.</w:t>
      </w:r>
    </w:p>
    <w:p w14:paraId="5693B484" w14:textId="77777777" w:rsidR="005D3C4F" w:rsidRDefault="00000000">
      <w:pPr>
        <w:pStyle w:val="ListBullet"/>
      </w:pPr>
      <w:r>
        <w:t>A title with high starts but low completion rate often needs creative or positioning changes for future seasons.</w:t>
      </w:r>
    </w:p>
    <w:p w14:paraId="7B811B12" w14:textId="77777777" w:rsidR="005D3C4F" w:rsidRDefault="00000000">
      <w:pPr>
        <w:pStyle w:val="ListBullet"/>
      </w:pPr>
      <w:r>
        <w:lastRenderedPageBreak/>
        <w:t>Compare to genre benchmarks from the same 12-month period to reduce seasonality effects.</w:t>
      </w:r>
    </w:p>
    <w:p w14:paraId="22F869B1" w14:textId="77777777" w:rsidR="005D3C4F" w:rsidRDefault="00000000">
      <w:pPr>
        <w:pStyle w:val="ListBullet"/>
      </w:pPr>
      <w:r>
        <w:t>When completion improves after a campaign, treat that as a signal the marketing message matches the content promise.</w:t>
      </w:r>
    </w:p>
    <w:p w14:paraId="2EFB7136" w14:textId="77777777" w:rsidR="005D3C4F" w:rsidRDefault="00000000">
      <w:pPr>
        <w:pStyle w:val="Heading1"/>
      </w:pPr>
      <w:r>
        <w:t>4. Escalation Guidelines</w:t>
      </w:r>
    </w:p>
    <w:p w14:paraId="7F32EA26" w14:textId="77777777" w:rsidR="005D3C4F" w:rsidRDefault="00000000">
      <w:r>
        <w:t>Escalate to the Release Council if any of the following occur:</w:t>
      </w:r>
    </w:p>
    <w:p w14:paraId="5F4DA339" w14:textId="77777777" w:rsidR="005D3C4F" w:rsidRDefault="00000000">
      <w:pPr>
        <w:pStyle w:val="ListBullet"/>
      </w:pPr>
      <w:r>
        <w:t>Opening weekend gross is 25% below forecast in 2+ priority markets.</w:t>
      </w:r>
    </w:p>
    <w:p w14:paraId="407B9F71" w14:textId="77777777" w:rsidR="005D3C4F" w:rsidRDefault="00000000">
      <w:pPr>
        <w:pStyle w:val="ListBullet"/>
      </w:pPr>
      <w:r>
        <w:t>Completion rate falls below 45% in any top-3 region for 2 consecutive weeks.</w:t>
      </w:r>
    </w:p>
    <w:p w14:paraId="61A094CE" w14:textId="77777777" w:rsidR="005D3C4F" w:rsidRDefault="00000000">
      <w:pPr>
        <w:pStyle w:val="ListBullet"/>
      </w:pPr>
      <w:r>
        <w:t>Campaign spend variance exceeds +10% vs approved weekly plan.</w:t>
      </w:r>
    </w:p>
    <w:sectPr w:rsidR="005D3C4F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7316" w14:textId="77777777" w:rsidR="00183FB8" w:rsidRDefault="00183FB8" w:rsidP="00AF2086">
      <w:pPr>
        <w:spacing w:after="0" w:line="240" w:lineRule="auto"/>
      </w:pPr>
      <w:r>
        <w:separator/>
      </w:r>
    </w:p>
  </w:endnote>
  <w:endnote w:type="continuationSeparator" w:id="0">
    <w:p w14:paraId="1B5E339F" w14:textId="77777777" w:rsidR="00183FB8" w:rsidRDefault="00183FB8" w:rsidP="00AF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7914B" w14:textId="683EFC44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60ACCC" wp14:editId="78413D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11582804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6D089" w14:textId="5E3AFFC5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0AC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8C6D089" w14:textId="5E3AFFC5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4F99" w14:textId="4CC9FF66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57C3A4" wp14:editId="4A2732C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157704702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C9AFD" w14:textId="54E2C496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7C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B4C9AFD" w14:textId="54E2C496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388E" w14:textId="59E62CDC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53D04E" wp14:editId="6EEC9B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226543535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C3F4E" w14:textId="2DC55A72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3D0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226C3F4E" w14:textId="2DC55A72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4272" w14:textId="77777777" w:rsidR="00183FB8" w:rsidRDefault="00183FB8" w:rsidP="00AF2086">
      <w:pPr>
        <w:spacing w:after="0" w:line="240" w:lineRule="auto"/>
      </w:pPr>
      <w:r>
        <w:separator/>
      </w:r>
    </w:p>
  </w:footnote>
  <w:footnote w:type="continuationSeparator" w:id="0">
    <w:p w14:paraId="1B6D7383" w14:textId="77777777" w:rsidR="00183FB8" w:rsidRDefault="00183FB8" w:rsidP="00AF2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385078">
    <w:abstractNumId w:val="8"/>
  </w:num>
  <w:num w:numId="2" w16cid:durableId="268703471">
    <w:abstractNumId w:val="6"/>
  </w:num>
  <w:num w:numId="3" w16cid:durableId="7996599">
    <w:abstractNumId w:val="5"/>
  </w:num>
  <w:num w:numId="4" w16cid:durableId="463356472">
    <w:abstractNumId w:val="4"/>
  </w:num>
  <w:num w:numId="5" w16cid:durableId="1141003313">
    <w:abstractNumId w:val="7"/>
  </w:num>
  <w:num w:numId="6" w16cid:durableId="1736397484">
    <w:abstractNumId w:val="3"/>
  </w:num>
  <w:num w:numId="7" w16cid:durableId="322245453">
    <w:abstractNumId w:val="2"/>
  </w:num>
  <w:num w:numId="8" w16cid:durableId="1532835389">
    <w:abstractNumId w:val="1"/>
  </w:num>
  <w:num w:numId="9" w16cid:durableId="104355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183FB8"/>
    <w:rsid w:val="0029639D"/>
    <w:rsid w:val="00326F90"/>
    <w:rsid w:val="005D3C4F"/>
    <w:rsid w:val="00AA1D8D"/>
    <w:rsid w:val="00AF20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35CC0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5f98c138484bb494bbfb36bfceb44a6a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f7c6cbb307a47bd5922b034a76058d4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4E42D3-A721-413E-9399-C6C045AF6928}"/>
</file>

<file path=customXml/itemProps3.xml><?xml version="1.0" encoding="utf-8"?>
<ds:datastoreItem xmlns:ds="http://schemas.openxmlformats.org/officeDocument/2006/customXml" ds:itemID="{126266C1-7B46-4357-9B8B-7BEC08CF9F94}"/>
</file>

<file path=customXml/itemProps4.xml><?xml version="1.0" encoding="utf-8"?>
<ds:datastoreItem xmlns:ds="http://schemas.openxmlformats.org/officeDocument/2006/customXml" ds:itemID="{2F61E837-FFF9-4F6B-8D61-FD1961AEB7DD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491b91af,6a69e54,45012bfe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