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8D3A" w14:textId="77777777" w:rsidR="00854FCD" w:rsidRDefault="00000000">
      <w:pPr>
        <w:jc w:val="center"/>
      </w:pPr>
      <w:r>
        <w:rPr>
          <w:b/>
          <w:sz w:val="44"/>
        </w:rPr>
        <w:t>Marketing Measurement &amp; Attribution Notes</w:t>
      </w:r>
    </w:p>
    <w:p w14:paraId="0FE753FC" w14:textId="77777777" w:rsidR="00854FCD" w:rsidRDefault="00854FCD"/>
    <w:p w14:paraId="388D927C" w14:textId="77777777" w:rsidR="00854FCD" w:rsidRDefault="00000000">
      <w:r>
        <w:t>This document explains how we interpret marketing metrics for entertainment titles across theatrical and streaming windows.</w:t>
      </w:r>
    </w:p>
    <w:p w14:paraId="2A3971C5" w14:textId="77777777" w:rsidR="00854FCD" w:rsidRDefault="00000000">
      <w:pPr>
        <w:pStyle w:val="Heading1"/>
      </w:pPr>
      <w:r>
        <w:t>1.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4FCD" w14:paraId="1D852CC6" w14:textId="77777777">
        <w:tc>
          <w:tcPr>
            <w:tcW w:w="4320" w:type="dxa"/>
          </w:tcPr>
          <w:p w14:paraId="78CE5A6B" w14:textId="77777777" w:rsidR="00854FCD" w:rsidRDefault="00000000">
            <w:r>
              <w:t>KPI</w:t>
            </w:r>
          </w:p>
        </w:tc>
        <w:tc>
          <w:tcPr>
            <w:tcW w:w="4320" w:type="dxa"/>
          </w:tcPr>
          <w:p w14:paraId="1F6FC27E" w14:textId="77777777" w:rsidR="00854FCD" w:rsidRDefault="00000000">
            <w:r>
              <w:t>Definition</w:t>
            </w:r>
          </w:p>
        </w:tc>
      </w:tr>
      <w:tr w:rsidR="00854FCD" w14:paraId="02E3F7BF" w14:textId="77777777">
        <w:tc>
          <w:tcPr>
            <w:tcW w:w="4320" w:type="dxa"/>
          </w:tcPr>
          <w:p w14:paraId="191368F8" w14:textId="77777777" w:rsidR="00854FCD" w:rsidRDefault="00000000">
            <w:r>
              <w:t>Impressions</w:t>
            </w:r>
          </w:p>
        </w:tc>
        <w:tc>
          <w:tcPr>
            <w:tcW w:w="4320" w:type="dxa"/>
          </w:tcPr>
          <w:p w14:paraId="18AEBF0C" w14:textId="77777777" w:rsidR="00854FCD" w:rsidRDefault="00000000">
            <w:r>
              <w:t>Total ad impressions delivered.</w:t>
            </w:r>
          </w:p>
        </w:tc>
      </w:tr>
      <w:tr w:rsidR="00854FCD" w14:paraId="04655949" w14:textId="77777777">
        <w:tc>
          <w:tcPr>
            <w:tcW w:w="4320" w:type="dxa"/>
          </w:tcPr>
          <w:p w14:paraId="7EA3F954" w14:textId="77777777" w:rsidR="00854FCD" w:rsidRDefault="00000000">
            <w:r>
              <w:t>Clicks</w:t>
            </w:r>
          </w:p>
        </w:tc>
        <w:tc>
          <w:tcPr>
            <w:tcW w:w="4320" w:type="dxa"/>
          </w:tcPr>
          <w:p w14:paraId="73A10C64" w14:textId="77777777" w:rsidR="00854FCD" w:rsidRDefault="00000000">
            <w:r>
              <w:t>Total ad clicks (where applicable).</w:t>
            </w:r>
          </w:p>
        </w:tc>
      </w:tr>
      <w:tr w:rsidR="00854FCD" w14:paraId="00ABC22E" w14:textId="77777777">
        <w:tc>
          <w:tcPr>
            <w:tcW w:w="4320" w:type="dxa"/>
          </w:tcPr>
          <w:p w14:paraId="3F1EE9DC" w14:textId="77777777" w:rsidR="00854FCD" w:rsidRDefault="00000000">
            <w:r>
              <w:t>Spend</w:t>
            </w:r>
          </w:p>
        </w:tc>
        <w:tc>
          <w:tcPr>
            <w:tcW w:w="4320" w:type="dxa"/>
          </w:tcPr>
          <w:p w14:paraId="1FFE7A6F" w14:textId="77777777" w:rsidR="00854FCD" w:rsidRDefault="00000000">
            <w:r>
              <w:t>Cost in USD for the day or week.</w:t>
            </w:r>
          </w:p>
        </w:tc>
      </w:tr>
      <w:tr w:rsidR="00854FCD" w14:paraId="6784FD71" w14:textId="77777777">
        <w:tc>
          <w:tcPr>
            <w:tcW w:w="4320" w:type="dxa"/>
          </w:tcPr>
          <w:p w14:paraId="5845079F" w14:textId="77777777" w:rsidR="00854FCD" w:rsidRDefault="00000000">
            <w:r>
              <w:t>Attributed Revenue</w:t>
            </w:r>
          </w:p>
        </w:tc>
        <w:tc>
          <w:tcPr>
            <w:tcW w:w="4320" w:type="dxa"/>
          </w:tcPr>
          <w:p w14:paraId="6B423F58" w14:textId="77777777" w:rsidR="00854FCD" w:rsidRDefault="00000000">
            <w:r>
              <w:t>Revenue assigned by the attribution model for the selected window.</w:t>
            </w:r>
          </w:p>
        </w:tc>
      </w:tr>
      <w:tr w:rsidR="00854FCD" w14:paraId="61D88A8C" w14:textId="77777777">
        <w:tc>
          <w:tcPr>
            <w:tcW w:w="4320" w:type="dxa"/>
          </w:tcPr>
          <w:p w14:paraId="73FBB63C" w14:textId="77777777" w:rsidR="00854FCD" w:rsidRDefault="00000000">
            <w:r>
              <w:t>CPA (Cost per Acquisition)</w:t>
            </w:r>
          </w:p>
        </w:tc>
        <w:tc>
          <w:tcPr>
            <w:tcW w:w="4320" w:type="dxa"/>
          </w:tcPr>
          <w:p w14:paraId="1A8B0200" w14:textId="77777777" w:rsidR="00854FCD" w:rsidRDefault="00000000">
            <w:r>
              <w:t>Spend / attributed new subscriptions (or ticket purchases) depending on window.</w:t>
            </w:r>
          </w:p>
        </w:tc>
      </w:tr>
    </w:tbl>
    <w:p w14:paraId="4B4800D0" w14:textId="77777777" w:rsidR="00854FCD" w:rsidRDefault="00854FCD"/>
    <w:p w14:paraId="2454113E" w14:textId="77777777" w:rsidR="00854FCD" w:rsidRDefault="00000000">
      <w:pPr>
        <w:pStyle w:val="Heading1"/>
      </w:pPr>
      <w:r>
        <w:t>2. Attribution Rules (Simplified)</w:t>
      </w:r>
    </w:p>
    <w:p w14:paraId="48263DA8" w14:textId="77777777" w:rsidR="00854FCD" w:rsidRDefault="00000000">
      <w:pPr>
        <w:pStyle w:val="ListBullet"/>
      </w:pPr>
      <w:r>
        <w:t>Primary window: 7-day lookback for digital channels; 14-day lookback for TV/OOH proxy models.</w:t>
      </w:r>
    </w:p>
    <w:p w14:paraId="7E183077" w14:textId="77777777" w:rsidR="00854FCD" w:rsidRDefault="00000000">
      <w:pPr>
        <w:pStyle w:val="ListBullet"/>
      </w:pPr>
      <w:r>
        <w:t>De-duplication: if a user is exposed to multiple campaigns, credit follows last-touch within the lookback window.</w:t>
      </w:r>
    </w:p>
    <w:p w14:paraId="01084EA7" w14:textId="77777777" w:rsidR="00854FCD" w:rsidRDefault="00000000">
      <w:pPr>
        <w:pStyle w:val="ListBullet"/>
      </w:pPr>
      <w:r>
        <w:t>Holdout tests override model outputs when a valid holdout is running.</w:t>
      </w:r>
    </w:p>
    <w:p w14:paraId="36BE1517" w14:textId="77777777" w:rsidR="00854FCD" w:rsidRDefault="00000000">
      <w:pPr>
        <w:pStyle w:val="Heading1"/>
      </w:pPr>
      <w:r>
        <w:t>3. Practical Interpretation</w:t>
      </w:r>
    </w:p>
    <w:p w14:paraId="353BE494" w14:textId="77777777" w:rsidR="00854FCD" w:rsidRDefault="00000000">
      <w:r>
        <w:t>Use ROI as a directional signal. Investigate channel mix and creative fatigue before making large spend shifts.</w:t>
      </w:r>
    </w:p>
    <w:p w14:paraId="55BCE32C" w14:textId="77777777" w:rsidR="00854FCD" w:rsidRDefault="00000000">
      <w:pPr>
        <w:pStyle w:val="Heading1"/>
      </w:pPr>
      <w:r>
        <w:t>4. Glossary</w:t>
      </w:r>
    </w:p>
    <w:p w14:paraId="4A63EDEB" w14:textId="77777777" w:rsidR="00854FCD" w:rsidRDefault="00000000">
      <w:r>
        <w:rPr>
          <w:b/>
        </w:rPr>
        <w:t xml:space="preserve">OOH: </w:t>
      </w:r>
      <w:r>
        <w:t>Out-of-home advertising (billboards, transit, etc.).</w:t>
      </w:r>
    </w:p>
    <w:p w14:paraId="76AB2F87" w14:textId="77777777" w:rsidR="00854FCD" w:rsidRDefault="00000000">
      <w:r>
        <w:rPr>
          <w:b/>
        </w:rPr>
        <w:t xml:space="preserve">PVOD: </w:t>
      </w:r>
      <w:r>
        <w:t>Premium video on demand.</w:t>
      </w:r>
    </w:p>
    <w:p w14:paraId="204B421C" w14:textId="77777777" w:rsidR="00854FCD" w:rsidRDefault="00000000">
      <w:r>
        <w:rPr>
          <w:b/>
        </w:rPr>
        <w:t xml:space="preserve">SVOD: </w:t>
      </w:r>
      <w:r>
        <w:t>Subscription video on demand.</w:t>
      </w:r>
    </w:p>
    <w:p w14:paraId="0233ED97" w14:textId="77777777" w:rsidR="00854FCD" w:rsidRDefault="00000000">
      <w:r>
        <w:rPr>
          <w:b/>
        </w:rPr>
        <w:t xml:space="preserve">Incrementality: </w:t>
      </w:r>
      <w:r>
        <w:t>The lift that would not have happened without the campaign.</w:t>
      </w:r>
    </w:p>
    <w:sectPr w:rsidR="00854FCD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DDA0" w14:textId="77777777" w:rsidR="00DD3012" w:rsidRDefault="00DD3012" w:rsidP="00DE6325">
      <w:pPr>
        <w:spacing w:after="0" w:line="240" w:lineRule="auto"/>
      </w:pPr>
      <w:r>
        <w:separator/>
      </w:r>
    </w:p>
  </w:endnote>
  <w:endnote w:type="continuationSeparator" w:id="0">
    <w:p w14:paraId="2DC20BA3" w14:textId="77777777" w:rsidR="00DD3012" w:rsidRDefault="00DD3012" w:rsidP="00DE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BEC0" w14:textId="4DEA4354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25DC1C" wp14:editId="64F4BE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655591421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D008B" w14:textId="1E4AB634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5DC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B3D008B" w14:textId="1E4AB634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CC23" w14:textId="021B3949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716295" wp14:editId="135D57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6860457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2C2D4" w14:textId="66E93B8B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162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6AB2C2D4" w14:textId="66E93B8B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3671" w14:textId="18D4161D" w:rsidR="00DE6325" w:rsidRDefault="00DE63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61152E" wp14:editId="223CE4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97976549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873DE" w14:textId="6B120A20" w:rsidR="00DE6325" w:rsidRPr="00DE6325" w:rsidRDefault="00DE6325" w:rsidP="00DE63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63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115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EC873DE" w14:textId="6B120A20" w:rsidR="00DE6325" w:rsidRPr="00DE6325" w:rsidRDefault="00DE6325" w:rsidP="00DE63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63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2D184" w14:textId="77777777" w:rsidR="00DD3012" w:rsidRDefault="00DD3012" w:rsidP="00DE6325">
      <w:pPr>
        <w:spacing w:after="0" w:line="240" w:lineRule="auto"/>
      </w:pPr>
      <w:r>
        <w:separator/>
      </w:r>
    </w:p>
  </w:footnote>
  <w:footnote w:type="continuationSeparator" w:id="0">
    <w:p w14:paraId="77B814C4" w14:textId="77777777" w:rsidR="00DD3012" w:rsidRDefault="00DD3012" w:rsidP="00DE6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054532">
    <w:abstractNumId w:val="8"/>
  </w:num>
  <w:num w:numId="2" w16cid:durableId="107894682">
    <w:abstractNumId w:val="6"/>
  </w:num>
  <w:num w:numId="3" w16cid:durableId="1532302178">
    <w:abstractNumId w:val="5"/>
  </w:num>
  <w:num w:numId="4" w16cid:durableId="485821728">
    <w:abstractNumId w:val="4"/>
  </w:num>
  <w:num w:numId="5" w16cid:durableId="804810518">
    <w:abstractNumId w:val="7"/>
  </w:num>
  <w:num w:numId="6" w16cid:durableId="1168322361">
    <w:abstractNumId w:val="3"/>
  </w:num>
  <w:num w:numId="7" w16cid:durableId="916749881">
    <w:abstractNumId w:val="2"/>
  </w:num>
  <w:num w:numId="8" w16cid:durableId="66193477">
    <w:abstractNumId w:val="1"/>
  </w:num>
  <w:num w:numId="9" w16cid:durableId="175755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29639D"/>
    <w:rsid w:val="00326F90"/>
    <w:rsid w:val="00854FCD"/>
    <w:rsid w:val="00AA1D8D"/>
    <w:rsid w:val="00B47730"/>
    <w:rsid w:val="00CB0664"/>
    <w:rsid w:val="00DD3012"/>
    <w:rsid w:val="00DE6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8A226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5f98c138484bb494bbfb36bfceb44a6a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f7c6cbb307a47bd5922b034a76058d4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478624-FD66-46F8-8DA9-392BD30F4467}"/>
</file>

<file path=customXml/itemProps3.xml><?xml version="1.0" encoding="utf-8"?>
<ds:datastoreItem xmlns:ds="http://schemas.openxmlformats.org/officeDocument/2006/customXml" ds:itemID="{FDAD27B4-A9F2-4D0A-AEC9-F6BBEBF16965}"/>
</file>

<file path=customXml/itemProps4.xml><?xml version="1.0" encoding="utf-8"?>
<ds:datastoreItem xmlns:ds="http://schemas.openxmlformats.org/officeDocument/2006/customXml" ds:itemID="{E00AF74E-A3F6-4C86-B5B4-C33A3E82031D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5d700e5,62ae51fd,a0cb39d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