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55555"/>
          <w:sz w:val="24"/>
          <w:szCs w:val="24"/>
        </w:rPr>
        <w:t xml:space="preserve">Association de la Fraternité d'Elne</w:t>
      </w:r>
    </w:p>
    <w:p>
      <w:pPr>
        <w:spacing w:after="400"/>
        <w:jc w:val="center"/>
      </w:pPr>
      <w:r>
        <w:rPr>
          <w:i/>
          <w:iCs/>
          <w:color w:val="777777"/>
          <w:sz w:val="22"/>
          <w:szCs w:val="22"/>
        </w:rPr>
        <w:t xml:space="preserve">Programme pédagogique numérique – Année 1</w:t>
      </w:r>
    </w:p>
    <w:p>
      <w:pPr>
        <w:spacing w:after="200" w:before="800"/>
        <w:jc w:val="center"/>
      </w:pPr>
      <w:r>
        <w:rPr>
          <w:b/>
          <w:bCs/>
          <w:color w:val="0D9488"/>
          <w:sz w:val="96"/>
          <w:szCs w:val="96"/>
        </w:rPr>
        <w:t xml:space="preserve">حُرُوفِي</w:t>
      </w:r>
    </w:p>
    <w:p>
      <w:pPr>
        <w:spacing w:after="200"/>
        <w:jc w:val="center"/>
      </w:pPr>
      <w:r>
        <w:rPr>
          <w:b/>
          <w:bCs/>
          <w:color w:val="0D9488"/>
          <w:sz w:val="56"/>
          <w:szCs w:val="56"/>
        </w:rPr>
        <w:t xml:space="preserve">Hurûfî</w:t>
      </w:r>
    </w:p>
    <w:p>
      <w:pPr>
        <w:spacing w:after="800"/>
        <w:jc w:val="center"/>
      </w:pPr>
      <w:r>
        <w:rPr>
          <w:color w:val="333333"/>
          <w:sz w:val="28"/>
          <w:szCs w:val="28"/>
        </w:rPr>
        <w:t xml:space="preserve">Application web d'apprentissage de l'arabe – 6 à 8 ans</w:t>
      </w:r>
    </w:p>
    <w:p>
      <w:pPr>
        <w:spacing w:after="100" w:before="600"/>
        <w:jc w:val="center"/>
      </w:pPr>
      <w:r>
        <w:rPr>
          <w:b/>
          <w:bCs/>
          <w:sz w:val="32"/>
          <w:szCs w:val="32"/>
        </w:rPr>
        <w:t xml:space="preserve">Note de cadrage technique et fonctionnelle</w:t>
      </w:r>
    </w:p>
    <w:p>
      <w:pPr>
        <w:spacing w:after="600"/>
        <w:jc w:val="center"/>
      </w:pPr>
      <w:r>
        <w:rPr>
          <w:i/>
          <w:iCs/>
          <w:color w:val="777777"/>
          <w:sz w:val="24"/>
          <w:szCs w:val="24"/>
        </w:rPr>
        <w:t xml:space="preserve">Réalignement documentaire – Version 2.0</w:t>
      </w:r>
    </w:p>
    <w:p>
      <w:pPr>
        <w:spacing w:after="200" w:before="4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Référence document</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AFE-HUR-NOTE-001</w:t>
            </w:r>
          </w:p>
        </w:tc>
      </w:tr>
      <w:tr>
        <w:tc>
          <w:tcPr>
            <w:tcW w:type="dxa" w:w="3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Version</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2.0 – Mai 2026</w:t>
            </w:r>
          </w:p>
        </w:tc>
      </w:tr>
      <w:tr>
        <w:tc>
          <w:tcPr>
            <w:tcW w:type="dxa" w:w="3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Statut</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Document de référence – remplace v1.0</w:t>
            </w:r>
          </w:p>
        </w:tc>
      </w:tr>
      <w:tr>
        <w:tc>
          <w:tcPr>
            <w:tcW w:type="dxa" w:w="3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Rédaction</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Youssef Najih</w:t>
            </w:r>
          </w:p>
        </w:tc>
      </w:tr>
      <w:tr>
        <w:tc>
          <w:tcPr>
            <w:tcW w:type="dxa" w:w="3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Validation pédagogique</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 El Hassane Kaddouri (à confirmer)</w:t>
            </w:r>
          </w:p>
        </w:tc>
      </w:tr>
      <w:tr>
        <w:tc>
          <w:tcPr>
            <w:tcW w:type="dxa" w:w="3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Diffusion</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Direction pédagogique AFE, équipe technique, prestataires</w:t>
            </w:r>
          </w:p>
        </w:tc>
      </w:tr>
    </w:tbl>
    <w:p>
      <w:r>
        <w:br w:type="page"/>
      </w:r>
    </w:p>
    <w:p>
      <w:pPr>
        <w:pStyle w:val="Heading1"/>
        <w:spacing w:after="200" w:before="320"/>
      </w:pPr>
      <w:r>
        <w:t xml:space="preserve">Note préliminaire – Pourquoi ce document remplace les précédents</w:t>
      </w:r>
    </w:p>
    <w:p>
      <w:pPr>
        <w:spacing w:after="120" w:line="300"/>
        <w:jc w:val="both"/>
      </w:pPr>
      <w:r>
        <w:t xml:space="preserve">Cette note remplace et annule trois documents antérieurs jugés incohérents avec l'état réel du projet :</w:t>
      </w:r>
    </w:p>
    <w:p>
      <w:pPr>
        <w:pStyle w:val="ListParagraph"/>
        <w:numPr>
          <w:ilvl w:val="0"/>
          <w:numId w:val="2"/>
        </w:numPr>
        <w:spacing w:after="60" w:line="280"/>
      </w:pPr>
      <w:r>
        <w:t xml:space="preserve">RESUME_EXECUTIF.md (v1.0, avril 2026)</w:t>
      </w:r>
    </w:p>
    <w:p>
      <w:pPr>
        <w:pStyle w:val="ListParagraph"/>
        <w:numPr>
          <w:ilvl w:val="0"/>
          <w:numId w:val="2"/>
        </w:numPr>
        <w:spacing w:after="60" w:line="280"/>
      </w:pPr>
      <w:r>
        <w:t xml:space="preserve">SPECIFICATIONS_APP_ARABE.md (v1.0, avril 2026)</w:t>
      </w:r>
    </w:p>
    <w:p>
      <w:pPr>
        <w:pStyle w:val="ListParagraph"/>
        <w:numPr>
          <w:ilvl w:val="0"/>
          <w:numId w:val="2"/>
        </w:numPr>
        <w:spacing w:after="60" w:line="280"/>
      </w:pPr>
      <w:r>
        <w:t xml:space="preserve">plan_developpement_LearnHub.md (v1.0, 2026)</w:t>
      </w:r>
    </w:p>
    <w:p>
      <w:pPr>
        <w:spacing w:after="120" w:line="300"/>
        <w:jc w:val="both"/>
      </w:pPr>
      <w:r>
        <w:t xml:space="preserve">L'incohérence majeure tient à la pile technique décrite. Les trois documents annoncent une application bâtie sur Bubble.io (no-code) avec base de données Airtable, pour un coût d'environ 10 € par an. La réalité du dépôt est tout autre : il s'agit d'une application web React 18 avec Vite, Zustand, Tailwind CSS et stockage local navigateur (localStorage), sans backend ni service Bubble. Aucun fichier du dépôt ne fait référence à Bubble ou Airtable. Le développement a donc pivoté à un moment du projet sans que la documentation suive.</w:t>
      </w:r>
    </w:p>
    <w:p>
      <w:pPr>
        <w:spacing w:after="120" w:line="300"/>
        <w:jc w:val="both"/>
      </w:pPr>
      <w:r>
        <w:rPr>
          <w:i/>
          <w:iCs/>
        </w:rPr>
        <w:t xml:space="preserve">Ce document rétablit la vérité technique, énumère sans complaisance les écarts entre les ambitions affichées et les livrables effectivement présents, et fixe le périmètre réel du minimum viable pour la rentrée de septembre 2026.</w:t>
      </w:r>
    </w:p>
    <w:p>
      <w:r>
        <w:br w:type="page"/>
      </w:r>
    </w:p>
    <w:p>
      <w:pPr>
        <w:pStyle w:val="Heading1"/>
        <w:spacing w:after="200" w:before="320"/>
      </w:pPr>
      <w:r>
        <w:t xml:space="preserve">1. Identité et finalité du projet</w:t>
      </w:r>
    </w:p>
    <w:p>
      <w:pPr>
        <w:pStyle w:val="Heading2"/>
        <w:spacing w:after="140" w:before="240"/>
      </w:pPr>
      <w:r>
        <w:t xml:space="preserve">1.1 Désignation</w:t>
      </w:r>
    </w:p>
    <w:p>
      <w:pPr>
        <w:spacing w:after="120" w:line="300"/>
        <w:jc w:val="both"/>
      </w:pPr>
      <w:r>
        <w:t xml:space="preserve">Le projet porte deux noms qui apparaissent indifféremment dans la documentation et le code : Hurûfî (حُرُوفِي), qui est le nom arabe utilisé dans l'interface, et LearnHub Kids, qui est le nom commercial provisoire utilisé dans la documentation. La présente note retient Hurûfî comme nom de référence. LearnHub Kids reste acceptable en communication externe francophone.</w:t>
      </w:r>
    </w:p>
    <w:p>
      <w:pPr>
        <w:pStyle w:val="Heading2"/>
        <w:spacing w:after="140" w:before="240"/>
      </w:pPr>
      <w:r>
        <w:t xml:space="preserve">1.2 Finalité pédagogique</w:t>
      </w:r>
    </w:p>
    <w:p>
      <w:pPr>
        <w:spacing w:after="120" w:line="300"/>
        <w:jc w:val="both"/>
      </w:pPr>
      <w:r>
        <w:t xml:space="preserve">Hurûfî est une application web pédagogique destinée à des enfants non-arabophones âgés de 6 à 8 ans, dans le cadre du programme Année 1 de l'école d'arabe de l'Association de la Fraternité d'Elne. L'application complète l'enseignement en présentiel par des exercices ludiques utilisables en classe et à la maison.</w:t>
      </w:r>
    </w:p>
    <w:p>
      <w:pPr>
        <w:spacing w:after="120" w:line="300"/>
        <w:jc w:val="both"/>
      </w:pPr>
      <w:r>
        <w:t xml:space="preserve">Les compétences visées par le minimum viable sont les suivantes :</w:t>
      </w:r>
    </w:p>
    <w:p>
      <w:pPr>
        <w:pStyle w:val="ListParagraph"/>
        <w:numPr>
          <w:ilvl w:val="0"/>
          <w:numId w:val="2"/>
        </w:numPr>
        <w:spacing w:after="60" w:line="280"/>
      </w:pPr>
      <w:r>
        <w:t xml:space="preserve">reconnaissance auditive et visuelle des douze lettres prioritaires (sans points diacritiques)</w:t>
      </w:r>
    </w:p>
    <w:p>
      <w:pPr>
        <w:pStyle w:val="ListParagraph"/>
        <w:numPr>
          <w:ilvl w:val="0"/>
          <w:numId w:val="2"/>
        </w:numPr>
        <w:spacing w:after="60" w:line="280"/>
      </w:pPr>
      <w:r>
        <w:t xml:space="preserve">discrimination des six paires phonémiques critiques (ح/ه, ع/أ, ص/س, ض/د, ط/ت, ق/ك)</w:t>
      </w:r>
    </w:p>
    <w:p>
      <w:pPr>
        <w:pStyle w:val="ListParagraph"/>
        <w:numPr>
          <w:ilvl w:val="0"/>
          <w:numId w:val="2"/>
        </w:numPr>
        <w:spacing w:after="60" w:line="280"/>
      </w:pPr>
      <w:r>
        <w:t xml:space="preserve">acquisition d'un lexique de base structuré en douze catégories thématiques (environ cent mots au total dans le code, dont une vingtaine constitue le socle prioritaire)</w:t>
      </w:r>
    </w:p>
    <w:p>
      <w:pPr>
        <w:pStyle w:val="ListParagraph"/>
        <w:numPr>
          <w:ilvl w:val="0"/>
          <w:numId w:val="2"/>
        </w:numPr>
        <w:spacing w:after="60" w:line="280"/>
      </w:pPr>
      <w:r>
        <w:t xml:space="preserve">tracé manuscrit des douze lettres prioritaires</w:t>
      </w:r>
    </w:p>
    <w:p>
      <w:pPr>
        <w:pStyle w:val="ListParagraph"/>
        <w:numPr>
          <w:ilvl w:val="0"/>
          <w:numId w:val="2"/>
        </w:numPr>
        <w:spacing w:after="60" w:line="280"/>
      </w:pPr>
      <w:r>
        <w:t xml:space="preserve">compréhension de quatre micro-dialogues de classe</w:t>
      </w:r>
    </w:p>
    <w:p>
      <w:pPr>
        <w:pStyle w:val="Heading2"/>
        <w:spacing w:after="140" w:before="240"/>
      </w:pPr>
      <w:r>
        <w:t xml:space="preserve">1.3 Public et contexte d'usage</w:t>
      </w:r>
    </w:p>
    <w:p>
      <w:pPr>
        <w:spacing w:after="120" w:line="300"/>
        <w:jc w:val="both"/>
      </w:pPr>
      <w:r>
        <w:t xml:space="preserve">Le public initial est restreint : quatre enfants encadrés par deux enseignantes. L'usage cible est mixte, à parts égales entre la salle de classe et la révision à domicile. Les supports matériels visés sont les tablettes (iPad et Android) et les smartphones, sans contrainte de version récente. L'application doit fonctionner avec une connexion réseau intermittente, ce qui implique à terme un fonctionnement hors-ligne.</w:t>
      </w:r>
    </w:p>
    <w:p>
      <w:pPr>
        <w:pStyle w:val="Heading1"/>
        <w:spacing w:after="200" w:before="320"/>
      </w:pPr>
      <w:r>
        <w:t xml:space="preserve">2. Pile technique réelle</w:t>
      </w:r>
    </w:p>
    <w:p>
      <w:pPr>
        <w:spacing w:after="120" w:line="300"/>
        <w:jc w:val="both"/>
      </w:pPr>
      <w:r>
        <w:t xml:space="preserve">Le tableau ci-dessous documente la pile effectivement présente dans le dépôt, à distinguer de la pile no-code décrite dans la documentation antérieure.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Couche</w:t>
            </w:r>
          </w:p>
        </w:tc>
        <w:tc>
          <w:tcPr>
            <w:tcW w:type="dxa" w:w="35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Technologie réelle (dépôt)</w:t>
            </w:r>
          </w:p>
        </w:tc>
        <w:tc>
          <w:tcPr>
            <w:tcW w:type="dxa" w:w="336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Ancienne mention (à abandonner)</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Frontend</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React 18, Vite, HashRouter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Bubble.io</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Styles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Tailwind CSS 3, PostCSS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CSS Bubble natif</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État applicatif</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Zustand avec middleware persist</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Airtable (lecture-écriture)</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Persistance</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localStorage navigateur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Airtable cloud</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Animations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Framer Motion 11</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non applicable</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Génération PDF</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jsPDF + jsPDF-AutoTable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non applicable</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Icônes</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Lucide React</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Bubble icons</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QR Code</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qrcode.react</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non applicable</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Audio (fallback)</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Web Speech API (TTS navigateur)</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non applicable</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Backend</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aucun – application 100 % côté client</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Bubble + Airtable</w:t>
            </w:r>
          </w:p>
        </w:tc>
      </w:tr>
      <w:tr>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Hébergement</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à définir (statique : Netlify, Vercel, OVH…)</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URL Bubble</w:t>
            </w:r>
          </w:p>
        </w:tc>
      </w:tr>
    </w:tbl>
    <w:p>
      <w:pPr>
        <w:pStyle w:val="Heading2"/>
        <w:spacing w:after="140" w:before="240"/>
      </w:pPr>
      <w:r>
        <w:t xml:space="preserve">2.1 Conséquences du choix React</w:t>
      </w:r>
    </w:p>
    <w:p>
      <w:pPr>
        <w:spacing w:after="120" w:line="300"/>
        <w:jc w:val="both"/>
      </w:pPr>
      <w:r>
        <w:t xml:space="preserve">Le choix d'une application React purement cliente, sans backend, a des conséquences à assumer et à documenter clairement auprès de toute personne reprenant le projet.</w:t>
      </w:r>
    </w:p>
    <w:p>
      <w:pPr>
        <w:pStyle w:val="ListParagraph"/>
        <w:numPr>
          <w:ilvl w:val="0"/>
          <w:numId w:val="2"/>
        </w:numPr>
        <w:spacing w:after="60" w:line="280"/>
      </w:pPr>
      <w:r>
        <w:t xml:space="preserve">Les données de progression des enfants ne quittent pas le navigateur. Effacer le cache ou changer d'appareil supprime tout l'historique.</w:t>
      </w:r>
    </w:p>
    <w:p>
      <w:pPr>
        <w:pStyle w:val="ListParagraph"/>
        <w:numPr>
          <w:ilvl w:val="0"/>
          <w:numId w:val="2"/>
        </w:numPr>
        <w:spacing w:after="60" w:line="280"/>
      </w:pPr>
      <w:r>
        <w:t xml:space="preserve">Aucun suivi centralisé n'est possible côté enseignantes sans intervention manuelle (export, partage, capture).</w:t>
      </w:r>
    </w:p>
    <w:p>
      <w:pPr>
        <w:pStyle w:val="ListParagraph"/>
        <w:numPr>
          <w:ilvl w:val="0"/>
          <w:numId w:val="2"/>
        </w:numPr>
        <w:spacing w:after="60" w:line="280"/>
      </w:pPr>
      <w:r>
        <w:t xml:space="preserve">Aucune authentification réelle. Le système de profils est un choix de nom et d'avatar, sans mot de passe ni isolation entre utilisateurs partageant la même tablette.</w:t>
      </w:r>
    </w:p>
    <w:p>
      <w:pPr>
        <w:pStyle w:val="ListParagraph"/>
        <w:numPr>
          <w:ilvl w:val="0"/>
          <w:numId w:val="2"/>
        </w:numPr>
        <w:spacing w:after="60" w:line="280"/>
      </w:pPr>
      <w:r>
        <w:t xml:space="preserve">L'application peut être déployée comme simple site statique, ce qui ramène le coût d'hébergement à zéro ou quasi-zéro (Netlify, Vercel, Cloudflare Pages en plan gratuit conviennent).</w:t>
      </w:r>
    </w:p>
    <w:p>
      <w:pPr>
        <w:pStyle w:val="Heading2"/>
        <w:spacing w:after="140" w:before="240"/>
      </w:pPr>
      <w:r>
        <w:t xml:space="preserve">2.2 Versions des dépendances – point de vigilance</w:t>
      </w:r>
    </w:p>
    <w:p>
      <w:pPr>
        <w:spacing w:after="120" w:line="300"/>
        <w:jc w:val="both"/>
      </w:pPr>
      <w:r>
        <w:t xml:space="preserve">Le fichier package.json contient des numéros de version inhabituels qui méritent vérification avant tout npm install dans un environnement neuf. À titre d'exemples : vite est déclaré en version 8.x alors que la branche stable publique est en v6 ; lucide-react est déclaré en 1.14.x alors que la branche actuelle est en 0.46x ; jspdf est déclaré en 4.x alors que la version stable est 2.x. Soit le package-lock.json verrouille effectivement des versions cohérentes et le package.json contient des erreurs d'écriture sans conséquence, soit il y a un problème réel à résoudre. Une régénération complète des dépendances dans un environnement Node.js propre est recommandée comme première action technique.</w:t>
      </w:r>
    </w:p>
    <w:p>
      <w:r>
        <w:br w:type="page"/>
      </w:r>
    </w:p>
    <w:p>
      <w:pPr>
        <w:pStyle w:val="Heading1"/>
        <w:spacing w:after="200" w:before="320"/>
      </w:pPr>
      <w:r>
        <w:t xml:space="preserve">3. Périmètre fonctionnel réel</w:t>
      </w:r>
    </w:p>
    <w:p>
      <w:pPr>
        <w:spacing w:after="120" w:line="300"/>
        <w:jc w:val="both"/>
      </w:pPr>
      <w:r>
        <w:t xml:space="preserve">Le périmètre effectivement implémenté dépasse le MVP annoncé. La documentation initiale prévoyait cinq exercices ; le code en propose sept, plus un dashboard enseignant et une galerie de badges.</w:t>
      </w:r>
    </w:p>
    <w:p>
      <w:pPr>
        <w:pStyle w:val="Heading2"/>
        <w:spacing w:after="140" w:before="240"/>
      </w:pPr>
      <w:r>
        <w:t xml:space="preserve">3.1 Pages applicatives présentes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Page</w:t>
            </w:r>
          </w:p>
        </w:tc>
        <w:tc>
          <w:tcPr>
            <w:tcW w:type="dxa" w:w="2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Lignes de code</w:t>
            </w:r>
          </w:p>
        </w:tc>
        <w:tc>
          <w:tcPr>
            <w:tcW w:type="dxa" w:w="436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Niveau de maturité</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Accueil (sélection profil)</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342</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Mûre – création/sélection d'enfant fonctionnelle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Modules (menu principal)</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104</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Mûre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Écoute et reconnaissance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228</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Mûre – dépend des audios manquants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Memory des lettres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162</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Mûre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Distinction des phonèmes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214</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Bancale – architecture audio à revoir (cf. section 4)</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Traçage des lettres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203</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Fonctionnelle – validation pédagogique faible (cf. section 4)</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Flashcards vocabulaire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171</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Mûre – dépend des audios manquants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Conversation (dialogues)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230</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Mûre – ajout par rapport au MVP initial</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Tableau de bord enfant</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120</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Mûre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Galerie de badges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113</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Mûre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Dashboard enseignante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1 156</w:t>
            </w:r>
          </w:p>
        </w:tc>
        <w:tc>
          <w:tcPr>
            <w:tcW w:type="dxa" w:w="4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Sur-dimensionnée – cf. section 4.5</w:t>
            </w:r>
          </w:p>
        </w:tc>
      </w:tr>
    </w:tbl>
    <w:p>
      <w:pPr>
        <w:pStyle w:val="Heading2"/>
        <w:spacing w:after="140" w:before="240"/>
      </w:pPr>
      <w:r>
        <w:t xml:space="preserve">3.2 Données pédagogiques présentes dans le code</w:t>
      </w:r>
    </w:p>
    <w:p>
      <w:pPr>
        <w:spacing w:after="120" w:line="300"/>
        <w:jc w:val="both"/>
      </w:pPr>
      <w:r>
        <w:t xml:space="preserve">Les fichiers data/ contiennent un contenu plus riche que ce qui était initialement annoncé :</w:t>
      </w:r>
    </w:p>
    <w:p>
      <w:pPr>
        <w:pStyle w:val="ListParagraph"/>
        <w:numPr>
          <w:ilvl w:val="0"/>
          <w:numId w:val="2"/>
        </w:numPr>
        <w:spacing w:after="60" w:line="280"/>
      </w:pPr>
      <w:r>
        <w:t xml:space="preserve">alphabet.js : les 28 lettres complètes, dont 12 marquées prioritaires, avec translittération, son et chemin audio attendu</w:t>
      </w:r>
    </w:p>
    <w:p>
      <w:pPr>
        <w:pStyle w:val="ListParagraph"/>
        <w:numPr>
          <w:ilvl w:val="0"/>
          <w:numId w:val="2"/>
        </w:numPr>
        <w:spacing w:after="60" w:line="280"/>
      </w:pPr>
      <w:r>
        <w:t xml:space="preserve">phonemes.js : 6 paires avec type articulatoire et astuce mnémotechnique</w:t>
      </w:r>
    </w:p>
    <w:p>
      <w:pPr>
        <w:pStyle w:val="ListParagraph"/>
        <w:numPr>
          <w:ilvl w:val="0"/>
          <w:numId w:val="2"/>
        </w:numPr>
        <w:spacing w:after="60" w:line="280"/>
      </w:pPr>
      <w:r>
        <w:t xml:space="preserve">vocabulaire.js : environ 100 mots répartis en 12 catégories (couleurs, nombres, salutations, classe, animaux, famille, émotions, corps, nourriture, consignes, vocabulaire religieux, mots-outils)</w:t>
      </w:r>
    </w:p>
    <w:p>
      <w:pPr>
        <w:pStyle w:val="ListParagraph"/>
        <w:numPr>
          <w:ilvl w:val="0"/>
          <w:numId w:val="2"/>
        </w:numPr>
        <w:spacing w:after="60" w:line="280"/>
      </w:pPr>
      <w:r>
        <w:t xml:space="preserve">conversations.js : 4 dialogues de 2 tours chacun (salutations, présentation, émotions, en classe)</w:t>
      </w:r>
    </w:p>
    <w:p>
      <w:pPr>
        <w:pStyle w:val="ListParagraph"/>
        <w:numPr>
          <w:ilvl w:val="0"/>
          <w:numId w:val="2"/>
        </w:numPr>
        <w:spacing w:after="60" w:line="280"/>
      </w:pPr>
      <w:r>
        <w:t xml:space="preserve">badges.js : 5 badges (reconnaissance, sons, vocabulaire, traçage, assiduité hebdomadaire)</w:t>
      </w:r>
    </w:p>
    <w:p>
      <w:pPr>
        <w:spacing w:after="120" w:line="300"/>
        <w:jc w:val="both"/>
      </w:pPr>
      <w:r>
        <w:t xml:space="preserve">Une partie seulement de ce contenu correspond aux ressources réellement présentes. Les images couvrent les animaux (6), les objets de classe (10), la famille (1 sur 6), et la nourriture (5 sur 8). Les catégories couleurs, nombres, salutations, émotions, corps, consignes, vocabulaire religieux et mots-outils n'ont aucune illustration. Les fichiers audio sont absents en totalité (cf. section 4.1).</w:t>
      </w:r>
    </w:p>
    <w:p>
      <w:r>
        <w:br w:type="page"/>
      </w:r>
    </w:p>
    <w:p>
      <w:pPr>
        <w:pStyle w:val="Heading1"/>
        <w:spacing w:after="200" w:before="320"/>
      </w:pPr>
      <w:r>
        <w:t xml:space="preserve">4. Écarts critiques entre l'application livrée et l'application utilisable</w:t>
      </w:r>
    </w:p>
    <w:p>
      <w:pPr>
        <w:spacing w:after="120" w:line="300"/>
        <w:jc w:val="both"/>
      </w:pPr>
      <w:r>
        <w:rPr>
          <w:i/>
          <w:iCs/>
        </w:rPr>
        <w:t xml:space="preserve">Cinq écarts sont identifiés. Les deux premiers sont bloquants pour la mise en service prévue en septembre 2026. Les trois suivants sont à corriger avant une diffusion plus large.</w:t>
      </w:r>
    </w:p>
    <w:p>
      <w:pPr>
        <w:pStyle w:val="Heading2"/>
        <w:spacing w:after="140" w:before="240"/>
      </w:pPr>
      <w:r>
        <w:t xml:space="preserve">4.1 Écart bloquant n° 1 : aucune ressource audio livrée</w:t>
      </w:r>
    </w:p>
    <w:p>
      <w:pPr>
        <w:spacing w:after="120" w:line="300"/>
        <w:jc w:val="both"/>
      </w:pPr>
      <w:r>
        <w:t xml:space="preserve">Le code référence environ cent vingt fichiers audio MP3 : 28 lettres, 6 paires phonémiques, environ 80 mots de vocabulaire, 8 énoncés de conversation. Le dépôt ne contient aucun de ces fichiers — uniquement deux fichiers .gitkeep marquant les dossiers vides.</w:t>
      </w:r>
    </w:p>
    <w:p>
      <w:pPr>
        <w:spacing w:after="120" w:line="300"/>
        <w:jc w:val="both"/>
      </w:pPr>
      <w:r>
        <w:t xml:space="preserve">Le fallback prévu en cas d'absence de fichier est l'API Web Speech du navigateur. Pour la langue arabe, le résultat est variable selon le système d'exploitation et le navigateur, la voix est synthétique, la prononciation peut être approximative et le débit n'est pas paramétré pour un enfant débutant. Ce fallback est acceptable en mode dégradé pour la démonstration, il n'est pas acceptable pour l'usage cible auprès des enfants en classe.</w:t>
      </w:r>
    </w:p>
    <w:p>
      <w:pPr>
        <w:spacing w:after="120" w:line="300"/>
        <w:jc w:val="both"/>
      </w:pPr>
      <w:r>
        <w:rPr>
          <w:b/>
          <w:bCs/>
        </w:rPr>
        <w:t xml:space="preserve">Sans audios, l'objectif pédagogique principal de l'application — la reconnaissance auditive — ne peut pas être atteint. Il s'agit du bloquant numéro un du projet, à traiter en priorité avant tout autre développement.</w:t>
      </w:r>
    </w:p>
    <w:p>
      <w:pPr>
        <w:pStyle w:val="Heading2"/>
        <w:spacing w:after="140" w:before="240"/>
      </w:pPr>
      <w:r>
        <w:t xml:space="preserve">4.2 Écart bloquant n° 2 : exercice « Distinction des phonèmes » mal architecturé</w:t>
      </w:r>
    </w:p>
    <w:p>
      <w:pPr>
        <w:spacing w:after="120" w:line="300"/>
        <w:jc w:val="both"/>
      </w:pPr>
      <w:r>
        <w:t xml:space="preserve">L'exercice demande à l'enfant de discriminer deux sons proches (par exemple ح versus ه). Le code charge un seul fichier audio par paire, nommé phoneme_01_haa_vs_ha.mp3. Trois interprétations sont possibles, toutes problématiques :</w:t>
      </w:r>
    </w:p>
    <w:p>
      <w:pPr>
        <w:pStyle w:val="ListParagraph"/>
        <w:numPr>
          <w:ilvl w:val="0"/>
          <w:numId w:val="2"/>
        </w:numPr>
        <w:spacing w:after="60" w:line="280"/>
      </w:pPr>
      <w:r>
        <w:t xml:space="preserve">le fichier contient les deux sons consécutivement, ce qui empêche un test discriminatif (l'enfant entend les deux, le QCM n'a plus de sens)</w:t>
      </w:r>
    </w:p>
    <w:p>
      <w:pPr>
        <w:pStyle w:val="ListParagraph"/>
        <w:numPr>
          <w:ilvl w:val="0"/>
          <w:numId w:val="2"/>
        </w:numPr>
        <w:spacing w:after="60" w:line="280"/>
      </w:pPr>
      <w:r>
        <w:t xml:space="preserve">le fichier ne contient qu'un seul son aléatoire, ce qui force une mémorisation par texture sonore et non par discrimination phonémique</w:t>
      </w:r>
    </w:p>
    <w:p>
      <w:pPr>
        <w:pStyle w:val="ListParagraph"/>
        <w:numPr>
          <w:ilvl w:val="0"/>
          <w:numId w:val="2"/>
        </w:numPr>
        <w:spacing w:after="60" w:line="280"/>
      </w:pPr>
      <w:r>
        <w:t xml:space="preserve">le fichier n'existe pas et le TTS s'exécute deux fois sur des caractères différents, ce qui donne un résultat techniquement incontrôlé</w:t>
      </w:r>
    </w:p>
    <w:p>
      <w:pPr>
        <w:spacing w:after="120" w:line="300"/>
        <w:jc w:val="both"/>
      </w:pPr>
      <w:r>
        <w:t xml:space="preserve">Le modèle de données et l'interface doivent être revus pour gérer deux fichiers audio par paire (un par lettre), avec idéalement plusieurs prononciations par lettre afin d'éviter la mémorisation parasite. Cette correction conditionne la valeur pédagogique de l'un des trois exercices clés.</w:t>
      </w:r>
    </w:p>
    <w:p>
      <w:pPr>
        <w:pStyle w:val="Heading2"/>
        <w:spacing w:after="140" w:before="240"/>
      </w:pPr>
      <w:r>
        <w:t xml:space="preserve">4.3 Écart critique n° 3 : validation du traçage triviale</w:t>
      </w:r>
    </w:p>
    <w:p>
      <w:pPr>
        <w:spacing w:after="120" w:line="300"/>
        <w:jc w:val="both"/>
      </w:pPr>
      <w:r>
        <w:t xml:space="preserve">L'exercice de traçage valide la production de l'enfant sur un seul critère : la présence d'au moins 800 pixels colorés sur le canvas. Aucune comparaison de forme, aucune vérification du sens d'écriture (droite vers gauche), aucun contrôle de l'ordre des traits. Un enfant peut donc valider une lettre en gribouillant n'importe où sur la surface.</w:t>
      </w:r>
    </w:p>
    <w:p>
      <w:pPr>
        <w:spacing w:after="120" w:line="300"/>
        <w:jc w:val="both"/>
      </w:pPr>
      <w:r>
        <w:t xml:space="preserve">Pour une application d'apprentissage de l'arabe, cette validation est un faux signal pédagogique. Plusieurs niveaux d'amélioration sont possibles, du plus simple au plus rigoureux : superposition d'un masque alpha de la lettre cible avec calcul de recouvrement, contrôle de la trajectoire par échantillonnage de points le long d'une courbe de référence, ou approche par bibliothèque spécialisée (HanziWriter adapté ou équivalent). Le premier niveau suffit pour le minimum viable de septembre 2026.</w:t>
      </w:r>
    </w:p>
    <w:p>
      <w:pPr>
        <w:pStyle w:val="Heading2"/>
        <w:spacing w:after="140" w:before="240"/>
      </w:pPr>
      <w:r>
        <w:t xml:space="preserve">4.4 Écart sensible n° 4 : pas de Progressive Web App fonctionnelle</w:t>
      </w:r>
    </w:p>
    <w:p>
      <w:pPr>
        <w:spacing w:after="120" w:line="300"/>
        <w:jc w:val="both"/>
      </w:pPr>
      <w:r>
        <w:t xml:space="preserve">La documentation et le brief freelance annoncent une Progressive Web App (PWA). En réalité, l'application n'est pas une PWA : il manque le fichier manifest.json, il manque le service worker, et aucune mise en cache des ressources n'est configurée. L'application requiert donc une connexion réseau permanente, ce qui contredit l'usage cible (classe et maison, connexions intermittentes) et compromet la performance globale, notamment lors du chargement des futurs fichiers audio.</w:t>
      </w:r>
    </w:p>
    <w:p>
      <w:pPr>
        <w:spacing w:after="120" w:line="300"/>
        <w:jc w:val="both"/>
      </w:pPr>
      <w:r>
        <w:t xml:space="preserve">La transformation en PWA est techniquement légère : ajout du plugin vite-plugin-pwa, configuration d'un manifest, déclaration d'une stratégie de cache pour les ressources audio et image. Effort estimé : une demi-journée.</w:t>
      </w:r>
    </w:p>
    <w:p>
      <w:pPr>
        <w:pStyle w:val="Heading2"/>
        <w:spacing w:after="140" w:before="240"/>
      </w:pPr>
      <w:r>
        <w:t xml:space="preserve">4.5 Écart de proportion n° 5 : Dashboard enseignante sur-dimensionné</w:t>
      </w:r>
    </w:p>
    <w:p>
      <w:pPr>
        <w:spacing w:after="120" w:line="300"/>
        <w:jc w:val="both"/>
      </w:pPr>
      <w:r>
        <w:t xml:space="preserve">Le fichier DashboardMaitresse.jsx compte 1 156 lignes, soit environ un tiers du code de pages de l'application. Il intègre un système de code PIN, la génération de diplômes PDF personnalisés, l'export de résultats, et plusieurs vues analytiques. L'utilité réelle de cet ensemble pour deux enseignantes suivant quatre enfants est à interroger.</w:t>
      </w:r>
    </w:p>
    <w:p>
      <w:pPr>
        <w:spacing w:after="120" w:line="300"/>
        <w:jc w:val="both"/>
      </w:pPr>
      <w:r>
        <w:t xml:space="preserve">Sans remettre en cause la qualité du travail réalisé, il est suggéré pour le minimum viable de septembre 2026 de geler une partie des fonctionnalités secondaires (diplômes PDF, analyses fines) et de ne conserver que la vue de progression simple. Le reste pourra être réactivé pour une version 2 sur la base d'un retour réel des enseignantes après quelques mois d'usage.</w:t>
      </w:r>
    </w:p>
    <w:p>
      <w:pPr>
        <w:pStyle w:val="Heading2"/>
        <w:spacing w:after="140" w:before="240"/>
      </w:pPr>
      <w:r>
        <w:t xml:space="preserve">4.6 Point de vigilance juridique : avatars</w:t>
      </w:r>
    </w:p>
    <w:p>
      <w:pPr>
        <w:spacing w:after="120" w:line="300"/>
        <w:jc w:val="both"/>
      </w:pPr>
      <w:r>
        <w:t xml:space="preserve">Le dossier app/public/assets/avatars contient douze fichiers PNG nommés sindbad.png, aladin.png, jasmine.png, lion_boy.png et autres. Si ces illustrations sont inspirées ou dérivées de personnages Disney ou d'autres franchises protégées, l'application ne peut pas être distribuée publiquement sans risque juridique sérieux. Une vérification visuelle et, si nécessaire, un remplacement par des avatars originaux ou des illustrations sous licence libre (par exemple OpenMoji, Twemoji) sont à conduire avant tout déploiement au-delà du cercle restreint des quatre enfants pilotes.</w:t>
      </w:r>
    </w:p>
    <w:p>
      <w:r>
        <w:br w:type="page"/>
      </w:r>
    </w:p>
    <w:p>
      <w:pPr>
        <w:pStyle w:val="Heading1"/>
        <w:spacing w:after="200" w:before="320"/>
      </w:pPr>
      <w:r>
        <w:t xml:space="preserve">5. Plan d'action recalé sur la réalité</w:t>
      </w:r>
    </w:p>
    <w:p>
      <w:pPr>
        <w:spacing w:after="120" w:line="300"/>
        <w:jc w:val="both"/>
      </w:pPr>
      <w:r>
        <w:t xml:space="preserve">Le plan suivant remplace les plannings antérieurs (semaine 1 / semaine 2 / semaine 3 du document de spécifications, et phases 1 à 5 du plan de développement LearnHub). Il prend pour acquis que la majeure partie du code applicatif est déjà écrite.</w:t>
      </w:r>
    </w:p>
    <w:p>
      <w:pPr>
        <w:pStyle w:val="Heading2"/>
        <w:spacing w:after="140" w:before="240"/>
      </w:pPr>
      <w:r>
        <w:t xml:space="preserve">5.1 Phase A – Stabilisation technique (1 semaine)</w:t>
      </w:r>
    </w:p>
    <w:p>
      <w:pPr>
        <w:pStyle w:val="ListParagraph"/>
        <w:numPr>
          <w:ilvl w:val="0"/>
          <w:numId w:val="2"/>
        </w:numPr>
        <w:spacing w:after="60" w:line="280"/>
      </w:pPr>
      <w:r>
        <w:t xml:space="preserve">Régénération de l'environnement Node.js et correction des versions de dépendances déclarées</w:t>
      </w:r>
    </w:p>
    <w:p>
      <w:pPr>
        <w:pStyle w:val="ListParagraph"/>
        <w:numPr>
          <w:ilvl w:val="0"/>
          <w:numId w:val="2"/>
        </w:numPr>
        <w:spacing w:after="60" w:line="280"/>
      </w:pPr>
      <w:r>
        <w:t xml:space="preserve">Vérification de la construction Vite et du déploiement statique cible</w:t>
      </w:r>
    </w:p>
    <w:p>
      <w:pPr>
        <w:pStyle w:val="ListParagraph"/>
        <w:numPr>
          <w:ilvl w:val="0"/>
          <w:numId w:val="2"/>
        </w:numPr>
        <w:spacing w:after="60" w:line="280"/>
      </w:pPr>
      <w:r>
        <w:t xml:space="preserve">Vérification de la nature des avatars (originalité juridique)</w:t>
      </w:r>
    </w:p>
    <w:p>
      <w:pPr>
        <w:pStyle w:val="ListParagraph"/>
        <w:numPr>
          <w:ilvl w:val="0"/>
          <w:numId w:val="2"/>
        </w:numPr>
        <w:spacing w:after="60" w:line="280"/>
      </w:pPr>
      <w:r>
        <w:t xml:space="preserve">Mise en place de la PWA (manifest, service worker, cache des ressources)</w:t>
      </w:r>
    </w:p>
    <w:p>
      <w:pPr>
        <w:pStyle w:val="Heading2"/>
        <w:spacing w:after="140" w:before="240"/>
      </w:pPr>
      <w:r>
        <w:t xml:space="preserve">5.2 Phase B – Production des ressources audio (2 à 3 semaines)</w:t>
      </w:r>
    </w:p>
    <w:p>
      <w:pPr>
        <w:spacing w:after="120" w:line="300"/>
        <w:jc w:val="both"/>
      </w:pPr>
      <w:r>
        <w:t xml:space="preserve">Deux scénarios à arbitrer en début de phase :</w:t>
      </w:r>
    </w:p>
    <w:p>
      <w:pPr>
        <w:pStyle w:val="ListParagraph"/>
        <w:numPr>
          <w:ilvl w:val="0"/>
          <w:numId w:val="2"/>
        </w:numPr>
        <w:spacing w:after="60" w:line="280"/>
      </w:pPr>
      <w:r>
        <w:t xml:space="preserve">Scénario humain : enregistrement par un locuteur arabe Fusha (idéalement une voix féminine adulte, articulation lente, ton chaleureux) en home-studio ou cabine. Coût marché indicatif : entre 400 et 1 200 € pour 120 prises courtes. Délai : 1 à 2 semaines selon disponibilité du prestataire.</w:t>
      </w:r>
    </w:p>
    <w:p>
      <w:pPr>
        <w:pStyle w:val="ListParagraph"/>
        <w:numPr>
          <w:ilvl w:val="0"/>
          <w:numId w:val="2"/>
        </w:numPr>
        <w:spacing w:after="60" w:line="280"/>
      </w:pPr>
      <w:r>
        <w:t xml:space="preserve">Scénario synthèse vocale premium : génération via Azure Neural TTS (voix Salma ou Zariyah, Fusha), ElevenLabs ou Google Cloud TTS. Coût : quelques euros à quelques dizaines d'euros. Délai : une journée de script. Qualité acceptable pour la rentrée 2026, à remplacer par des prises humaines en version 2.</w:t>
      </w:r>
    </w:p>
    <w:p>
      <w:pPr>
        <w:spacing w:after="120" w:line="300"/>
        <w:jc w:val="both"/>
      </w:pPr>
      <w:r>
        <w:t xml:space="preserve">Le scénario synthèse vocale est recommandé pour tenir l'échéance de septembre 2026. Le scénario humain peut être déclenché en parallèle pour une bascule en version 2 entre janvier et mars 2027.</w:t>
      </w:r>
    </w:p>
    <w:p>
      <w:pPr>
        <w:pStyle w:val="Heading2"/>
        <w:spacing w:after="140" w:before="240"/>
      </w:pPr>
      <w:r>
        <w:t xml:space="preserve">5.3 Phase C – Corrections fonctionnelles bloquantes (1 semaine)</w:t>
      </w:r>
    </w:p>
    <w:p>
      <w:pPr>
        <w:pStyle w:val="ListParagraph"/>
        <w:numPr>
          <w:ilvl w:val="0"/>
          <w:numId w:val="2"/>
        </w:numPr>
        <w:spacing w:after="60" w:line="280"/>
      </w:pPr>
      <w:r>
        <w:t xml:space="preserve">Refonte de l'exercice Distinction des phonèmes (modèle de données à deux fichiers par paire, interface dédiée)</w:t>
      </w:r>
    </w:p>
    <w:p>
      <w:pPr>
        <w:pStyle w:val="ListParagraph"/>
        <w:numPr>
          <w:ilvl w:val="0"/>
          <w:numId w:val="2"/>
        </w:numPr>
        <w:spacing w:after="60" w:line="280"/>
      </w:pPr>
      <w:r>
        <w:t xml:space="preserve">Amélioration de la validation du traçage (comparaison de masque, premier niveau)</w:t>
      </w:r>
    </w:p>
    <w:p>
      <w:pPr>
        <w:pStyle w:val="ListParagraph"/>
        <w:numPr>
          <w:ilvl w:val="0"/>
          <w:numId w:val="2"/>
        </w:numPr>
        <w:spacing w:after="60" w:line="280"/>
      </w:pPr>
      <w:r>
        <w:t xml:space="preserve">Tests d'usage en conditions réelles sur tablette avec un ou deux enfants pilotes</w:t>
      </w:r>
    </w:p>
    <w:p>
      <w:pPr>
        <w:pStyle w:val="Heading2"/>
        <w:spacing w:after="140" w:before="240"/>
      </w:pPr>
      <w:r>
        <w:t xml:space="preserve">5.4 Phase D – Réduction du dashboard et nettoyage (3 à 5 jours)</w:t>
      </w:r>
    </w:p>
    <w:p>
      <w:pPr>
        <w:pStyle w:val="ListParagraph"/>
        <w:numPr>
          <w:ilvl w:val="0"/>
          <w:numId w:val="2"/>
        </w:numPr>
        <w:spacing w:after="60" w:line="280"/>
      </w:pPr>
      <w:r>
        <w:t xml:space="preserve">Gel temporaire des fonctionnalités secondaires du dashboard (diplômes, analyses)</w:t>
      </w:r>
    </w:p>
    <w:p>
      <w:pPr>
        <w:pStyle w:val="ListParagraph"/>
        <w:numPr>
          <w:ilvl w:val="0"/>
          <w:numId w:val="2"/>
        </w:numPr>
        <w:spacing w:after="60" w:line="280"/>
      </w:pPr>
      <w:r>
        <w:t xml:space="preserve">Vérification des illustrations manquantes (couleurs, salutations, émotions, etc.) – fournies ou explicitement non prévues pour la version 1</w:t>
      </w:r>
    </w:p>
    <w:p>
      <w:pPr>
        <w:pStyle w:val="ListParagraph"/>
        <w:numPr>
          <w:ilvl w:val="0"/>
          <w:numId w:val="2"/>
        </w:numPr>
        <w:spacing w:after="60" w:line="280"/>
      </w:pPr>
      <w:r>
        <w:t xml:space="preserve">Documentation utilisateur courte pour les deux enseignantes</w:t>
      </w:r>
    </w:p>
    <w:p>
      <w:pPr>
        <w:pStyle w:val="Heading2"/>
        <w:spacing w:after="140" w:before="240"/>
      </w:pPr>
      <w:r>
        <w:t xml:space="preserve">5.5 Phase E – Mise en service et accompagnement (rentrée 2026)</w:t>
      </w:r>
    </w:p>
    <w:p>
      <w:pPr>
        <w:pStyle w:val="ListParagraph"/>
        <w:numPr>
          <w:ilvl w:val="0"/>
          <w:numId w:val="2"/>
        </w:numPr>
        <w:spacing w:after="60" w:line="280"/>
      </w:pPr>
      <w:r>
        <w:t xml:space="preserve">Déploiement sur hébergement statique (à choisir : Netlify, Vercel, Cloudflare Pages, OVH)</w:t>
      </w:r>
    </w:p>
    <w:p>
      <w:pPr>
        <w:pStyle w:val="ListParagraph"/>
        <w:numPr>
          <w:ilvl w:val="0"/>
          <w:numId w:val="2"/>
        </w:numPr>
        <w:spacing w:after="60" w:line="280"/>
      </w:pPr>
      <w:r>
        <w:t xml:space="preserve">Installation sur les tablettes des quatre enfants (mode PWA)</w:t>
      </w:r>
    </w:p>
    <w:p>
      <w:pPr>
        <w:pStyle w:val="ListParagraph"/>
        <w:numPr>
          <w:ilvl w:val="0"/>
          <w:numId w:val="2"/>
        </w:numPr>
        <w:spacing w:after="60" w:line="280"/>
      </w:pPr>
      <w:r>
        <w:t xml:space="preserve">Formation d'une heure des deux enseignantes</w:t>
      </w:r>
    </w:p>
    <w:p>
      <w:pPr>
        <w:pStyle w:val="ListParagraph"/>
        <w:numPr>
          <w:ilvl w:val="0"/>
          <w:numId w:val="2"/>
        </w:numPr>
        <w:spacing w:after="60" w:line="280"/>
      </w:pPr>
      <w:r>
        <w:t xml:space="preserve">Définition d'un cycle de retour (mensuel sur le premier trimestre)</w:t>
      </w:r>
    </w:p>
    <w:p>
      <w:pPr>
        <w:pStyle w:val="Heading2"/>
        <w:spacing w:after="140" w:before="240"/>
      </w:pPr>
      <w:r>
        <w:t xml:space="preserve">5.6 Estimation budgétaire révisée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Poste</w:t>
            </w:r>
          </w:p>
        </w:tc>
        <w:tc>
          <w:tcPr>
            <w:tcW w:type="dxa" w:w="268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MVP septembre 2026</w:t>
            </w:r>
          </w:p>
        </w:tc>
        <w:tc>
          <w:tcPr>
            <w:tcW w:type="dxa" w:w="268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V2 horizon mars 2027</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Hébergement statique</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0 € (plan gratuit)</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0 € à 20 €/an</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Nom de domaine (optionnel)</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10 à 15 €/an</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10 à 15 €/an</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Audio – synthèse vocale premium</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10 à 40 € (génération unique)</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Audio – enregistrement humain</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400 à 1 200 €</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Illustrations complémentaires</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0 € (existant) ou 200 à 600 € (compléments)</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500 à 1 500 € (refonte cohérente)</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Total fourchette basse</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 20 €</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 920 €</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Total fourchette haute</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 655 €</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 2 720 €</w:t>
            </w:r>
          </w:p>
        </w:tc>
      </w:tr>
    </w:tbl>
    <w:p>
      <w:pPr>
        <w:spacing w:after="120" w:line="300"/>
        <w:jc w:val="both"/>
      </w:pPr>
      <w:r>
        <w:rPr>
          <w:i/>
          <w:iCs/>
        </w:rPr>
        <w:t xml:space="preserve">Les anciens documents annonçaient 10 €/an. Cette valeur est tenable pour la seule infrastructure d'hébergement, mais elle ignore le coût réel des contenus pédagogiques (audio et illustrations) qui constituent l'essentiel de la valeur perçue de l'application.</w:t>
      </w:r>
    </w:p>
    <w:p>
      <w:r>
        <w:br w:type="page"/>
      </w:r>
    </w:p>
    <w:p>
      <w:pPr>
        <w:pStyle w:val="Heading1"/>
        <w:spacing w:after="200" w:before="320"/>
      </w:pPr>
      <w:r>
        <w:t xml:space="preserve">6. Décisions structurantes à arbitrer</w:t>
      </w:r>
    </w:p>
    <w:p>
      <w:pPr>
        <w:spacing w:after="120" w:line="300"/>
        <w:jc w:val="both"/>
      </w:pPr>
      <w:r>
        <w:t xml:space="preserve">Quatre décisions conditionnent la suite du projet et doivent être tranchées avant l'engagement de la phase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N°</w:t>
            </w:r>
          </w:p>
        </w:tc>
        <w:tc>
          <w:tcPr>
            <w:tcW w:type="dxa" w:w="30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Décision</w:t>
            </w:r>
          </w:p>
        </w:tc>
        <w:tc>
          <w:tcPr>
            <w:tcW w:type="dxa" w:w="556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Enjeu et conséquence</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D1</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Voix humaine ou synthèse vocale pour le MVP</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Conditionne le délai (1 jour vs 1 à 2 semaines) et le coût (quelques dizaines vs plusieurs centaines d'euros). Recommandation : TTS premium pour septembre 2026, voix humaine pour V2.</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D2</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Périmètre du dashboard enseignante</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Maintien complet (1 156 lignes) ou version réduite. Recommandation : version réduite pour le MVP, réévaluation après trois mois d'usage.</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D3</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Statut juridique des avatars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Si dérivés de franchises protégées, ils empêchent toute diffusion publique. Recommandation : audit visuel immédiat, remplacement si doute.</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D4</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Hébergement cible</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Choix du fournisseur (Netlify, Vercel, Cloudflare Pages, OVH, autohébergé). Conditionne la configuration de déploiement et le domaine. Recommandation : Cloudflare Pages pour son plan gratuit généreux et son CDN mondial.</w:t>
            </w:r>
          </w:p>
        </w:tc>
      </w:tr>
    </w:tbl>
    <w:p>
      <w:pPr>
        <w:pStyle w:val="Heading1"/>
        <w:spacing w:after="200" w:before="320"/>
      </w:pPr>
      <w:r>
        <w:t xml:space="preserve">7. Métriques de succès révisées</w:t>
      </w:r>
    </w:p>
    <w:p>
      <w:pPr>
        <w:spacing w:after="120" w:line="300"/>
        <w:jc w:val="both"/>
      </w:pPr>
      <w:r>
        <w:t xml:space="preserve">Les métriques annoncées dans le résumé exécutif initial (note de satisfaction supérieure à 7/10, score moyen supérieur à 70 %, trois sessions hebdomadaires) restent pertinentes mais ne sont pas mesurables sans backend ni télémétrie distante. La présente note les complète et les rend opérationnelles.</w:t>
      </w:r>
    </w:p>
    <w:p>
      <w:pPr>
        <w:pStyle w:val="Heading2"/>
        <w:spacing w:after="140" w:before="240"/>
      </w:pPr>
      <w:r>
        <w:t xml:space="preserve">7.1 Métriques mesurables par l'application elle-même</w:t>
      </w:r>
    </w:p>
    <w:p>
      <w:pPr>
        <w:pStyle w:val="ListParagraph"/>
        <w:numPr>
          <w:ilvl w:val="0"/>
          <w:numId w:val="2"/>
        </w:numPr>
        <w:spacing w:after="60" w:line="280"/>
      </w:pPr>
      <w:r>
        <w:t xml:space="preserve">nombre de sessions par enfant par semaine (lecture du localStorage par les enseignantes)</w:t>
      </w:r>
    </w:p>
    <w:p>
      <w:pPr>
        <w:pStyle w:val="ListParagraph"/>
        <w:numPr>
          <w:ilvl w:val="0"/>
          <w:numId w:val="2"/>
        </w:numPr>
        <w:spacing w:after="60" w:line="280"/>
      </w:pPr>
      <w:r>
        <w:t xml:space="preserve">durée moyenne par session</w:t>
      </w:r>
    </w:p>
    <w:p>
      <w:pPr>
        <w:pStyle w:val="ListParagraph"/>
        <w:numPr>
          <w:ilvl w:val="0"/>
          <w:numId w:val="2"/>
        </w:numPr>
        <w:spacing w:after="60" w:line="280"/>
      </w:pPr>
      <w:r>
        <w:t xml:space="preserve">taux de réussite par exercice</w:t>
      </w:r>
    </w:p>
    <w:p>
      <w:pPr>
        <w:pStyle w:val="ListParagraph"/>
        <w:numPr>
          <w:ilvl w:val="0"/>
          <w:numId w:val="2"/>
        </w:numPr>
        <w:spacing w:after="60" w:line="280"/>
      </w:pPr>
      <w:r>
        <w:t xml:space="preserve">badges débloqués</w:t>
      </w:r>
    </w:p>
    <w:p>
      <w:pPr>
        <w:pStyle w:val="Heading2"/>
        <w:spacing w:after="140" w:before="240"/>
      </w:pPr>
      <w:r>
        <w:t xml:space="preserve">7.2 Métriques à collecter manuellement</w:t>
      </w:r>
    </w:p>
    <w:p>
      <w:pPr>
        <w:pStyle w:val="ListParagraph"/>
        <w:numPr>
          <w:ilvl w:val="0"/>
          <w:numId w:val="2"/>
        </w:numPr>
        <w:spacing w:after="60" w:line="280"/>
      </w:pPr>
      <w:r>
        <w:t xml:space="preserve">retour qualitatif des deux enseignantes après un mois, trois mois, six mois</w:t>
      </w:r>
    </w:p>
    <w:p>
      <w:pPr>
        <w:pStyle w:val="ListParagraph"/>
        <w:numPr>
          <w:ilvl w:val="0"/>
          <w:numId w:val="2"/>
        </w:numPr>
        <w:spacing w:after="60" w:line="280"/>
      </w:pPr>
      <w:r>
        <w:t xml:space="preserve">retour qualitatif des parents (questionnaire court)</w:t>
      </w:r>
    </w:p>
    <w:p>
      <w:pPr>
        <w:pStyle w:val="ListParagraph"/>
        <w:numPr>
          <w:ilvl w:val="0"/>
          <w:numId w:val="2"/>
        </w:numPr>
        <w:spacing w:after="60" w:line="280"/>
      </w:pPr>
      <w:r>
        <w:t xml:space="preserve">observation en classe de la progression effective des enfants sur les douze lettres prioritaires</w:t>
      </w:r>
    </w:p>
    <w:p>
      <w:pPr>
        <w:pStyle w:val="Heading2"/>
        <w:spacing w:after="140" w:before="240"/>
      </w:pPr>
      <w:r>
        <w:t xml:space="preserve">7.3 Critères de réussite du MVP septembre 2026</w:t>
      </w:r>
    </w:p>
    <w:p>
      <w:pPr>
        <w:pStyle w:val="ListParagraph"/>
        <w:numPr>
          <w:ilvl w:val="0"/>
          <w:numId w:val="2"/>
        </w:numPr>
        <w:spacing w:after="60" w:line="280"/>
      </w:pPr>
      <w:r>
        <w:t xml:space="preserve">les quatre enfants disposent de l'application sur tablette dès la rentrée</w:t>
      </w:r>
    </w:p>
    <w:p>
      <w:pPr>
        <w:pStyle w:val="ListParagraph"/>
        <w:numPr>
          <w:ilvl w:val="0"/>
          <w:numId w:val="2"/>
        </w:numPr>
        <w:spacing w:after="60" w:line="280"/>
      </w:pPr>
      <w:r>
        <w:t xml:space="preserve">au moins 100 fichiers audio sur 120 sont présents et fonctionnels</w:t>
      </w:r>
    </w:p>
    <w:p>
      <w:pPr>
        <w:pStyle w:val="ListParagraph"/>
        <w:numPr>
          <w:ilvl w:val="0"/>
          <w:numId w:val="2"/>
        </w:numPr>
        <w:spacing w:after="60" w:line="280"/>
      </w:pPr>
      <w:r>
        <w:t xml:space="preserve">aucun écran ne renvoie d'erreur bloquante</w:t>
      </w:r>
    </w:p>
    <w:p>
      <w:pPr>
        <w:pStyle w:val="ListParagraph"/>
        <w:numPr>
          <w:ilvl w:val="0"/>
          <w:numId w:val="2"/>
        </w:numPr>
        <w:spacing w:after="60" w:line="280"/>
      </w:pPr>
      <w:r>
        <w:t xml:space="preserve">les deux enseignantes ont reçu et signé une notice d'utilisation courte</w:t>
      </w:r>
    </w:p>
    <w:p>
      <w:pPr>
        <w:pStyle w:val="ListParagraph"/>
        <w:numPr>
          <w:ilvl w:val="0"/>
          <w:numId w:val="2"/>
        </w:numPr>
        <w:spacing w:after="60" w:line="280"/>
      </w:pPr>
      <w:r>
        <w:t xml:space="preserve">un cycle de retour mensuel est instauré</w:t>
      </w:r>
    </w:p>
    <w:p>
      <w:r>
        <w:br w:type="page"/>
      </w:r>
    </w:p>
    <w:p>
      <w:pPr>
        <w:pStyle w:val="Heading1"/>
        <w:spacing w:after="200" w:before="320"/>
      </w:pPr>
      <w:r>
        <w:t xml:space="preserve">Annexe – Documents antérieurs annulés ou refondus</w:t>
      </w:r>
    </w:p>
    <w:p>
      <w:pPr>
        <w:spacing w:after="120" w:line="300"/>
        <w:jc w:val="both"/>
      </w:pPr>
      <w:r>
        <w:t xml:space="preserve">La présente note remplace ou refond les documents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Document antérieur</w:t>
            </w:r>
          </w:p>
        </w:tc>
        <w:tc>
          <w:tcPr>
            <w:tcW w:type="dxa" w:w="250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Statut</w:t>
            </w:r>
          </w:p>
        </w:tc>
        <w:tc>
          <w:tcPr>
            <w:tcW w:type="dxa" w:w="3360"/>
            <w:tcBorders>
              <w:top w:val="single" w:color="B0B0B0" w:sz="4"/>
              <w:left w:val="single" w:color="B0B0B0" w:sz="4"/>
              <w:bottom w:val="single" w:color="B0B0B0" w:sz="4"/>
              <w:right w:val="single" w:color="B0B0B0" w:sz="4"/>
            </w:tcBorders>
            <w:shd w:fill="0D9488" w:val="clear"/>
            <w:tcMar>
              <w:top w:type="dxa" w:w="100"/>
              <w:left w:type="dxa" w:w="140"/>
              <w:bottom w:type="dxa" w:w="100"/>
              <w:right w:type="dxa" w:w="140"/>
            </w:tcMar>
          </w:tcPr>
          <w:p>
            <w:pPr>
              <w:spacing w:after="0"/>
            </w:pPr>
            <w:r>
              <w:rPr>
                <w:b/>
                <w:bCs/>
                <w:color w:val="FFFFFF"/>
                <w:sz w:val="20"/>
                <w:szCs w:val="20"/>
              </w:rPr>
              <w:t xml:space="preserve">Élément récupéré</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RESUME_EXECUTIF.md (v1.0)</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Annulé</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Objectifs pédagogiques et public cible (sections 1.2 et 1.3 ci-dessus)</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SPECIFICATIONS_APP_ARABE.md (v1.0)</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Annulé</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Liste des 12 lettres prioritaires et des 6 paires phonémiques (intégrées dans le code data/)</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plan_developpement_LearnHub.md (v1.0)</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Hors périmètre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Ce document décrit en réalité une plateforme LMS générique (cours vidéo, formateurs, apprenants) sans rapport direct avec Hurûfî. À archiver dans un dossier séparé.</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GUIDE_RESSOURCES_AUDIO_IMAGES.md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À refondre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Sert de base à un cahier des charges freelance corrigé (document distinct à produire en suivant : AFE-HUR-CDC-001).</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PLAN_ACTION_3_SEMAINES.md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Remplacé</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Remplacé par la section 5 ci-dessus.</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CHECKLIST_DEMARRAGE.md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Remplacé</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Remplacé par les phases A à E de la section 5.</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LISTE_MEDIA_PREPARATION.md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À refondre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Inventaire à régénérer à partir des données réelles du code (script de check à utiliser).</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INDEX.md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Remplacé</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sz w:val="20"/>
                <w:szCs w:val="20"/>
              </w:rPr>
              <w:t xml:space="preserve">Le présent document fait office d'index unique.</w:t>
            </w:r>
          </w:p>
        </w:tc>
      </w:tr>
    </w:tbl>
    <w:p>
      <w:pPr>
        <w:spacing w:after="200" w:before="400"/>
      </w:pPr>
      <w:r>
        <w:rPr>
          <w:i/>
          <w:iCs/>
          <w:color w:val="888888"/>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Hurûfî – Note de cadrage v2.0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AFE-HUR-NOTE-001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9488"/>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0F766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Hurûfî – Note de cadrage technique et fonctionnelle v2.0</dc:title>
  <dc:creator>Youssef Najih</dc:creator>
  <dc:description>Document de réalignement remplaçant la documentation antérieure incohérente</dc:description>
  <cp:lastModifiedBy>Un-named</cp:lastModifiedBy>
  <cp:revision>1</cp:revision>
  <dcterms:created xsi:type="dcterms:W3CDTF">2026-05-25T11:18:56.396Z</dcterms:created>
  <dcterms:modified xsi:type="dcterms:W3CDTF">2026-05-25T11:18:56.397Z</dcterms:modified>
</cp:coreProperties>
</file>

<file path=docProps/custom.xml><?xml version="1.0" encoding="utf-8"?>
<Properties xmlns="http://schemas.openxmlformats.org/officeDocument/2006/custom-properties" xmlns:vt="http://schemas.openxmlformats.org/officeDocument/2006/docPropsVTypes"/>
</file>