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89189" w14:textId="532446B6" w:rsidR="00EF6267" w:rsidRPr="00EF6267" w:rsidRDefault="002A751B" w:rsidP="00E35087">
      <w:pPr>
        <w:ind w:firstLine="0"/>
        <w:jc w:val="center"/>
        <w:rPr>
          <w:lang w:val="fr-FR"/>
        </w:rPr>
      </w:pPr>
      <w:r w:rsidRPr="00092031">
        <w:rPr>
          <w:lang w:val="fr-FR"/>
        </w:rPr>
        <w:t>ARTICLE</w:t>
      </w:r>
    </w:p>
    <w:p w14:paraId="3F7117B7" w14:textId="6989CEF7" w:rsidR="00092031" w:rsidRDefault="00092031" w:rsidP="002A751B">
      <w:pPr>
        <w:ind w:firstLine="0"/>
        <w:jc w:val="center"/>
        <w:rPr>
          <w:iCs/>
          <w:sz w:val="28"/>
          <w:szCs w:val="28"/>
        </w:rPr>
      </w:pPr>
      <w:r w:rsidRPr="00092031">
        <w:rPr>
          <w:iCs/>
          <w:sz w:val="28"/>
          <w:szCs w:val="28"/>
        </w:rPr>
        <w:t>RETHINKING THE ADMINISTRATIVE-REMAND RULE</w:t>
      </w:r>
    </w:p>
    <w:p w14:paraId="60E058DA" w14:textId="191BA163" w:rsidR="002A751B" w:rsidRPr="002A751B" w:rsidRDefault="00092031" w:rsidP="002A751B">
      <w:pPr>
        <w:ind w:firstLine="0"/>
        <w:jc w:val="center"/>
      </w:pPr>
      <w:r w:rsidRPr="00092031">
        <w:t>MATTHEW J. SANDERS</w:t>
      </w:r>
      <w:r w:rsidR="002A751B" w:rsidRPr="002A751B">
        <w:rPr>
          <w:vertAlign w:val="superscript"/>
        </w:rPr>
        <w:footnoteReference w:customMarkFollows="1" w:id="1"/>
        <w:t>†</w:t>
      </w:r>
    </w:p>
    <w:p w14:paraId="5FBDF858" w14:textId="77777777" w:rsidR="0036669D" w:rsidRDefault="0036669D" w:rsidP="00655727">
      <w:pPr>
        <w:rPr>
          <w:b/>
        </w:rPr>
      </w:pPr>
    </w:p>
    <w:p w14:paraId="00C81F48" w14:textId="77777777" w:rsidR="00092031" w:rsidRPr="002866AC" w:rsidRDefault="00EF6267" w:rsidP="00092031">
      <w:r w:rsidRPr="009B1A1D">
        <w:rPr>
          <w:b/>
        </w:rPr>
        <w:t>Abstract.</w:t>
      </w:r>
      <w:r w:rsidRPr="0016574B">
        <w:rPr>
          <w:bCs/>
        </w:rPr>
        <w:t xml:space="preserve"> </w:t>
      </w:r>
      <w:r w:rsidR="00092031" w:rsidRPr="002866AC">
        <w:t xml:space="preserve">With few exceptions, the federal courts of appeals have jurisdiction over—and only over—“final decisions” of the district courts. There is a little-known but highly consequential rule, known as the “administrative-remand rule,” that an order remanding an administrative agency’s decision under the federal Administrative Procedure Act is final only as to the agency. That is, only the agency may appeal a remand, and if the agency does not appeal, neither the plaintiff nor any intervenor may do so. </w:t>
      </w:r>
    </w:p>
    <w:p w14:paraId="1864BEC3" w14:textId="77777777" w:rsidR="00092031" w:rsidRPr="002866AC" w:rsidRDefault="00092031" w:rsidP="00092031">
      <w:r w:rsidRPr="002866AC">
        <w:t xml:space="preserve">The administrative-remand rule thus acts as an appellate gatekeeper in almost all cases involving remands to federal agencies. It accordingly shapes much of the administrative law coming out of the federal courts of appeals. The rule also reveals much about how the courts of appeals conceive of finality and deference to agency decision-making. Despite all this, the academic literature discusses the administrative-remand rule only generally, and only in the context of larger concerns about finality and federal jurisdiction. Academics and practitioners alike must ask themselves whether the rule, as it currently exists, makes sense. A deeper dive is in order. </w:t>
      </w:r>
    </w:p>
    <w:p w14:paraId="6BF6FBC1" w14:textId="77777777" w:rsidR="00092031" w:rsidRPr="002866AC" w:rsidRDefault="00092031" w:rsidP="00092031">
      <w:r w:rsidRPr="002866AC">
        <w:t xml:space="preserve">This Article describes the administrative-remand rule’s origins, formulations, and purposes. The rule emerged in the 1970s and 80s to promote judicial economy by avoiding piecemeal appeals, even at the cost of injustice in particular cases. Today, the rule still largely serves that wise purpose, but it is not without problems. All the federal circuits have adopted the rule, but very different versions of it. A non-agency party’s ability to appeal a remand varies significantly from circuit to circuit and, in some cases, even within the same circuit. The rule is problematic in certain categories of cases, most notably where a remand is likely to be meaningless or where it facilitates ongoing harm to parties or resources. And the rule underscores larger concerns in the fields of federal jurisdiction and administrative law, including forum-shopping, temporal forum-shopping, politicized agency decision-making, inconsistent judicial review, and reduced access to the courts. </w:t>
      </w:r>
    </w:p>
    <w:p w14:paraId="2B7B57BF" w14:textId="7D251A4D" w:rsidR="00427EC5" w:rsidRPr="00427EC5" w:rsidRDefault="00092031" w:rsidP="00092031">
      <w:r w:rsidRPr="002866AC">
        <w:t>This Article argues for modest adjustments that would make the administrative-remand rule more consistent across the circuits, better balance judicial efficiency and justice, and promote better agency decision-making.</w:t>
      </w:r>
    </w:p>
    <w:p w14:paraId="4BEAF6C6" w14:textId="6ECAA6F1" w:rsidR="0016574B" w:rsidRDefault="0016574B" w:rsidP="00427EC5">
      <w:pPr>
        <w:ind w:firstLine="0"/>
      </w:pPr>
    </w:p>
    <w:sdt>
      <w:sdtPr>
        <w:rPr>
          <w:rFonts w:cs="Times New Roman"/>
          <w:b/>
          <w:bCs/>
          <w:szCs w:val="21"/>
        </w:rPr>
        <w:id w:val="1101063903"/>
        <w:docPartObj>
          <w:docPartGallery w:val="Table of Contents"/>
          <w:docPartUnique/>
        </w:docPartObj>
      </w:sdtPr>
      <w:sdtEndPr>
        <w:rPr>
          <w:b w:val="0"/>
          <w:bCs w:val="0"/>
          <w:noProof/>
        </w:rPr>
      </w:sdtEndPr>
      <w:sdtContent>
        <w:p w14:paraId="7F5BA08E" w14:textId="1009EF9C" w:rsidR="00F95786" w:rsidRPr="008A045A" w:rsidRDefault="00F95786" w:rsidP="0018194B">
          <w:pPr>
            <w:jc w:val="center"/>
            <w:rPr>
              <w:rFonts w:cs="Times New Roman"/>
              <w:b/>
              <w:bCs/>
              <w:szCs w:val="21"/>
            </w:rPr>
          </w:pPr>
          <w:r w:rsidRPr="008A045A">
            <w:rPr>
              <w:rFonts w:cs="Times New Roman"/>
              <w:b/>
              <w:bCs/>
              <w:szCs w:val="21"/>
            </w:rPr>
            <w:t>Table of Contents</w:t>
          </w:r>
        </w:p>
        <w:p w14:paraId="191452E4" w14:textId="62F3C651" w:rsidR="008A045A" w:rsidRPr="008A045A" w:rsidRDefault="008A045A">
          <w:pPr>
            <w:pStyle w:val="TOC1"/>
            <w:tabs>
              <w:tab w:val="right" w:leader="dot" w:pos="6700"/>
            </w:tabs>
            <w:rPr>
              <w:rFonts w:eastAsiaTheme="minorEastAsia" w:cs="Times New Roman"/>
              <w:bCs w:val="0"/>
              <w:noProof/>
              <w:kern w:val="2"/>
              <w:szCs w:val="21"/>
              <w:lang w:eastAsia="zh-CN"/>
              <w14:ligatures w14:val="standardContextual"/>
            </w:rPr>
          </w:pPr>
          <w:r w:rsidRPr="008A045A">
            <w:rPr>
              <w:rFonts w:cs="Times New Roman"/>
              <w:szCs w:val="21"/>
            </w:rPr>
            <w:fldChar w:fldCharType="begin"/>
          </w:r>
          <w:r w:rsidRPr="008A045A">
            <w:rPr>
              <w:rFonts w:cs="Times New Roman"/>
              <w:szCs w:val="21"/>
            </w:rPr>
            <w:instrText xml:space="preserve"> TOC \o "1-5" \h \z \u </w:instrText>
          </w:r>
          <w:r w:rsidRPr="008A045A">
            <w:rPr>
              <w:rFonts w:cs="Times New Roman"/>
              <w:szCs w:val="21"/>
            </w:rPr>
            <w:fldChar w:fldCharType="separate"/>
          </w:r>
          <w:hyperlink w:anchor="_Toc212214148" w:history="1">
            <w:r w:rsidRPr="008A045A">
              <w:rPr>
                <w:rStyle w:val="Hyperlink"/>
                <w:rFonts w:cs="Times New Roman"/>
                <w:noProof/>
                <w:szCs w:val="21"/>
              </w:rPr>
              <w:t>Introduction</w:t>
            </w:r>
            <w:r w:rsidRPr="008A045A">
              <w:rPr>
                <w:rFonts w:cs="Times New Roman"/>
                <w:noProof/>
                <w:webHidden/>
                <w:szCs w:val="21"/>
              </w:rPr>
              <w:tab/>
            </w:r>
            <w:r w:rsidRPr="008A045A">
              <w:rPr>
                <w:rFonts w:cs="Times New Roman"/>
                <w:noProof/>
                <w:webHidden/>
                <w:szCs w:val="21"/>
              </w:rPr>
              <w:fldChar w:fldCharType="begin"/>
            </w:r>
            <w:r w:rsidRPr="008A045A">
              <w:rPr>
                <w:rFonts w:cs="Times New Roman"/>
                <w:noProof/>
                <w:webHidden/>
                <w:szCs w:val="21"/>
              </w:rPr>
              <w:instrText xml:space="preserve"> PAGEREF _Toc212214148 \h </w:instrText>
            </w:r>
            <w:r w:rsidRPr="008A045A">
              <w:rPr>
                <w:rFonts w:cs="Times New Roman"/>
                <w:noProof/>
                <w:webHidden/>
                <w:szCs w:val="21"/>
              </w:rPr>
            </w:r>
            <w:r w:rsidRPr="008A045A">
              <w:rPr>
                <w:rFonts w:cs="Times New Roman"/>
                <w:noProof/>
                <w:webHidden/>
                <w:szCs w:val="21"/>
              </w:rPr>
              <w:fldChar w:fldCharType="separate"/>
            </w:r>
            <w:r w:rsidRPr="008A045A">
              <w:rPr>
                <w:rFonts w:cs="Times New Roman"/>
                <w:noProof/>
                <w:webHidden/>
                <w:szCs w:val="21"/>
              </w:rPr>
              <w:t>3</w:t>
            </w:r>
            <w:r w:rsidRPr="008A045A">
              <w:rPr>
                <w:rFonts w:cs="Times New Roman"/>
                <w:noProof/>
                <w:webHidden/>
                <w:szCs w:val="21"/>
              </w:rPr>
              <w:fldChar w:fldCharType="end"/>
            </w:r>
          </w:hyperlink>
        </w:p>
        <w:p w14:paraId="3BBCA156" w14:textId="1007E1F4" w:rsidR="008A045A" w:rsidRPr="008A045A" w:rsidRDefault="008A045A">
          <w:pPr>
            <w:pStyle w:val="TOC2"/>
            <w:rPr>
              <w:rFonts w:eastAsiaTheme="minorEastAsia" w:cs="Times New Roman"/>
              <w:bCs w:val="0"/>
              <w:kern w:val="2"/>
              <w:szCs w:val="21"/>
              <w:lang w:eastAsia="zh-CN"/>
              <w14:ligatures w14:val="standardContextual"/>
            </w:rPr>
          </w:pPr>
          <w:hyperlink w:anchor="_Toc212214149" w:history="1">
            <w:r w:rsidRPr="008A045A">
              <w:rPr>
                <w:rStyle w:val="Hyperlink"/>
                <w:rFonts w:cs="Times New Roman"/>
                <w:szCs w:val="21"/>
              </w:rPr>
              <w:t>I.</w:t>
            </w:r>
            <w:r w:rsidRPr="008A045A">
              <w:rPr>
                <w:rFonts w:eastAsiaTheme="minorEastAsia" w:cs="Times New Roman"/>
                <w:bCs w:val="0"/>
                <w:kern w:val="2"/>
                <w:szCs w:val="21"/>
                <w:lang w:eastAsia="zh-CN"/>
                <w14:ligatures w14:val="standardContextual"/>
              </w:rPr>
              <w:tab/>
            </w:r>
            <w:r w:rsidRPr="008A045A">
              <w:rPr>
                <w:rStyle w:val="Hyperlink"/>
                <w:rFonts w:cs="Times New Roman"/>
                <w:szCs w:val="21"/>
              </w:rPr>
              <w:t>The Administrative-Remand Rule: A Deeper Dive</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_Toc212214149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8</w:t>
            </w:r>
            <w:r w:rsidRPr="008A045A">
              <w:rPr>
                <w:rFonts w:cs="Times New Roman"/>
                <w:webHidden/>
                <w:szCs w:val="21"/>
              </w:rPr>
              <w:fldChar w:fldCharType="end"/>
            </w:r>
          </w:hyperlink>
        </w:p>
        <w:p w14:paraId="4E863609" w14:textId="11B21534" w:rsidR="008A045A" w:rsidRPr="008A045A" w:rsidRDefault="008A045A">
          <w:pPr>
            <w:pStyle w:val="TOC3"/>
            <w:rPr>
              <w:rFonts w:eastAsiaTheme="minorEastAsia" w:cs="Times New Roman"/>
              <w:kern w:val="2"/>
              <w:szCs w:val="21"/>
              <w:lang w:eastAsia="zh-CN"/>
              <w14:ligatures w14:val="standardContextual"/>
            </w:rPr>
          </w:pPr>
          <w:hyperlink w:anchor="_Toc212214150" w:history="1">
            <w:r w:rsidRPr="008A045A">
              <w:rPr>
                <w:rStyle w:val="Hyperlink"/>
                <w:rFonts w:cs="Times New Roman"/>
                <w:szCs w:val="21"/>
              </w:rPr>
              <w:t>A.</w:t>
            </w:r>
            <w:r w:rsidRPr="008A045A">
              <w:rPr>
                <w:rFonts w:eastAsiaTheme="minorEastAsia" w:cs="Times New Roman"/>
                <w:kern w:val="2"/>
                <w:szCs w:val="21"/>
                <w:lang w:eastAsia="zh-CN"/>
                <w14:ligatures w14:val="standardContextual"/>
              </w:rPr>
              <w:tab/>
            </w:r>
            <w:r w:rsidRPr="008A045A">
              <w:rPr>
                <w:rStyle w:val="Hyperlink"/>
                <w:rFonts w:cs="Times New Roman"/>
                <w:szCs w:val="21"/>
              </w:rPr>
              <w:t>Remands Under the APA</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_Toc212214150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11</w:t>
            </w:r>
            <w:r w:rsidRPr="008A045A">
              <w:rPr>
                <w:rFonts w:cs="Times New Roman"/>
                <w:webHidden/>
                <w:szCs w:val="21"/>
              </w:rPr>
              <w:fldChar w:fldCharType="end"/>
            </w:r>
          </w:hyperlink>
        </w:p>
        <w:p w14:paraId="0DD3D04A" w14:textId="0774353A" w:rsidR="008A045A" w:rsidRPr="008A045A" w:rsidRDefault="008A045A">
          <w:pPr>
            <w:pStyle w:val="TOC3"/>
            <w:rPr>
              <w:rFonts w:eastAsiaTheme="minorEastAsia" w:cs="Times New Roman"/>
              <w:kern w:val="2"/>
              <w:szCs w:val="21"/>
              <w:lang w:eastAsia="zh-CN"/>
              <w14:ligatures w14:val="standardContextual"/>
            </w:rPr>
          </w:pPr>
          <w:hyperlink w:anchor="_Toc212214151" w:history="1">
            <w:r w:rsidRPr="008A045A">
              <w:rPr>
                <w:rStyle w:val="Hyperlink"/>
                <w:rFonts w:cs="Times New Roman"/>
                <w:szCs w:val="21"/>
              </w:rPr>
              <w:t>B.</w:t>
            </w:r>
            <w:r w:rsidRPr="008A045A">
              <w:rPr>
                <w:rFonts w:eastAsiaTheme="minorEastAsia" w:cs="Times New Roman"/>
                <w:kern w:val="2"/>
                <w:szCs w:val="21"/>
                <w:lang w:eastAsia="zh-CN"/>
                <w14:ligatures w14:val="standardContextual"/>
              </w:rPr>
              <w:tab/>
            </w:r>
            <w:r w:rsidRPr="008A045A">
              <w:rPr>
                <w:rStyle w:val="Hyperlink"/>
                <w:rFonts w:cs="Times New Roman"/>
                <w:szCs w:val="21"/>
              </w:rPr>
              <w:t>The Final-Judgment Rule</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_Toc212214151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12</w:t>
            </w:r>
            <w:r w:rsidRPr="008A045A">
              <w:rPr>
                <w:rFonts w:cs="Times New Roman"/>
                <w:webHidden/>
                <w:szCs w:val="21"/>
              </w:rPr>
              <w:fldChar w:fldCharType="end"/>
            </w:r>
          </w:hyperlink>
        </w:p>
        <w:p w14:paraId="11EA5245" w14:textId="4F687A2B" w:rsidR="008A045A" w:rsidRPr="008A045A" w:rsidRDefault="008A045A">
          <w:pPr>
            <w:pStyle w:val="TOC3"/>
            <w:rPr>
              <w:rFonts w:eastAsiaTheme="minorEastAsia" w:cs="Times New Roman"/>
              <w:kern w:val="2"/>
              <w:szCs w:val="21"/>
              <w:lang w:eastAsia="zh-CN"/>
              <w14:ligatures w14:val="standardContextual"/>
            </w:rPr>
          </w:pPr>
          <w:hyperlink w:anchor="_Toc212214152" w:history="1">
            <w:r w:rsidRPr="008A045A">
              <w:rPr>
                <w:rStyle w:val="Hyperlink"/>
                <w:rFonts w:cs="Times New Roman"/>
                <w:szCs w:val="21"/>
              </w:rPr>
              <w:t>C.</w:t>
            </w:r>
            <w:r w:rsidRPr="008A045A">
              <w:rPr>
                <w:rFonts w:eastAsiaTheme="minorEastAsia" w:cs="Times New Roman"/>
                <w:kern w:val="2"/>
                <w:szCs w:val="21"/>
                <w:lang w:eastAsia="zh-CN"/>
                <w14:ligatures w14:val="standardContextual"/>
              </w:rPr>
              <w:tab/>
            </w:r>
            <w:r w:rsidRPr="008A045A">
              <w:rPr>
                <w:rStyle w:val="Hyperlink"/>
                <w:rFonts w:cs="Times New Roman"/>
                <w:szCs w:val="21"/>
              </w:rPr>
              <w:t>The Administrative-Remand Rule’s Supreme Court Origins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_Toc212214152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14</w:t>
            </w:r>
            <w:r w:rsidRPr="008A045A">
              <w:rPr>
                <w:rFonts w:cs="Times New Roman"/>
                <w:webHidden/>
                <w:szCs w:val="21"/>
              </w:rPr>
              <w:fldChar w:fldCharType="end"/>
            </w:r>
          </w:hyperlink>
        </w:p>
        <w:p w14:paraId="6562DB0F" w14:textId="507BFC9B" w:rsidR="008A045A" w:rsidRPr="008A045A" w:rsidRDefault="008A045A">
          <w:pPr>
            <w:pStyle w:val="TOC3"/>
            <w:rPr>
              <w:rFonts w:eastAsiaTheme="minorEastAsia" w:cs="Times New Roman"/>
              <w:kern w:val="2"/>
              <w:szCs w:val="21"/>
              <w:lang w:eastAsia="zh-CN"/>
              <w14:ligatures w14:val="standardContextual"/>
            </w:rPr>
          </w:pPr>
          <w:hyperlink w:anchor="_Toc212214153" w:history="1">
            <w:r w:rsidRPr="008A045A">
              <w:rPr>
                <w:rStyle w:val="Hyperlink"/>
                <w:rFonts w:cs="Times New Roman"/>
                <w:szCs w:val="21"/>
              </w:rPr>
              <w:t>D.</w:t>
            </w:r>
            <w:r w:rsidRPr="008A045A">
              <w:rPr>
                <w:rFonts w:eastAsiaTheme="minorEastAsia" w:cs="Times New Roman"/>
                <w:kern w:val="2"/>
                <w:szCs w:val="21"/>
                <w:lang w:eastAsia="zh-CN"/>
                <w14:ligatures w14:val="standardContextual"/>
              </w:rPr>
              <w:tab/>
            </w:r>
            <w:r w:rsidRPr="008A045A">
              <w:rPr>
                <w:rStyle w:val="Hyperlink"/>
                <w:rFonts w:cs="Times New Roman"/>
                <w:szCs w:val="21"/>
              </w:rPr>
              <w:t>Circuit-Court Development</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_Toc212214153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20</w:t>
            </w:r>
            <w:r w:rsidRPr="008A045A">
              <w:rPr>
                <w:rFonts w:cs="Times New Roman"/>
                <w:webHidden/>
                <w:szCs w:val="21"/>
              </w:rPr>
              <w:fldChar w:fldCharType="end"/>
            </w:r>
          </w:hyperlink>
        </w:p>
        <w:p w14:paraId="1C7ABEEB" w14:textId="11F4D32F" w:rsidR="008A045A" w:rsidRPr="008A045A" w:rsidRDefault="008A045A">
          <w:pPr>
            <w:pStyle w:val="TOC4"/>
            <w:rPr>
              <w:rFonts w:eastAsiaTheme="minorEastAsia" w:cs="Times New Roman"/>
              <w:kern w:val="2"/>
              <w:szCs w:val="21"/>
              <w:lang w:eastAsia="zh-CN"/>
              <w14:ligatures w14:val="standardContextual"/>
            </w:rPr>
          </w:pPr>
          <w:hyperlink w:anchor="_Toc212214154" w:history="1">
            <w:r w:rsidRPr="008A045A">
              <w:rPr>
                <w:rStyle w:val="Hyperlink"/>
                <w:rFonts w:cs="Times New Roman"/>
                <w:szCs w:val="21"/>
              </w:rPr>
              <w:t>1.</w:t>
            </w:r>
            <w:r w:rsidRPr="008A045A">
              <w:rPr>
                <w:rFonts w:eastAsiaTheme="minorEastAsia" w:cs="Times New Roman"/>
                <w:kern w:val="2"/>
                <w:szCs w:val="21"/>
                <w:lang w:eastAsia="zh-CN"/>
                <w14:ligatures w14:val="standardContextual"/>
              </w:rPr>
              <w:tab/>
            </w:r>
            <w:r w:rsidRPr="008A045A">
              <w:rPr>
                <w:rStyle w:val="Hyperlink"/>
                <w:rFonts w:cs="Times New Roman"/>
                <w:szCs w:val="21"/>
              </w:rPr>
              <w:t>The Early Years (1965-1989)</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_Toc212214154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20</w:t>
            </w:r>
            <w:r w:rsidRPr="008A045A">
              <w:rPr>
                <w:rFonts w:cs="Times New Roman"/>
                <w:webHidden/>
                <w:szCs w:val="21"/>
              </w:rPr>
              <w:fldChar w:fldCharType="end"/>
            </w:r>
          </w:hyperlink>
        </w:p>
        <w:p w14:paraId="2BFB0980" w14:textId="281D85E5" w:rsidR="008A045A" w:rsidRPr="008A045A" w:rsidRDefault="008A045A">
          <w:pPr>
            <w:pStyle w:val="TOC4"/>
            <w:rPr>
              <w:rFonts w:eastAsiaTheme="minorEastAsia" w:cs="Times New Roman"/>
              <w:kern w:val="2"/>
              <w:szCs w:val="21"/>
              <w:lang w:eastAsia="zh-CN"/>
              <w14:ligatures w14:val="standardContextual"/>
            </w:rPr>
          </w:pPr>
          <w:hyperlink w:anchor="_Toc212214155" w:history="1">
            <w:r w:rsidRPr="008A045A">
              <w:rPr>
                <w:rStyle w:val="Hyperlink"/>
                <w:rFonts w:cs="Times New Roman"/>
                <w:szCs w:val="21"/>
              </w:rPr>
              <w:t>2.</w:t>
            </w:r>
            <w:r w:rsidRPr="008A045A">
              <w:rPr>
                <w:rFonts w:eastAsiaTheme="minorEastAsia" w:cs="Times New Roman"/>
                <w:kern w:val="2"/>
                <w:szCs w:val="21"/>
                <w:lang w:eastAsia="zh-CN"/>
                <w14:ligatures w14:val="standardContextual"/>
              </w:rPr>
              <w:tab/>
            </w:r>
            <w:r w:rsidRPr="008A045A">
              <w:rPr>
                <w:rStyle w:val="Hyperlink"/>
                <w:rFonts w:cs="Times New Roman"/>
                <w:szCs w:val="21"/>
              </w:rPr>
              <w:t>Post-Finkelstein to Friends of Hope Valley (1987-2025)</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_Toc212214155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23</w:t>
            </w:r>
            <w:r w:rsidRPr="008A045A">
              <w:rPr>
                <w:rFonts w:cs="Times New Roman"/>
                <w:webHidden/>
                <w:szCs w:val="21"/>
              </w:rPr>
              <w:fldChar w:fldCharType="end"/>
            </w:r>
          </w:hyperlink>
        </w:p>
        <w:p w14:paraId="58A83BF4" w14:textId="7B930E64" w:rsidR="008A045A" w:rsidRPr="008A045A" w:rsidRDefault="008A045A">
          <w:pPr>
            <w:pStyle w:val="TOC4"/>
            <w:rPr>
              <w:rFonts w:eastAsiaTheme="minorEastAsia" w:cs="Times New Roman"/>
              <w:kern w:val="2"/>
              <w:szCs w:val="21"/>
              <w:lang w:eastAsia="zh-CN"/>
              <w14:ligatures w14:val="standardContextual"/>
            </w:rPr>
          </w:pPr>
          <w:hyperlink w:anchor="_Toc212214156" w:history="1">
            <w:r w:rsidRPr="008A045A">
              <w:rPr>
                <w:rStyle w:val="Hyperlink"/>
                <w:rFonts w:cs="Times New Roman"/>
                <w:szCs w:val="21"/>
              </w:rPr>
              <w:t>3.</w:t>
            </w:r>
            <w:r w:rsidRPr="008A045A">
              <w:rPr>
                <w:rFonts w:eastAsiaTheme="minorEastAsia" w:cs="Times New Roman"/>
                <w:kern w:val="2"/>
                <w:szCs w:val="21"/>
                <w:lang w:eastAsia="zh-CN"/>
                <w14:ligatures w14:val="standardContextual"/>
              </w:rPr>
              <w:tab/>
            </w:r>
            <w:r w:rsidRPr="008A045A">
              <w:rPr>
                <w:rStyle w:val="Hyperlink"/>
                <w:rFonts w:cs="Times New Roman"/>
                <w:szCs w:val="21"/>
              </w:rPr>
              <w:t>The Circuits’ Divergent Tests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_Toc212214156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25</w:t>
            </w:r>
            <w:r w:rsidRPr="008A045A">
              <w:rPr>
                <w:rFonts w:cs="Times New Roman"/>
                <w:webHidden/>
                <w:szCs w:val="21"/>
              </w:rPr>
              <w:fldChar w:fldCharType="end"/>
            </w:r>
          </w:hyperlink>
        </w:p>
        <w:p w14:paraId="4910F248" w14:textId="276E26E9" w:rsidR="008A045A" w:rsidRPr="008A045A" w:rsidRDefault="008A045A">
          <w:pPr>
            <w:pStyle w:val="TOC5"/>
            <w:tabs>
              <w:tab w:val="left" w:pos="1600"/>
              <w:tab w:val="right" w:leader="dot" w:pos="6700"/>
            </w:tabs>
            <w:rPr>
              <w:rFonts w:ascii="Times New Roman" w:eastAsiaTheme="minorEastAsia" w:hAnsi="Times New Roman" w:cs="Times New Roman"/>
              <w:noProof/>
              <w:kern w:val="2"/>
              <w:szCs w:val="21"/>
              <w:lang w:eastAsia="zh-CN"/>
              <w14:ligatures w14:val="standardContextual"/>
            </w:rPr>
          </w:pPr>
          <w:hyperlink w:anchor="_Toc212214157" w:history="1">
            <w:r w:rsidRPr="008A045A">
              <w:rPr>
                <w:rStyle w:val="Hyperlink"/>
                <w:rFonts w:ascii="Times New Roman" w:hAnsi="Times New Roman" w:cs="Times New Roman"/>
                <w:iCs/>
                <w:noProof/>
                <w:szCs w:val="21"/>
              </w:rPr>
              <w:t>a.</w:t>
            </w:r>
            <w:r w:rsidRPr="008A045A">
              <w:rPr>
                <w:rFonts w:ascii="Times New Roman" w:eastAsiaTheme="minorEastAsia" w:hAnsi="Times New Roman" w:cs="Times New Roman"/>
                <w:noProof/>
                <w:kern w:val="2"/>
                <w:szCs w:val="21"/>
                <w:lang w:eastAsia="zh-CN"/>
                <w14:ligatures w14:val="standardContextual"/>
              </w:rPr>
              <w:tab/>
            </w:r>
            <w:r w:rsidRPr="008A045A">
              <w:rPr>
                <w:rStyle w:val="Hyperlink"/>
                <w:rFonts w:ascii="Times New Roman" w:hAnsi="Times New Roman" w:cs="Times New Roman"/>
                <w:noProof/>
                <w:szCs w:val="21"/>
              </w:rPr>
              <w:t>Typology</w:t>
            </w:r>
            <w:r w:rsidRPr="008A045A">
              <w:rPr>
                <w:rFonts w:ascii="Times New Roman" w:hAnsi="Times New Roman" w:cs="Times New Roman"/>
                <w:noProof/>
                <w:webHidden/>
                <w:szCs w:val="21"/>
              </w:rPr>
              <w:tab/>
            </w:r>
            <w:r w:rsidRPr="008A045A">
              <w:rPr>
                <w:rFonts w:ascii="Times New Roman" w:hAnsi="Times New Roman" w:cs="Times New Roman"/>
                <w:noProof/>
                <w:webHidden/>
                <w:szCs w:val="21"/>
              </w:rPr>
              <w:fldChar w:fldCharType="begin"/>
            </w:r>
            <w:r w:rsidRPr="008A045A">
              <w:rPr>
                <w:rFonts w:ascii="Times New Roman" w:hAnsi="Times New Roman" w:cs="Times New Roman"/>
                <w:noProof/>
                <w:webHidden/>
                <w:szCs w:val="21"/>
              </w:rPr>
              <w:instrText xml:space="preserve"> PAGEREF _Toc212214157 \h </w:instrText>
            </w:r>
            <w:r w:rsidRPr="008A045A">
              <w:rPr>
                <w:rFonts w:ascii="Times New Roman" w:hAnsi="Times New Roman" w:cs="Times New Roman"/>
                <w:noProof/>
                <w:webHidden/>
                <w:szCs w:val="21"/>
              </w:rPr>
            </w:r>
            <w:r w:rsidRPr="008A045A">
              <w:rPr>
                <w:rFonts w:ascii="Times New Roman" w:hAnsi="Times New Roman" w:cs="Times New Roman"/>
                <w:noProof/>
                <w:webHidden/>
                <w:szCs w:val="21"/>
              </w:rPr>
              <w:fldChar w:fldCharType="separate"/>
            </w:r>
            <w:r w:rsidRPr="008A045A">
              <w:rPr>
                <w:rFonts w:ascii="Times New Roman" w:hAnsi="Times New Roman" w:cs="Times New Roman"/>
                <w:noProof/>
                <w:webHidden/>
                <w:szCs w:val="21"/>
              </w:rPr>
              <w:t>26</w:t>
            </w:r>
            <w:r w:rsidRPr="008A045A">
              <w:rPr>
                <w:rFonts w:ascii="Times New Roman" w:hAnsi="Times New Roman" w:cs="Times New Roman"/>
                <w:noProof/>
                <w:webHidden/>
                <w:szCs w:val="21"/>
              </w:rPr>
              <w:fldChar w:fldCharType="end"/>
            </w:r>
          </w:hyperlink>
        </w:p>
        <w:p w14:paraId="2A2B8A8D" w14:textId="32582506" w:rsidR="008A045A" w:rsidRPr="008A045A" w:rsidRDefault="008A045A">
          <w:pPr>
            <w:pStyle w:val="TOC5"/>
            <w:tabs>
              <w:tab w:val="left" w:pos="1600"/>
              <w:tab w:val="right" w:leader="dot" w:pos="6700"/>
            </w:tabs>
            <w:rPr>
              <w:rFonts w:ascii="Times New Roman" w:eastAsiaTheme="minorEastAsia" w:hAnsi="Times New Roman" w:cs="Times New Roman"/>
              <w:noProof/>
              <w:kern w:val="2"/>
              <w:szCs w:val="21"/>
              <w:lang w:eastAsia="zh-CN"/>
              <w14:ligatures w14:val="standardContextual"/>
            </w:rPr>
          </w:pPr>
          <w:hyperlink w:anchor="_Toc212214158" w:history="1">
            <w:r w:rsidRPr="008A045A">
              <w:rPr>
                <w:rStyle w:val="Hyperlink"/>
                <w:rFonts w:ascii="Times New Roman" w:hAnsi="Times New Roman" w:cs="Times New Roman"/>
                <w:iCs/>
                <w:noProof/>
                <w:szCs w:val="21"/>
              </w:rPr>
              <w:t>b.</w:t>
            </w:r>
            <w:r w:rsidRPr="008A045A">
              <w:rPr>
                <w:rFonts w:ascii="Times New Roman" w:eastAsiaTheme="minorEastAsia" w:hAnsi="Times New Roman" w:cs="Times New Roman"/>
                <w:noProof/>
                <w:kern w:val="2"/>
                <w:szCs w:val="21"/>
                <w:lang w:eastAsia="zh-CN"/>
                <w14:ligatures w14:val="standardContextual"/>
              </w:rPr>
              <w:tab/>
            </w:r>
            <w:r w:rsidRPr="008A045A">
              <w:rPr>
                <w:rStyle w:val="Hyperlink"/>
                <w:rFonts w:ascii="Times New Roman" w:hAnsi="Times New Roman" w:cs="Times New Roman"/>
                <w:noProof/>
                <w:szCs w:val="21"/>
              </w:rPr>
              <w:t>Circuit-by-circuit discussion</w:t>
            </w:r>
            <w:r w:rsidRPr="008A045A">
              <w:rPr>
                <w:rFonts w:ascii="Times New Roman" w:hAnsi="Times New Roman" w:cs="Times New Roman"/>
                <w:noProof/>
                <w:webHidden/>
                <w:szCs w:val="21"/>
              </w:rPr>
              <w:tab/>
            </w:r>
            <w:r w:rsidRPr="008A045A">
              <w:rPr>
                <w:rFonts w:ascii="Times New Roman" w:hAnsi="Times New Roman" w:cs="Times New Roman"/>
                <w:noProof/>
                <w:webHidden/>
                <w:szCs w:val="21"/>
              </w:rPr>
              <w:fldChar w:fldCharType="begin"/>
            </w:r>
            <w:r w:rsidRPr="008A045A">
              <w:rPr>
                <w:rFonts w:ascii="Times New Roman" w:hAnsi="Times New Roman" w:cs="Times New Roman"/>
                <w:noProof/>
                <w:webHidden/>
                <w:szCs w:val="21"/>
              </w:rPr>
              <w:instrText xml:space="preserve"> PAGEREF _Toc212214158 \h </w:instrText>
            </w:r>
            <w:r w:rsidRPr="008A045A">
              <w:rPr>
                <w:rFonts w:ascii="Times New Roman" w:hAnsi="Times New Roman" w:cs="Times New Roman"/>
                <w:noProof/>
                <w:webHidden/>
                <w:szCs w:val="21"/>
              </w:rPr>
            </w:r>
            <w:r w:rsidRPr="008A045A">
              <w:rPr>
                <w:rFonts w:ascii="Times New Roman" w:hAnsi="Times New Roman" w:cs="Times New Roman"/>
                <w:noProof/>
                <w:webHidden/>
                <w:szCs w:val="21"/>
              </w:rPr>
              <w:fldChar w:fldCharType="separate"/>
            </w:r>
            <w:r w:rsidRPr="008A045A">
              <w:rPr>
                <w:rFonts w:ascii="Times New Roman" w:hAnsi="Times New Roman" w:cs="Times New Roman"/>
                <w:noProof/>
                <w:webHidden/>
                <w:szCs w:val="21"/>
              </w:rPr>
              <w:t>27</w:t>
            </w:r>
            <w:r w:rsidRPr="008A045A">
              <w:rPr>
                <w:rFonts w:ascii="Times New Roman" w:hAnsi="Times New Roman" w:cs="Times New Roman"/>
                <w:noProof/>
                <w:webHidden/>
                <w:szCs w:val="21"/>
              </w:rPr>
              <w:fldChar w:fldCharType="end"/>
            </w:r>
          </w:hyperlink>
        </w:p>
        <w:p w14:paraId="636F0741" w14:textId="2E3AC830" w:rsidR="008A045A" w:rsidRPr="008A045A" w:rsidRDefault="008A045A">
          <w:pPr>
            <w:pStyle w:val="TOC5"/>
            <w:tabs>
              <w:tab w:val="left" w:pos="1600"/>
              <w:tab w:val="right" w:leader="dot" w:pos="6700"/>
            </w:tabs>
            <w:rPr>
              <w:rFonts w:ascii="Times New Roman" w:eastAsiaTheme="minorEastAsia" w:hAnsi="Times New Roman" w:cs="Times New Roman"/>
              <w:noProof/>
              <w:kern w:val="2"/>
              <w:szCs w:val="21"/>
              <w:lang w:eastAsia="zh-CN"/>
              <w14:ligatures w14:val="standardContextual"/>
            </w:rPr>
          </w:pPr>
          <w:hyperlink w:anchor="_Toc212214159" w:history="1">
            <w:r w:rsidRPr="008A045A">
              <w:rPr>
                <w:rStyle w:val="Hyperlink"/>
                <w:rFonts w:ascii="Times New Roman" w:hAnsi="Times New Roman" w:cs="Times New Roman"/>
                <w:iCs/>
                <w:noProof/>
                <w:szCs w:val="21"/>
              </w:rPr>
              <w:t>c.</w:t>
            </w:r>
            <w:r w:rsidRPr="008A045A">
              <w:rPr>
                <w:rFonts w:ascii="Times New Roman" w:eastAsiaTheme="minorEastAsia" w:hAnsi="Times New Roman" w:cs="Times New Roman"/>
                <w:noProof/>
                <w:kern w:val="2"/>
                <w:szCs w:val="21"/>
                <w:lang w:eastAsia="zh-CN"/>
                <w14:ligatures w14:val="standardContextual"/>
              </w:rPr>
              <w:tab/>
            </w:r>
            <w:r w:rsidRPr="008A045A">
              <w:rPr>
                <w:rStyle w:val="Hyperlink"/>
                <w:rFonts w:ascii="Times New Roman" w:hAnsi="Times New Roman" w:cs="Times New Roman"/>
                <w:noProof/>
                <w:szCs w:val="21"/>
              </w:rPr>
              <w:t>Table</w:t>
            </w:r>
            <w:r w:rsidRPr="008A045A">
              <w:rPr>
                <w:rFonts w:ascii="Times New Roman" w:hAnsi="Times New Roman" w:cs="Times New Roman"/>
                <w:noProof/>
                <w:webHidden/>
                <w:szCs w:val="21"/>
              </w:rPr>
              <w:tab/>
            </w:r>
            <w:r w:rsidRPr="008A045A">
              <w:rPr>
                <w:rFonts w:ascii="Times New Roman" w:hAnsi="Times New Roman" w:cs="Times New Roman"/>
                <w:noProof/>
                <w:webHidden/>
                <w:szCs w:val="21"/>
              </w:rPr>
              <w:fldChar w:fldCharType="begin"/>
            </w:r>
            <w:r w:rsidRPr="008A045A">
              <w:rPr>
                <w:rFonts w:ascii="Times New Roman" w:hAnsi="Times New Roman" w:cs="Times New Roman"/>
                <w:noProof/>
                <w:webHidden/>
                <w:szCs w:val="21"/>
              </w:rPr>
              <w:instrText xml:space="preserve"> PAGEREF _Toc212214159 \h </w:instrText>
            </w:r>
            <w:r w:rsidRPr="008A045A">
              <w:rPr>
                <w:rFonts w:ascii="Times New Roman" w:hAnsi="Times New Roman" w:cs="Times New Roman"/>
                <w:noProof/>
                <w:webHidden/>
                <w:szCs w:val="21"/>
              </w:rPr>
            </w:r>
            <w:r w:rsidRPr="008A045A">
              <w:rPr>
                <w:rFonts w:ascii="Times New Roman" w:hAnsi="Times New Roman" w:cs="Times New Roman"/>
                <w:noProof/>
                <w:webHidden/>
                <w:szCs w:val="21"/>
              </w:rPr>
              <w:fldChar w:fldCharType="separate"/>
            </w:r>
            <w:r w:rsidRPr="008A045A">
              <w:rPr>
                <w:rFonts w:ascii="Times New Roman" w:hAnsi="Times New Roman" w:cs="Times New Roman"/>
                <w:noProof/>
                <w:webHidden/>
                <w:szCs w:val="21"/>
              </w:rPr>
              <w:t>36</w:t>
            </w:r>
            <w:r w:rsidRPr="008A045A">
              <w:rPr>
                <w:rFonts w:ascii="Times New Roman" w:hAnsi="Times New Roman" w:cs="Times New Roman"/>
                <w:noProof/>
                <w:webHidden/>
                <w:szCs w:val="21"/>
              </w:rPr>
              <w:fldChar w:fldCharType="end"/>
            </w:r>
          </w:hyperlink>
        </w:p>
        <w:p w14:paraId="3576461E" w14:textId="5515795C" w:rsidR="008A045A" w:rsidRPr="008A045A" w:rsidRDefault="008A045A">
          <w:pPr>
            <w:pStyle w:val="TOC5"/>
            <w:tabs>
              <w:tab w:val="left" w:pos="1600"/>
              <w:tab w:val="right" w:leader="dot" w:pos="6700"/>
            </w:tabs>
            <w:rPr>
              <w:rFonts w:ascii="Times New Roman" w:eastAsiaTheme="minorEastAsia" w:hAnsi="Times New Roman" w:cs="Times New Roman"/>
              <w:noProof/>
              <w:kern w:val="2"/>
              <w:szCs w:val="21"/>
              <w:lang w:eastAsia="zh-CN"/>
              <w14:ligatures w14:val="standardContextual"/>
            </w:rPr>
          </w:pPr>
          <w:hyperlink w:anchor="_Toc212214160" w:history="1">
            <w:r w:rsidRPr="008A045A">
              <w:rPr>
                <w:rStyle w:val="Hyperlink"/>
                <w:rFonts w:ascii="Times New Roman" w:hAnsi="Times New Roman" w:cs="Times New Roman"/>
                <w:iCs/>
                <w:noProof/>
                <w:szCs w:val="21"/>
              </w:rPr>
              <w:t>d.</w:t>
            </w:r>
            <w:r w:rsidRPr="008A045A">
              <w:rPr>
                <w:rFonts w:ascii="Times New Roman" w:eastAsiaTheme="minorEastAsia" w:hAnsi="Times New Roman" w:cs="Times New Roman"/>
                <w:noProof/>
                <w:kern w:val="2"/>
                <w:szCs w:val="21"/>
                <w:lang w:eastAsia="zh-CN"/>
                <w14:ligatures w14:val="standardContextual"/>
              </w:rPr>
              <w:tab/>
            </w:r>
            <w:r w:rsidRPr="008A045A">
              <w:rPr>
                <w:rStyle w:val="Hyperlink"/>
                <w:rFonts w:ascii="Times New Roman" w:hAnsi="Times New Roman" w:cs="Times New Roman"/>
                <w:noProof/>
                <w:szCs w:val="21"/>
              </w:rPr>
              <w:t>Summary</w:t>
            </w:r>
            <w:r w:rsidRPr="008A045A">
              <w:rPr>
                <w:rFonts w:ascii="Times New Roman" w:hAnsi="Times New Roman" w:cs="Times New Roman"/>
                <w:noProof/>
                <w:webHidden/>
                <w:szCs w:val="21"/>
              </w:rPr>
              <w:tab/>
            </w:r>
            <w:r w:rsidRPr="008A045A">
              <w:rPr>
                <w:rFonts w:ascii="Times New Roman" w:hAnsi="Times New Roman" w:cs="Times New Roman"/>
                <w:noProof/>
                <w:webHidden/>
                <w:szCs w:val="21"/>
              </w:rPr>
              <w:fldChar w:fldCharType="begin"/>
            </w:r>
            <w:r w:rsidRPr="008A045A">
              <w:rPr>
                <w:rFonts w:ascii="Times New Roman" w:hAnsi="Times New Roman" w:cs="Times New Roman"/>
                <w:noProof/>
                <w:webHidden/>
                <w:szCs w:val="21"/>
              </w:rPr>
              <w:instrText xml:space="preserve"> PAGEREF _Toc212214160 \h </w:instrText>
            </w:r>
            <w:r w:rsidRPr="008A045A">
              <w:rPr>
                <w:rFonts w:ascii="Times New Roman" w:hAnsi="Times New Roman" w:cs="Times New Roman"/>
                <w:noProof/>
                <w:webHidden/>
                <w:szCs w:val="21"/>
              </w:rPr>
            </w:r>
            <w:r w:rsidRPr="008A045A">
              <w:rPr>
                <w:rFonts w:ascii="Times New Roman" w:hAnsi="Times New Roman" w:cs="Times New Roman"/>
                <w:noProof/>
                <w:webHidden/>
                <w:szCs w:val="21"/>
              </w:rPr>
              <w:fldChar w:fldCharType="separate"/>
            </w:r>
            <w:r w:rsidRPr="008A045A">
              <w:rPr>
                <w:rFonts w:ascii="Times New Roman" w:hAnsi="Times New Roman" w:cs="Times New Roman"/>
                <w:noProof/>
                <w:webHidden/>
                <w:szCs w:val="21"/>
              </w:rPr>
              <w:t>39</w:t>
            </w:r>
            <w:r w:rsidRPr="008A045A">
              <w:rPr>
                <w:rFonts w:ascii="Times New Roman" w:hAnsi="Times New Roman" w:cs="Times New Roman"/>
                <w:noProof/>
                <w:webHidden/>
                <w:szCs w:val="21"/>
              </w:rPr>
              <w:fldChar w:fldCharType="end"/>
            </w:r>
          </w:hyperlink>
        </w:p>
        <w:p w14:paraId="156CD042" w14:textId="5982B8DA" w:rsidR="008A045A" w:rsidRPr="008A045A" w:rsidRDefault="008A045A">
          <w:pPr>
            <w:pStyle w:val="TOC4"/>
            <w:rPr>
              <w:rFonts w:eastAsiaTheme="minorEastAsia" w:cs="Times New Roman"/>
              <w:kern w:val="2"/>
              <w:szCs w:val="21"/>
              <w:lang w:eastAsia="zh-CN"/>
              <w14:ligatures w14:val="standardContextual"/>
            </w:rPr>
          </w:pPr>
          <w:hyperlink w:anchor="_Toc212214161" w:history="1">
            <w:r w:rsidRPr="008A045A">
              <w:rPr>
                <w:rStyle w:val="Hyperlink"/>
                <w:rFonts w:cs="Times New Roman"/>
                <w:szCs w:val="21"/>
              </w:rPr>
              <w:t>4.</w:t>
            </w:r>
            <w:r w:rsidRPr="008A045A">
              <w:rPr>
                <w:rFonts w:eastAsiaTheme="minorEastAsia" w:cs="Times New Roman"/>
                <w:kern w:val="2"/>
                <w:szCs w:val="21"/>
                <w:lang w:eastAsia="zh-CN"/>
                <w14:ligatures w14:val="standardContextual"/>
              </w:rPr>
              <w:tab/>
            </w:r>
            <w:r w:rsidRPr="008A045A">
              <w:rPr>
                <w:rStyle w:val="Hyperlink"/>
                <w:rFonts w:cs="Times New Roman"/>
                <w:szCs w:val="21"/>
              </w:rPr>
              <w:t>Why the Circuits’ Divergent Tests?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_Toc212214161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41</w:t>
            </w:r>
            <w:r w:rsidRPr="008A045A">
              <w:rPr>
                <w:rFonts w:cs="Times New Roman"/>
                <w:webHidden/>
                <w:szCs w:val="21"/>
              </w:rPr>
              <w:fldChar w:fldCharType="end"/>
            </w:r>
          </w:hyperlink>
        </w:p>
        <w:p w14:paraId="0A7E21E9" w14:textId="5048577D" w:rsidR="008A045A" w:rsidRPr="008A045A" w:rsidRDefault="008A045A">
          <w:pPr>
            <w:pStyle w:val="TOC2"/>
            <w:rPr>
              <w:rFonts w:eastAsiaTheme="minorEastAsia" w:cs="Times New Roman"/>
              <w:bCs w:val="0"/>
              <w:kern w:val="2"/>
              <w:szCs w:val="21"/>
              <w:lang w:eastAsia="zh-CN"/>
              <w14:ligatures w14:val="standardContextual"/>
            </w:rPr>
          </w:pPr>
          <w:hyperlink w:anchor="_Toc212214162" w:history="1">
            <w:r w:rsidRPr="008A045A">
              <w:rPr>
                <w:rStyle w:val="Hyperlink"/>
                <w:rFonts w:cs="Times New Roman"/>
                <w:szCs w:val="21"/>
              </w:rPr>
              <w:t>II.</w:t>
            </w:r>
            <w:r w:rsidRPr="008A045A">
              <w:rPr>
                <w:rFonts w:eastAsiaTheme="minorEastAsia" w:cs="Times New Roman"/>
                <w:bCs w:val="0"/>
                <w:kern w:val="2"/>
                <w:szCs w:val="21"/>
                <w:lang w:eastAsia="zh-CN"/>
                <w14:ligatures w14:val="standardContextual"/>
              </w:rPr>
              <w:tab/>
            </w:r>
            <w:r w:rsidRPr="008A045A">
              <w:rPr>
                <w:rStyle w:val="Hyperlink"/>
                <w:rFonts w:cs="Times New Roman"/>
                <w:szCs w:val="21"/>
              </w:rPr>
              <w:t>Does the Administrative-Remand Rule Make Sense?</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_Toc212214162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44</w:t>
            </w:r>
            <w:r w:rsidRPr="008A045A">
              <w:rPr>
                <w:rFonts w:cs="Times New Roman"/>
                <w:webHidden/>
                <w:szCs w:val="21"/>
              </w:rPr>
              <w:fldChar w:fldCharType="end"/>
            </w:r>
          </w:hyperlink>
        </w:p>
        <w:p w14:paraId="23E7A862" w14:textId="01C00163" w:rsidR="008A045A" w:rsidRPr="008A045A" w:rsidRDefault="008A045A">
          <w:pPr>
            <w:pStyle w:val="TOC3"/>
            <w:rPr>
              <w:rFonts w:eastAsiaTheme="minorEastAsia" w:cs="Times New Roman"/>
              <w:kern w:val="2"/>
              <w:szCs w:val="21"/>
              <w:lang w:eastAsia="zh-CN"/>
              <w14:ligatures w14:val="standardContextual"/>
            </w:rPr>
          </w:pPr>
          <w:hyperlink w:anchor="_Toc212214163" w:history="1">
            <w:r w:rsidRPr="008A045A">
              <w:rPr>
                <w:rStyle w:val="Hyperlink"/>
                <w:rFonts w:cs="Times New Roman"/>
                <w:szCs w:val="21"/>
              </w:rPr>
              <w:t>A.</w:t>
            </w:r>
            <w:r w:rsidRPr="008A045A">
              <w:rPr>
                <w:rFonts w:eastAsiaTheme="minorEastAsia" w:cs="Times New Roman"/>
                <w:kern w:val="2"/>
                <w:szCs w:val="21"/>
                <w:lang w:eastAsia="zh-CN"/>
                <w14:ligatures w14:val="standardContextual"/>
              </w:rPr>
              <w:tab/>
            </w:r>
            <w:r w:rsidRPr="008A045A">
              <w:rPr>
                <w:rStyle w:val="Hyperlink"/>
                <w:rFonts w:cs="Times New Roman"/>
                <w:szCs w:val="21"/>
              </w:rPr>
              <w:t>What’s to Like (Friends of Hope Valley)</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_Toc212214163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44</w:t>
            </w:r>
            <w:r w:rsidRPr="008A045A">
              <w:rPr>
                <w:rFonts w:cs="Times New Roman"/>
                <w:webHidden/>
                <w:szCs w:val="21"/>
              </w:rPr>
              <w:fldChar w:fldCharType="end"/>
            </w:r>
          </w:hyperlink>
        </w:p>
        <w:p w14:paraId="09338F0C" w14:textId="6C7648C0" w:rsidR="008A045A" w:rsidRPr="008A045A" w:rsidRDefault="008A045A">
          <w:pPr>
            <w:pStyle w:val="TOC3"/>
            <w:rPr>
              <w:rFonts w:eastAsiaTheme="minorEastAsia" w:cs="Times New Roman"/>
              <w:kern w:val="2"/>
              <w:szCs w:val="21"/>
              <w:lang w:eastAsia="zh-CN"/>
              <w14:ligatures w14:val="standardContextual"/>
            </w:rPr>
          </w:pPr>
          <w:hyperlink w:anchor="_Toc212214164" w:history="1">
            <w:r w:rsidRPr="008A045A">
              <w:rPr>
                <w:rStyle w:val="Hyperlink"/>
                <w:rFonts w:cs="Times New Roman"/>
                <w:szCs w:val="21"/>
              </w:rPr>
              <w:t>B.</w:t>
            </w:r>
            <w:r w:rsidRPr="008A045A">
              <w:rPr>
                <w:rFonts w:eastAsiaTheme="minorEastAsia" w:cs="Times New Roman"/>
                <w:kern w:val="2"/>
                <w:szCs w:val="21"/>
                <w:lang w:eastAsia="zh-CN"/>
                <w14:ligatures w14:val="standardContextual"/>
              </w:rPr>
              <w:tab/>
            </w:r>
            <w:r w:rsidRPr="008A045A">
              <w:rPr>
                <w:rStyle w:val="Hyperlink"/>
                <w:rFonts w:cs="Times New Roman"/>
                <w:szCs w:val="21"/>
              </w:rPr>
              <w:t>What’s Not to Like (Other Scenarios and Broader Issues)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_Toc212214164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47</w:t>
            </w:r>
            <w:r w:rsidRPr="008A045A">
              <w:rPr>
                <w:rFonts w:cs="Times New Roman"/>
                <w:webHidden/>
                <w:szCs w:val="21"/>
              </w:rPr>
              <w:fldChar w:fldCharType="end"/>
            </w:r>
          </w:hyperlink>
        </w:p>
        <w:p w14:paraId="1A0371DD" w14:textId="5DB43D11" w:rsidR="008A045A" w:rsidRPr="008A045A" w:rsidRDefault="008A045A">
          <w:pPr>
            <w:pStyle w:val="TOC4"/>
            <w:rPr>
              <w:rFonts w:eastAsiaTheme="minorEastAsia" w:cs="Times New Roman"/>
              <w:kern w:val="2"/>
              <w:szCs w:val="21"/>
              <w:lang w:eastAsia="zh-CN"/>
              <w14:ligatures w14:val="standardContextual"/>
            </w:rPr>
          </w:pPr>
          <w:hyperlink w:anchor="_Toc212214165" w:history="1">
            <w:r w:rsidRPr="008A045A">
              <w:rPr>
                <w:rStyle w:val="Hyperlink"/>
                <w:rFonts w:cs="Times New Roman"/>
                <w:szCs w:val="21"/>
              </w:rPr>
              <w:t>1.</w:t>
            </w:r>
            <w:r w:rsidRPr="008A045A">
              <w:rPr>
                <w:rFonts w:eastAsiaTheme="minorEastAsia" w:cs="Times New Roman"/>
                <w:kern w:val="2"/>
                <w:szCs w:val="21"/>
                <w:lang w:eastAsia="zh-CN"/>
                <w14:ligatures w14:val="standardContextual"/>
              </w:rPr>
              <w:tab/>
            </w:r>
            <w:r w:rsidRPr="008A045A">
              <w:rPr>
                <w:rStyle w:val="Hyperlink"/>
                <w:rFonts w:cs="Times New Roman"/>
                <w:szCs w:val="21"/>
              </w:rPr>
              <w:t>Specific Scenarios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_Toc212214165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47</w:t>
            </w:r>
            <w:r w:rsidRPr="008A045A">
              <w:rPr>
                <w:rFonts w:cs="Times New Roman"/>
                <w:webHidden/>
                <w:szCs w:val="21"/>
              </w:rPr>
              <w:fldChar w:fldCharType="end"/>
            </w:r>
          </w:hyperlink>
        </w:p>
        <w:p w14:paraId="1133EF19" w14:textId="5F7BBC71" w:rsidR="008A045A" w:rsidRPr="008A045A" w:rsidRDefault="008A045A">
          <w:pPr>
            <w:pStyle w:val="TOC4"/>
            <w:rPr>
              <w:rFonts w:eastAsiaTheme="minorEastAsia" w:cs="Times New Roman"/>
              <w:kern w:val="2"/>
              <w:szCs w:val="21"/>
              <w:lang w:eastAsia="zh-CN"/>
              <w14:ligatures w14:val="standardContextual"/>
            </w:rPr>
          </w:pPr>
          <w:hyperlink w:anchor="_Toc212214166" w:history="1">
            <w:r w:rsidRPr="008A045A">
              <w:rPr>
                <w:rStyle w:val="Hyperlink"/>
                <w:rFonts w:cs="Times New Roman"/>
                <w:szCs w:val="21"/>
              </w:rPr>
              <w:t>2.</w:t>
            </w:r>
            <w:r w:rsidRPr="008A045A">
              <w:rPr>
                <w:rFonts w:eastAsiaTheme="minorEastAsia" w:cs="Times New Roman"/>
                <w:kern w:val="2"/>
                <w:szCs w:val="21"/>
                <w:lang w:eastAsia="zh-CN"/>
                <w14:ligatures w14:val="standardContextual"/>
              </w:rPr>
              <w:tab/>
            </w:r>
            <w:r w:rsidRPr="008A045A">
              <w:rPr>
                <w:rStyle w:val="Hyperlink"/>
                <w:rFonts w:cs="Times New Roman"/>
                <w:szCs w:val="21"/>
              </w:rPr>
              <w:t>Broader Issues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_Toc212214166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53</w:t>
            </w:r>
            <w:r w:rsidRPr="008A045A">
              <w:rPr>
                <w:rFonts w:cs="Times New Roman"/>
                <w:webHidden/>
                <w:szCs w:val="21"/>
              </w:rPr>
              <w:fldChar w:fldCharType="end"/>
            </w:r>
          </w:hyperlink>
        </w:p>
        <w:p w14:paraId="10685452" w14:textId="7A0A3950" w:rsidR="008A045A" w:rsidRPr="008A045A" w:rsidRDefault="008A045A">
          <w:pPr>
            <w:pStyle w:val="TOC2"/>
            <w:rPr>
              <w:rFonts w:eastAsiaTheme="minorEastAsia" w:cs="Times New Roman"/>
              <w:bCs w:val="0"/>
              <w:kern w:val="2"/>
              <w:szCs w:val="21"/>
              <w:lang w:eastAsia="zh-CN"/>
              <w14:ligatures w14:val="standardContextual"/>
            </w:rPr>
          </w:pPr>
          <w:hyperlink w:anchor="_Toc212214167" w:history="1">
            <w:r w:rsidRPr="008A045A">
              <w:rPr>
                <w:rStyle w:val="Hyperlink"/>
                <w:rFonts w:cs="Times New Roman"/>
                <w:szCs w:val="21"/>
              </w:rPr>
              <w:t>III.</w:t>
            </w:r>
            <w:r w:rsidRPr="008A045A">
              <w:rPr>
                <w:rFonts w:eastAsiaTheme="minorEastAsia" w:cs="Times New Roman"/>
                <w:bCs w:val="0"/>
                <w:kern w:val="2"/>
                <w:szCs w:val="21"/>
                <w:lang w:eastAsia="zh-CN"/>
                <w14:ligatures w14:val="standardContextual"/>
              </w:rPr>
              <w:tab/>
            </w:r>
            <w:r w:rsidRPr="008A045A">
              <w:rPr>
                <w:rStyle w:val="Hyperlink"/>
                <w:rFonts w:cs="Times New Roman"/>
                <w:szCs w:val="21"/>
              </w:rPr>
              <w:t>Towards a Better Administrative-Remand Rule</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_Toc212214167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60</w:t>
            </w:r>
            <w:r w:rsidRPr="008A045A">
              <w:rPr>
                <w:rFonts w:cs="Times New Roman"/>
                <w:webHidden/>
                <w:szCs w:val="21"/>
              </w:rPr>
              <w:fldChar w:fldCharType="end"/>
            </w:r>
          </w:hyperlink>
        </w:p>
        <w:p w14:paraId="0D779726" w14:textId="0A9BB17F" w:rsidR="008A045A" w:rsidRPr="008A045A" w:rsidRDefault="008A045A">
          <w:pPr>
            <w:pStyle w:val="TOC2"/>
            <w:rPr>
              <w:rFonts w:eastAsiaTheme="minorEastAsia" w:cs="Times New Roman"/>
              <w:bCs w:val="0"/>
              <w:kern w:val="2"/>
              <w:szCs w:val="21"/>
              <w:lang w:eastAsia="zh-CN"/>
              <w14:ligatures w14:val="standardContextual"/>
            </w:rPr>
          </w:pPr>
          <w:hyperlink w:anchor="_Toc212214168" w:history="1">
            <w:r w:rsidRPr="008A045A">
              <w:rPr>
                <w:rStyle w:val="Hyperlink"/>
                <w:rFonts w:cs="Times New Roman"/>
                <w:szCs w:val="21"/>
              </w:rPr>
              <w:t>IV.</w:t>
            </w:r>
            <w:r w:rsidRPr="008A045A">
              <w:rPr>
                <w:rFonts w:eastAsiaTheme="minorEastAsia" w:cs="Times New Roman"/>
                <w:bCs w:val="0"/>
                <w:kern w:val="2"/>
                <w:szCs w:val="21"/>
                <w:lang w:eastAsia="zh-CN"/>
                <w14:ligatures w14:val="standardContextual"/>
              </w:rPr>
              <w:tab/>
            </w:r>
            <w:r w:rsidRPr="008A045A">
              <w:rPr>
                <w:rStyle w:val="Hyperlink"/>
                <w:rFonts w:cs="Times New Roman"/>
                <w:szCs w:val="21"/>
              </w:rPr>
              <w:t>Considerations for Practitioners</w:t>
            </w:r>
            <w:r w:rsidRPr="008A045A">
              <w:rPr>
                <w:rFonts w:cs="Times New Roman"/>
                <w:webHidden/>
                <w:szCs w:val="21"/>
              </w:rPr>
              <w:tab/>
            </w:r>
            <w:r w:rsidRPr="008A045A">
              <w:rPr>
                <w:rFonts w:cs="Times New Roman"/>
                <w:webHidden/>
                <w:szCs w:val="21"/>
              </w:rPr>
              <w:fldChar w:fldCharType="begin"/>
            </w:r>
            <w:r w:rsidRPr="008A045A">
              <w:rPr>
                <w:rFonts w:cs="Times New Roman"/>
                <w:webHidden/>
                <w:szCs w:val="21"/>
              </w:rPr>
              <w:instrText xml:space="preserve"> PAGEREF _Toc212214168 \h </w:instrText>
            </w:r>
            <w:r w:rsidRPr="008A045A">
              <w:rPr>
                <w:rFonts w:cs="Times New Roman"/>
                <w:webHidden/>
                <w:szCs w:val="21"/>
              </w:rPr>
            </w:r>
            <w:r w:rsidRPr="008A045A">
              <w:rPr>
                <w:rFonts w:cs="Times New Roman"/>
                <w:webHidden/>
                <w:szCs w:val="21"/>
              </w:rPr>
              <w:fldChar w:fldCharType="separate"/>
            </w:r>
            <w:r w:rsidRPr="008A045A">
              <w:rPr>
                <w:rFonts w:cs="Times New Roman"/>
                <w:webHidden/>
                <w:szCs w:val="21"/>
              </w:rPr>
              <w:t>65</w:t>
            </w:r>
            <w:r w:rsidRPr="008A045A">
              <w:rPr>
                <w:rFonts w:cs="Times New Roman"/>
                <w:webHidden/>
                <w:szCs w:val="21"/>
              </w:rPr>
              <w:fldChar w:fldCharType="end"/>
            </w:r>
          </w:hyperlink>
        </w:p>
        <w:p w14:paraId="3FEE399D" w14:textId="7F4FCC9A" w:rsidR="008A045A" w:rsidRPr="008A045A" w:rsidRDefault="008A045A">
          <w:pPr>
            <w:pStyle w:val="TOC1"/>
            <w:tabs>
              <w:tab w:val="right" w:leader="dot" w:pos="6700"/>
            </w:tabs>
            <w:rPr>
              <w:rFonts w:eastAsiaTheme="minorEastAsia" w:cs="Times New Roman"/>
              <w:bCs w:val="0"/>
              <w:noProof/>
              <w:kern w:val="2"/>
              <w:szCs w:val="21"/>
              <w:lang w:eastAsia="zh-CN"/>
              <w14:ligatures w14:val="standardContextual"/>
            </w:rPr>
          </w:pPr>
          <w:hyperlink w:anchor="_Toc212214169" w:history="1">
            <w:r w:rsidRPr="008A045A">
              <w:rPr>
                <w:rStyle w:val="Hyperlink"/>
                <w:rFonts w:cs="Times New Roman"/>
                <w:noProof/>
                <w:szCs w:val="21"/>
              </w:rPr>
              <w:t>Conclusion</w:t>
            </w:r>
            <w:r w:rsidRPr="008A045A">
              <w:rPr>
                <w:rFonts w:cs="Times New Roman"/>
                <w:noProof/>
                <w:webHidden/>
                <w:szCs w:val="21"/>
              </w:rPr>
              <w:tab/>
            </w:r>
            <w:r w:rsidRPr="008A045A">
              <w:rPr>
                <w:rFonts w:cs="Times New Roman"/>
                <w:noProof/>
                <w:webHidden/>
                <w:szCs w:val="21"/>
              </w:rPr>
              <w:fldChar w:fldCharType="begin"/>
            </w:r>
            <w:r w:rsidRPr="008A045A">
              <w:rPr>
                <w:rFonts w:cs="Times New Roman"/>
                <w:noProof/>
                <w:webHidden/>
                <w:szCs w:val="21"/>
              </w:rPr>
              <w:instrText xml:space="preserve"> PAGEREF _Toc212214169 \h </w:instrText>
            </w:r>
            <w:r w:rsidRPr="008A045A">
              <w:rPr>
                <w:rFonts w:cs="Times New Roman"/>
                <w:noProof/>
                <w:webHidden/>
                <w:szCs w:val="21"/>
              </w:rPr>
            </w:r>
            <w:r w:rsidRPr="008A045A">
              <w:rPr>
                <w:rFonts w:cs="Times New Roman"/>
                <w:noProof/>
                <w:webHidden/>
                <w:szCs w:val="21"/>
              </w:rPr>
              <w:fldChar w:fldCharType="separate"/>
            </w:r>
            <w:r w:rsidRPr="008A045A">
              <w:rPr>
                <w:rFonts w:cs="Times New Roman"/>
                <w:noProof/>
                <w:webHidden/>
                <w:szCs w:val="21"/>
              </w:rPr>
              <w:t>66</w:t>
            </w:r>
            <w:r w:rsidRPr="008A045A">
              <w:rPr>
                <w:rFonts w:cs="Times New Roman"/>
                <w:noProof/>
                <w:webHidden/>
                <w:szCs w:val="21"/>
              </w:rPr>
              <w:fldChar w:fldCharType="end"/>
            </w:r>
          </w:hyperlink>
        </w:p>
        <w:p w14:paraId="792B5607" w14:textId="31250757" w:rsidR="00F95786" w:rsidRPr="008A045A" w:rsidRDefault="008A045A">
          <w:pPr>
            <w:rPr>
              <w:rFonts w:cs="Times New Roman"/>
              <w:szCs w:val="21"/>
            </w:rPr>
          </w:pPr>
          <w:r w:rsidRPr="008A045A">
            <w:rPr>
              <w:rFonts w:cs="Times New Roman"/>
              <w:szCs w:val="21"/>
            </w:rPr>
            <w:fldChar w:fldCharType="end"/>
          </w:r>
        </w:p>
      </w:sdtContent>
    </w:sdt>
    <w:p w14:paraId="0430621C" w14:textId="77777777" w:rsidR="00720808" w:rsidRPr="008A045A" w:rsidRDefault="00720808" w:rsidP="009C7212">
      <w:pPr>
        <w:rPr>
          <w:rFonts w:cs="Times New Roman"/>
          <w:szCs w:val="21"/>
        </w:rPr>
      </w:pPr>
      <w:r w:rsidRPr="008A045A">
        <w:rPr>
          <w:rFonts w:cs="Times New Roman"/>
          <w:szCs w:val="21"/>
        </w:rPr>
        <w:br w:type="page"/>
      </w:r>
    </w:p>
    <w:p w14:paraId="4F3088A3" w14:textId="17D5128E" w:rsidR="0050214A" w:rsidRDefault="00720808" w:rsidP="008111D9">
      <w:pPr>
        <w:pStyle w:val="Heading1"/>
        <w:numPr>
          <w:ilvl w:val="0"/>
          <w:numId w:val="24"/>
        </w:numPr>
      </w:pPr>
      <w:bookmarkStart w:id="0" w:name="_Toc212214148"/>
      <w:r w:rsidRPr="008111D9">
        <w:lastRenderedPageBreak/>
        <w:t>Introduction</w:t>
      </w:r>
      <w:bookmarkEnd w:id="0"/>
    </w:p>
    <w:p w14:paraId="425EC15D" w14:textId="77777777" w:rsidR="00092031" w:rsidRDefault="00092031" w:rsidP="00092031">
      <w:r w:rsidRPr="002866AC">
        <w:t xml:space="preserve">Twenty miles due south of Lake Tahoe lies Hope Valley, a near-pristine stretch of alpine wilderness in California’s Sierra Nevada mountains. The valley weaves along the eastern flank of Carson Pass, a long corridor of time-worn granite peaks with the meandering West Carson River at its center. Like all of California, the valley was once Native land. Every winter, for millennia, members of the Northern Washoe Tribe would traverse the valley by snowshoe along a trail they called </w:t>
      </w:r>
      <w:proofErr w:type="spellStart"/>
      <w:r w:rsidRPr="002866AC">
        <w:t>Pewećeli</w:t>
      </w:r>
      <w:proofErr w:type="spellEnd"/>
      <w:r w:rsidRPr="002866AC">
        <w:t xml:space="preserve"> </w:t>
      </w:r>
      <w:proofErr w:type="spellStart"/>
      <w:r w:rsidRPr="002866AC">
        <w:t>Yeweš</w:t>
      </w:r>
      <w:proofErr w:type="spellEnd"/>
      <w:r w:rsidRPr="002866AC">
        <w:t>.</w:t>
      </w:r>
      <w:r w:rsidRPr="002866AC">
        <w:rPr>
          <w:rStyle w:val="FootnoteReference"/>
        </w:rPr>
        <w:footnoteReference w:id="2"/>
      </w:r>
      <w:r w:rsidRPr="002866AC">
        <w:t xml:space="preserve"> After the Mexican-American War, a dispirited Mormon battalion returning to Utah declared their “spirits revived” and “hope” restored upon seeing the valley’s quiet beauty.</w:t>
      </w:r>
      <w:r w:rsidRPr="002866AC">
        <w:rPr>
          <w:rStyle w:val="FootnoteReference"/>
        </w:rPr>
        <w:footnoteReference w:id="3"/>
      </w:r>
      <w:r w:rsidRPr="002866AC">
        <w:t xml:space="preserve"> Ever since, the valley has been most commonly known as Hope Valley, and it has provided exceptional opportunities for outdoor recreation, especially in winter. Two groups are especially fond of the valley, if not of each other: cross-country skiers and snowmobilers. Because Hope Valley lies within the Humboldt-Toiyabe National Forest, the task of managing these and other uses of Hope Valley falls to the U.S. Forest Service.</w:t>
      </w:r>
      <w:r w:rsidRPr="002866AC">
        <w:rPr>
          <w:rStyle w:val="FootnoteReference"/>
        </w:rPr>
        <w:footnoteReference w:id="4"/>
      </w:r>
      <w:r w:rsidRPr="002866AC">
        <w:t xml:space="preserve"> </w:t>
      </w:r>
    </w:p>
    <w:p w14:paraId="571D6B13" w14:textId="77777777" w:rsidR="00092031" w:rsidRPr="002866AC" w:rsidRDefault="00092031" w:rsidP="00092031"/>
    <w:p w14:paraId="482CDD7C" w14:textId="77777777" w:rsidR="00092031" w:rsidRDefault="00092031" w:rsidP="00092031">
      <w:r w:rsidRPr="002866AC">
        <w:t xml:space="preserve">In 2004, in a case called </w:t>
      </w:r>
      <w:r w:rsidRPr="002866AC">
        <w:rPr>
          <w:i/>
          <w:iCs/>
        </w:rPr>
        <w:t>Friends of Hope Valley v. U.S. Forest Service</w:t>
      </w:r>
      <w:r w:rsidRPr="002866AC">
        <w:t>, the U.S. District Court for the Eastern District of California ruled for the skiers in their challenge to the Forest Service’s decision about which winter-recreation uses should be permitted where in Hope Valley.</w:t>
      </w:r>
      <w:r w:rsidRPr="002866AC">
        <w:rPr>
          <w:rStyle w:val="FootnoteReference"/>
        </w:rPr>
        <w:footnoteReference w:id="5"/>
      </w:r>
      <w:r w:rsidRPr="002866AC">
        <w:t xml:space="preserve"> The court found a very limited violation of federal law—one the plaintiffs had barely asserted—and remanded </w:t>
      </w:r>
      <w:r w:rsidRPr="002866AC">
        <w:lastRenderedPageBreak/>
        <w:t>the Forest Service’s decision for further environmental review.</w:t>
      </w:r>
      <w:r w:rsidRPr="002866AC">
        <w:rPr>
          <w:rStyle w:val="FootnoteReference"/>
        </w:rPr>
        <w:footnoteReference w:id="6"/>
      </w:r>
      <w:r w:rsidRPr="002866AC">
        <w:t xml:space="preserve"> The skiers, but not the Forest Service, appealed. In 2006, the U.S. Court of Appeals dismissed the skiers’ appeal.</w:t>
      </w:r>
      <w:r w:rsidRPr="002866AC">
        <w:rPr>
          <w:rStyle w:val="FootnoteReference"/>
        </w:rPr>
        <w:footnoteReference w:id="7"/>
      </w:r>
      <w:r w:rsidRPr="002866AC">
        <w:t xml:space="preserve"> </w:t>
      </w:r>
    </w:p>
    <w:p w14:paraId="1C8705FA" w14:textId="77777777" w:rsidR="00092031" w:rsidRPr="002866AC" w:rsidRDefault="00092031" w:rsidP="00092031"/>
    <w:p w14:paraId="7C39A992" w14:textId="77777777" w:rsidR="00092031" w:rsidRDefault="00092031" w:rsidP="00092031">
      <w:r w:rsidRPr="002866AC">
        <w:t>To dismiss the appeal, the Ninth Circuit invoked a little-known rule called the “administrative-remand rule,” under which only an agency may appeal from a district-court order remanding the agency’s decision under the federal Administrative Procedure Act (“APA”).</w:t>
      </w:r>
      <w:r w:rsidRPr="002866AC">
        <w:rPr>
          <w:rStyle w:val="FootnoteReference"/>
        </w:rPr>
        <w:footnoteReference w:id="8"/>
      </w:r>
      <w:r w:rsidRPr="002866AC">
        <w:t xml:space="preserve"> Under this rule, where an agency chooses not to appeal, other parties, such as intervenors defending the agency’s decision or, as in </w:t>
      </w:r>
      <w:r w:rsidRPr="002866AC">
        <w:rPr>
          <w:i/>
          <w:iCs/>
        </w:rPr>
        <w:t>Friends of Hope Valley</w:t>
      </w:r>
      <w:r w:rsidRPr="002866AC">
        <w:t>, plaintiffs unsatisfied with the nature or scope of the court’s remand, may not appeal the court’s remand but must instead await the agency’s new decision in the remand process.</w:t>
      </w:r>
      <w:r w:rsidRPr="002866AC">
        <w:rPr>
          <w:rStyle w:val="FootnoteReference"/>
        </w:rPr>
        <w:footnoteReference w:id="9"/>
      </w:r>
      <w:r w:rsidRPr="002866AC">
        <w:t xml:space="preserve"> The primary rationale for this rule is simple: Because “agencies compelled to refashion their own rules face the unique prospect of being deprived of [appellate] review altogether,” agencies are the only party for whom such an order is final and thus appealable under 28 U.S.C. § 1291.</w:t>
      </w:r>
      <w:r w:rsidRPr="002866AC">
        <w:rPr>
          <w:rStyle w:val="FootnoteReference"/>
        </w:rPr>
        <w:footnoteReference w:id="10"/>
      </w:r>
    </w:p>
    <w:p w14:paraId="427473EA" w14:textId="77777777" w:rsidR="00092031" w:rsidRPr="002866AC" w:rsidRDefault="00092031" w:rsidP="00092031"/>
    <w:p w14:paraId="4B2B49D6" w14:textId="77777777" w:rsidR="00092031" w:rsidRDefault="00092031" w:rsidP="00092031">
      <w:r w:rsidRPr="002866AC">
        <w:t>The unavailability of later appellate review stems from the way administrative decision-making works: If an agency chooses to accept rather than appeal a remand, the agency will issue a subsequent decision that necessarily adheres to the district court’s holding that led to the remand. Following that new agency decision, the question whether that holding was legally correct will be moot. Thus, the agency’s only chance to challenge the holding that led to the remand is to appeal the remand at the time it is issued.</w:t>
      </w:r>
    </w:p>
    <w:p w14:paraId="0A92C6ED" w14:textId="77777777" w:rsidR="00092031" w:rsidRPr="002866AC" w:rsidRDefault="00092031" w:rsidP="00092031"/>
    <w:p w14:paraId="56BC8410" w14:textId="77777777" w:rsidR="00092031" w:rsidRDefault="00092031" w:rsidP="00092031">
      <w:r w:rsidRPr="002866AC">
        <w:rPr>
          <w:i/>
          <w:iCs/>
        </w:rPr>
        <w:t>Friends of Hope Valley</w:t>
      </w:r>
      <w:r w:rsidRPr="002866AC">
        <w:t xml:space="preserve"> was my case—I represented the Forest Service in the Ninth Circuit against, incidentally, the same environmental law clinic in which I had been a law student a few years before. But that unusual matchup is not the reason the case has haunted me for the last eighteen years. Rather, it was the feeling that I had won the case on odd, maybe even unfair, grounds. To this </w:t>
      </w:r>
      <w:r w:rsidRPr="002866AC">
        <w:lastRenderedPageBreak/>
        <w:t xml:space="preserve">day I remember standing at the lectern, the unceasing gaze of marbled angels carved into the courtroom walls staring down at me, as I worked mightily to convince two Ninth Circuit judges and one retired Supreme Court justice sitting by designation that a rule they’d never heard of barred the skiers’ appeal. They ultimately agreed, but during oral argument each expressed palpable frustration at the result and the esoteric rule that commanded it. If three federal jurists with decades of experience expressed surprise and concern at the administrative-remand rule, maybe it was worth investigating further. </w:t>
      </w:r>
    </w:p>
    <w:p w14:paraId="079B25CF" w14:textId="77777777" w:rsidR="00092031" w:rsidRPr="002866AC" w:rsidRDefault="00092031" w:rsidP="00092031"/>
    <w:p w14:paraId="1923342E" w14:textId="77777777" w:rsidR="00092031" w:rsidRDefault="00092031" w:rsidP="00092031">
      <w:r w:rsidRPr="002866AC">
        <w:t>Many years later, this Article is the product of that niggling doubt. The administrative-remand rule</w:t>
      </w:r>
      <w:r w:rsidRPr="002866AC">
        <w:rPr>
          <w:rStyle w:val="FootnoteReference"/>
        </w:rPr>
        <w:footnoteReference w:id="11"/>
      </w:r>
      <w:r w:rsidRPr="002866AC">
        <w:t xml:space="preserve"> has deep roots, it turns out. It emerged in the federal courts of appeals in the 1970s and 80s, as the Supreme Court issued a series of seminal decisions regarding what constitutes a “final,” appealable judgment under section 1291.</w:t>
      </w:r>
      <w:bookmarkStart w:id="1" w:name="_Ref211346941"/>
      <w:r w:rsidRPr="002866AC">
        <w:rPr>
          <w:rStyle w:val="FootnoteReference"/>
        </w:rPr>
        <w:footnoteReference w:id="12"/>
      </w:r>
      <w:bookmarkEnd w:id="1"/>
      <w:r w:rsidRPr="002866AC">
        <w:t xml:space="preserve"> Every circuit used to strictly adhere to the administrative-remand rule, but, as we shall see in Part 1.D.3 below, a few cracks have started to emerge in more recent years. Even with these cracks, the rule serves as a nearly omnipresent gatekeeper to the federal courts of appeals in cases in which the federal district courts remand federal agency decisions under the APA. And by creating a jurisdictional filter for the cases that reach the courts of appeals, the rule helps determine those courts’ administrative-law jurisprudence. </w:t>
      </w:r>
    </w:p>
    <w:p w14:paraId="1806262A" w14:textId="77777777" w:rsidR="00092031" w:rsidRPr="002866AC" w:rsidRDefault="00092031" w:rsidP="00092031"/>
    <w:p w14:paraId="76957E6E" w14:textId="77777777" w:rsidR="00092031" w:rsidRDefault="00092031" w:rsidP="00092031">
      <w:r w:rsidRPr="002866AC">
        <w:t>Yet, despite its fifty-year entrenchment and significant consequences, the administrative-remand rule somehow manages to remain in the shadows. The Supreme Court has never directly considered it.</w:t>
      </w:r>
      <w:r w:rsidRPr="002866AC">
        <w:rPr>
          <w:rStyle w:val="FootnoteReference"/>
        </w:rPr>
        <w:footnoteReference w:id="13"/>
      </w:r>
      <w:r w:rsidRPr="002866AC">
        <w:t xml:space="preserve"> The rule has likewise received relatively little attention in legal scholarship and treatises.</w:t>
      </w:r>
      <w:bookmarkStart w:id="2" w:name="_Ref211359331"/>
      <w:r w:rsidRPr="002866AC">
        <w:rPr>
          <w:rStyle w:val="FootnoteReference"/>
        </w:rPr>
        <w:footnoteReference w:id="14"/>
      </w:r>
      <w:bookmarkEnd w:id="2"/>
      <w:r w:rsidRPr="002866AC">
        <w:t xml:space="preserve"> </w:t>
      </w:r>
    </w:p>
    <w:p w14:paraId="071D5203" w14:textId="77777777" w:rsidR="00092031" w:rsidRDefault="00092031" w:rsidP="00092031"/>
    <w:p w14:paraId="4AEEE9ED" w14:textId="77777777" w:rsidR="00092031" w:rsidRPr="002866AC" w:rsidRDefault="00092031" w:rsidP="00092031"/>
    <w:p w14:paraId="60204B3A" w14:textId="77777777" w:rsidR="00092031" w:rsidRDefault="00092031" w:rsidP="00092031">
      <w:r w:rsidRPr="002866AC">
        <w:t>Why has the rule largely evaded scrutiny? Because it mostly makes sense. The administrative-remand rule is simply an administrative-law-specific application of the final-judgment rule—the rule that the federal courts of appeals generally have jurisdiction only over “final” judgments of the federal district courts.</w:t>
      </w:r>
      <w:r w:rsidRPr="002866AC">
        <w:rPr>
          <w:rStyle w:val="FootnoteReference"/>
        </w:rPr>
        <w:footnoteReference w:id="15"/>
      </w:r>
      <w:r w:rsidRPr="002866AC">
        <w:t xml:space="preserve"> That rule dates back hundreds of years, and it is essential for a properly functioning judiciary. The rule promotes judicial economy by avoiding piecemeal appeals and preserves the district courts’ role as the primary manager of litigation.</w:t>
      </w:r>
      <w:r w:rsidRPr="002866AC">
        <w:rPr>
          <w:rStyle w:val="FootnoteReference"/>
        </w:rPr>
        <w:footnoteReference w:id="16"/>
      </w:r>
      <w:r w:rsidRPr="002866AC">
        <w:t xml:space="preserve"> </w:t>
      </w:r>
    </w:p>
    <w:p w14:paraId="39B45124" w14:textId="77777777" w:rsidR="00092031" w:rsidRPr="002866AC" w:rsidRDefault="00092031" w:rsidP="00092031"/>
    <w:p w14:paraId="51F2E748" w14:textId="77777777" w:rsidR="00092031" w:rsidRDefault="00092031" w:rsidP="00092031">
      <w:r w:rsidRPr="002866AC">
        <w:t>The administrative-remand rule serves similar worthwhile purposes. In a straightforward case in which a district court remands an agency’s decision—and many cases involving APA remands are straightforward—it makes perfect sense that only the agency may appeal the remand. If the agency does not appeal, and on remand it grants the relief the plaintiff seeks, the agency will not be able to seek review of the remand following a final judgment. The plaintiff, meanwhile, may get the relief it seeks, avoiding the need for any further judicial review. If not, the plaintiff can seek review of the remand following a final judgment. The same goes for an intervenor who is aggrieved by the agency’s decision on remand.</w:t>
      </w:r>
      <w:r w:rsidRPr="002866AC">
        <w:rPr>
          <w:rStyle w:val="FootnoteReference"/>
        </w:rPr>
        <w:footnoteReference w:id="17"/>
      </w:r>
      <w:r w:rsidRPr="002866AC">
        <w:t xml:space="preserve"> The parties and the appellate court are saved from a potentially unnecessary interlocutory appeal, and the agency gets space to reconsider its decision. </w:t>
      </w:r>
    </w:p>
    <w:p w14:paraId="04F4B612" w14:textId="77777777" w:rsidR="00092031" w:rsidRPr="002866AC" w:rsidRDefault="00092031" w:rsidP="00092031"/>
    <w:p w14:paraId="6E9F8E9E" w14:textId="77777777" w:rsidR="00092031" w:rsidRDefault="00092031" w:rsidP="00092031">
      <w:r w:rsidRPr="002866AC">
        <w:t xml:space="preserve">But not all cases involving APA remands are straightforward. Consider a few scenarios in which the administrative-remand rule could be more </w:t>
      </w:r>
      <w:r w:rsidRPr="002866AC">
        <w:lastRenderedPageBreak/>
        <w:t>problematic: (1) an agency takes an unreasonably long time to complete the remand; (2) a district court remands an agency’s decision on the narrowest of a plaintiff’s many claims, or on grounds the plaintiff didn’t really raise, and the agency doesn’t appeal; (3) on remand an agency reverses course from its original decision, leaving high and dry a party who intervened to defend that decision; (4) take any of the first three scenarios and add vacatur of the agency’s decision for the period of the remand proceedings, the normal remedy under the APA, with resulting significant on-the-ground consequences; (5) a new president takes office during a remand and directs the agency to change course. Most, if not all, of these scenarios have arisen countless times, some even yielding calls by circuit judges to revisit the administrative-remand rule.</w:t>
      </w:r>
      <w:r w:rsidRPr="002866AC">
        <w:rPr>
          <w:rStyle w:val="FootnoteReference"/>
        </w:rPr>
        <w:footnoteReference w:id="18"/>
      </w:r>
      <w:r w:rsidRPr="002866AC">
        <w:t xml:space="preserve"> </w:t>
      </w:r>
    </w:p>
    <w:p w14:paraId="119DBB61" w14:textId="77777777" w:rsidR="00092031" w:rsidRPr="002866AC" w:rsidRDefault="00092031" w:rsidP="00092031"/>
    <w:p w14:paraId="7A2F3EF4" w14:textId="77777777" w:rsidR="00092031" w:rsidRDefault="00092031" w:rsidP="00092031">
      <w:r w:rsidRPr="002866AC">
        <w:t>Apart from these specific scenarios, there are other signs the administrative-remand rule warrants a fresh look. First, the circuits have different—sometimes wildly different—tests for determining when remands are appealable and by whom. Under these tests, if you are a plaintiff or intervenor, your ability to appeal a remand is nonexistent in some circuits, vaguely possible in others, decent in three, and a mystery in the rest.</w:t>
      </w:r>
      <w:r w:rsidRPr="002866AC">
        <w:rPr>
          <w:rStyle w:val="FootnoteReference"/>
        </w:rPr>
        <w:footnoteReference w:id="19"/>
      </w:r>
      <w:r w:rsidRPr="002866AC">
        <w:t xml:space="preserve"> Second, even within the same circuit (namely the Ninth Circuit), a non-agency party’s ability to appeal a remand is not always predictable.</w:t>
      </w:r>
      <w:r w:rsidRPr="002866AC">
        <w:rPr>
          <w:rStyle w:val="FootnoteReference"/>
        </w:rPr>
        <w:footnoteReference w:id="20"/>
      </w:r>
      <w:r w:rsidRPr="002866AC">
        <w:t xml:space="preserve"> </w:t>
      </w:r>
    </w:p>
    <w:p w14:paraId="4B21058F" w14:textId="77777777" w:rsidR="00092031" w:rsidRPr="002866AC" w:rsidRDefault="00092031" w:rsidP="00092031"/>
    <w:p w14:paraId="018F04B7" w14:textId="77777777" w:rsidR="00092031" w:rsidRDefault="00092031" w:rsidP="00092031">
      <w:r w:rsidRPr="002866AC">
        <w:t>Third and finally, the administrative-remand rule dovetails with ongoing developments and concerns in the fields of federal jurisdiction and administrative law. Litigants, including and especially agencies, can use the rule to engage in geographic and temporal forum-shopping,</w:t>
      </w:r>
      <w:bookmarkStart w:id="3" w:name="_Ref211360833"/>
      <w:r w:rsidRPr="002866AC">
        <w:rPr>
          <w:rStyle w:val="FootnoteReference"/>
        </w:rPr>
        <w:footnoteReference w:id="21"/>
      </w:r>
      <w:bookmarkEnd w:id="3"/>
      <w:r w:rsidRPr="002866AC">
        <w:t xml:space="preserve"> which in turn can contribute to politicized agency decision-making. District courts can also use (and are using) the rule to deny alternative avenues for appellate review. And it is worth examining how the rule, and agency and non-agency litigants under it, may fare in this era of increasing judicial (and now executive) hostility towards the administrative state. </w:t>
      </w:r>
    </w:p>
    <w:p w14:paraId="259E90DE" w14:textId="77777777" w:rsidR="00092031" w:rsidRPr="002866AC" w:rsidRDefault="00092031" w:rsidP="00092031"/>
    <w:p w14:paraId="66B48D83" w14:textId="77777777" w:rsidR="00092031" w:rsidRPr="002866AC" w:rsidRDefault="00092031" w:rsidP="00092031">
      <w:r w:rsidRPr="002866AC">
        <w:t xml:space="preserve">This Article discusses the administrative-remand rule, including my own brush with it in </w:t>
      </w:r>
      <w:r w:rsidRPr="002866AC">
        <w:rPr>
          <w:i/>
          <w:iCs/>
        </w:rPr>
        <w:t>Friends of</w:t>
      </w:r>
      <w:r w:rsidRPr="002866AC">
        <w:t xml:space="preserve"> </w:t>
      </w:r>
      <w:r w:rsidRPr="002866AC">
        <w:rPr>
          <w:i/>
          <w:iCs/>
        </w:rPr>
        <w:t>Hope Valley</w:t>
      </w:r>
      <w:r w:rsidRPr="002866AC">
        <w:t xml:space="preserve">; concludes that the rule mostly makes </w:t>
      </w:r>
      <w:r w:rsidRPr="002866AC">
        <w:lastRenderedPageBreak/>
        <w:t>sense but warrants some revision; and proposes modifications that would help address some of its problems. Specifically, Part I discusses the rule and its provenance. Part II discusses specific scenarios in which the rule has been or might be applied to tease out how the rule does and does not make sense. Part II also discusses how the rule fits in with larger federal-jurisdiction and administrative-law considerations and research. Part III proposes modifications to the rule to preserve its benefits and minimize its downsides.</w:t>
      </w:r>
      <w:r w:rsidRPr="002866AC">
        <w:rPr>
          <w:rStyle w:val="FootnoteReference"/>
        </w:rPr>
        <w:footnoteReference w:id="22"/>
      </w:r>
      <w:r w:rsidRPr="002866AC">
        <w:t xml:space="preserve"> Those modifications include adopting a consistent rule across the circuits and modifying the rule to allow certain non-agency appeals to move forward to optimize fairness and judicial efficiency. Finally, Part IV briefly discusses considerations for practitioners.</w:t>
      </w:r>
    </w:p>
    <w:p w14:paraId="37A5BACD" w14:textId="77777777" w:rsidR="00092031" w:rsidRPr="002866AC" w:rsidRDefault="00092031" w:rsidP="00092031">
      <w:pPr>
        <w:pStyle w:val="Heading2"/>
        <w:numPr>
          <w:ilvl w:val="0"/>
          <w:numId w:val="0"/>
        </w:numPr>
      </w:pPr>
    </w:p>
    <w:p w14:paraId="6BFC121A" w14:textId="77777777" w:rsidR="00092031" w:rsidRPr="002866AC" w:rsidRDefault="00092031" w:rsidP="00092031">
      <w:pPr>
        <w:pStyle w:val="Heading2"/>
        <w:rPr>
          <w:rFonts w:cs="Times New Roman"/>
          <w:bCs/>
        </w:rPr>
      </w:pPr>
      <w:bookmarkStart w:id="4" w:name="_Toc212214149"/>
      <w:r w:rsidRPr="002866AC">
        <w:rPr>
          <w:rFonts w:cs="Times New Roman"/>
          <w:bCs/>
        </w:rPr>
        <w:t>The Administrative-Remand Rule: A Deeper Dive</w:t>
      </w:r>
      <w:bookmarkEnd w:id="4"/>
      <w:r w:rsidRPr="002866AC">
        <w:rPr>
          <w:rFonts w:cs="Times New Roman"/>
          <w:bCs/>
        </w:rPr>
        <w:t xml:space="preserve"> </w:t>
      </w:r>
    </w:p>
    <w:p w14:paraId="404F6229" w14:textId="77777777" w:rsidR="00092031" w:rsidRPr="002866AC" w:rsidRDefault="00092031" w:rsidP="00092031">
      <w:pPr>
        <w:rPr>
          <w:rFonts w:cs="Times New Roman"/>
          <w:b/>
          <w:bCs/>
        </w:rPr>
      </w:pPr>
    </w:p>
    <w:p w14:paraId="40759C55" w14:textId="77777777" w:rsidR="00092031" w:rsidRDefault="00092031" w:rsidP="00092031">
      <w:r w:rsidRPr="002866AC">
        <w:t xml:space="preserve">We start, as we must, with the </w:t>
      </w:r>
      <w:proofErr w:type="gramStart"/>
      <w:r w:rsidRPr="002866AC">
        <w:t>administrative-remand</w:t>
      </w:r>
      <w:proofErr w:type="gramEnd"/>
      <w:r w:rsidRPr="002866AC">
        <w:t xml:space="preserve"> rule itself. Stated simply, the modern-day administrative remand rule is as follows: Except in rare circumstances, a district-court order remanding an agency’s decision is final only as to, and thus appealable only by, the agency itself.</w:t>
      </w:r>
      <w:r w:rsidRPr="002866AC">
        <w:rPr>
          <w:rStyle w:val="FootnoteReference"/>
        </w:rPr>
        <w:footnoteReference w:id="23"/>
      </w:r>
      <w:r w:rsidRPr="002866AC">
        <w:t xml:space="preserve"> As a result, non-agency parties may not appeal a remand until the district court enters final judgment, usually following the completion of the remand process.</w:t>
      </w:r>
      <w:bookmarkStart w:id="5" w:name="_Ref211358867"/>
      <w:r w:rsidRPr="002866AC">
        <w:rPr>
          <w:rStyle w:val="FootnoteReference"/>
        </w:rPr>
        <w:footnoteReference w:id="24"/>
      </w:r>
      <w:bookmarkEnd w:id="5"/>
    </w:p>
    <w:p w14:paraId="1BCF76FE" w14:textId="77777777" w:rsidR="00092031" w:rsidRPr="002866AC" w:rsidRDefault="00092031" w:rsidP="00092031"/>
    <w:p w14:paraId="7AFB2FC2" w14:textId="2087FBFA" w:rsidR="00092031" w:rsidRDefault="00092031" w:rsidP="00092031">
      <w:r w:rsidRPr="002866AC">
        <w:t xml:space="preserve">Stated more fully, the administrative-remand rule goes something like this: Under 28 U.S.C. § 1291, the federal courts of appeals have jurisdiction over </w:t>
      </w:r>
      <w:r w:rsidRPr="002866AC">
        <w:lastRenderedPageBreak/>
        <w:t>“final decisions of the district courts.”</w:t>
      </w:r>
      <w:r w:rsidRPr="002866AC">
        <w:rPr>
          <w:rStyle w:val="FootnoteReference"/>
        </w:rPr>
        <w:footnoteReference w:id="25"/>
      </w:r>
      <w:r w:rsidRPr="002866AC">
        <w:t xml:space="preserve"> There are limited statutory exceptions to this “finality” requirement, the most well-known being for district-court orders granting or denying injunctive relief</w:t>
      </w:r>
      <w:r w:rsidRPr="002866AC">
        <w:rPr>
          <w:rStyle w:val="FootnoteReference"/>
        </w:rPr>
        <w:footnoteReference w:id="26"/>
      </w:r>
      <w:r w:rsidRPr="002866AC">
        <w:t xml:space="preserve"> and non-final orders certified for interlocutory appeal.</w:t>
      </w:r>
      <w:r w:rsidRPr="002866AC">
        <w:rPr>
          <w:rStyle w:val="FootnoteReference"/>
        </w:rPr>
        <w:footnoteReference w:id="27"/>
      </w:r>
      <w:r w:rsidRPr="002866AC">
        <w:t xml:space="preserve"> When it comes to a district-court order remanding an agency’s decision under the APA, absent certification, the administrative-remand rule renders that order non-final and hence unappealable under 28 U.S.C. § 1291 except where certain circumstances are met. As we will see below, the requisite circumstances vary significantly by circuit, but the most important requirement is that “</w:t>
      </w:r>
      <w:r w:rsidRPr="002866AC">
        <w:rPr>
          <w:rFonts w:eastAsia="Quattrocento"/>
        </w:rPr>
        <w:t>review would, as a practical matter, be foreclosed if an immediate appeal were unavailable.”</w:t>
      </w:r>
      <w:r w:rsidRPr="002866AC">
        <w:rPr>
          <w:rStyle w:val="FootnoteReference"/>
          <w:rFonts w:eastAsia="Quattrocento"/>
        </w:rPr>
        <w:footnoteReference w:id="28"/>
      </w:r>
      <w:r w:rsidRPr="002866AC">
        <w:rPr>
          <w:rFonts w:eastAsia="Quattrocento"/>
        </w:rPr>
        <w:t xml:space="preserve"> This criterion is typically met only where the agency whose decision was remanded is the appellant, because </w:t>
      </w:r>
      <w:r w:rsidRPr="002866AC">
        <w:t>“only agencies compelled to refashion their own rules face the unique prospect of being deprived of review altogether.”</w:t>
      </w:r>
      <w:r w:rsidRPr="002866AC">
        <w:rPr>
          <w:rStyle w:val="FootnoteReference"/>
        </w:rPr>
        <w:footnoteReference w:id="29"/>
      </w:r>
      <w:r w:rsidR="003A59DD">
        <w:t xml:space="preserve"> </w:t>
      </w:r>
      <w:r w:rsidRPr="002866AC">
        <w:t>Plaintiffs and intervenors must await the agency’s new decision on remand to seek further judicial review.</w:t>
      </w:r>
      <w:bookmarkStart w:id="6" w:name="_Ref211359180"/>
      <w:r w:rsidRPr="002866AC">
        <w:rPr>
          <w:rStyle w:val="FootnoteReference"/>
        </w:rPr>
        <w:footnoteReference w:id="30"/>
      </w:r>
      <w:bookmarkEnd w:id="6"/>
    </w:p>
    <w:p w14:paraId="13A190FB" w14:textId="77777777" w:rsidR="00092031" w:rsidRPr="002866AC" w:rsidRDefault="00092031" w:rsidP="00092031"/>
    <w:p w14:paraId="17A0A7AD" w14:textId="758CA896" w:rsidR="00092031" w:rsidRPr="002866AC" w:rsidRDefault="00092031" w:rsidP="00C32D56">
      <w:r w:rsidRPr="002866AC">
        <w:t xml:space="preserve">This Part begins by briefly discussing how remands work under the APA. It then discusses the final-judgment rule and important U.S. Supreme Court </w:t>
      </w:r>
      <w:r w:rsidRPr="002866AC">
        <w:lastRenderedPageBreak/>
        <w:t xml:space="preserve">decisions construing it, from which the administrative-remand rule started to emerge in the 1960s. The Part then traces how, in the decades since, the administrative-remand rule has evolved in the circuit courts of appeals, gradually becoming less consistent across, and more permissive of non-agency appeals in some, circuits. </w:t>
      </w:r>
      <w:proofErr w:type="gramStart"/>
      <w:r w:rsidRPr="002866AC">
        <w:t>The end result</w:t>
      </w:r>
      <w:proofErr w:type="gramEnd"/>
      <w:r w:rsidRPr="002866AC">
        <w:t xml:space="preserve">—the administrative-remand rule in place today—is </w:t>
      </w:r>
      <w:proofErr w:type="gramStart"/>
      <w:r w:rsidRPr="002866AC">
        <w:t>actually a</w:t>
      </w:r>
      <w:proofErr w:type="gramEnd"/>
      <w:r w:rsidRPr="002866AC">
        <w:t xml:space="preserve"> series of rules, governed by different tests and yielding different and sometimes unpredictable outcomes.</w:t>
      </w:r>
    </w:p>
    <w:p w14:paraId="0148FC83" w14:textId="77777777" w:rsidR="00092031" w:rsidRPr="002866AC" w:rsidRDefault="00092031" w:rsidP="00092031"/>
    <w:p w14:paraId="680BCBDC" w14:textId="77777777" w:rsidR="00092031" w:rsidRPr="002866AC" w:rsidRDefault="00092031" w:rsidP="00092031">
      <w:pPr>
        <w:pStyle w:val="Heading3"/>
      </w:pPr>
      <w:bookmarkStart w:id="7" w:name="_Toc212214150"/>
      <w:r w:rsidRPr="002866AC">
        <w:t>Remands Under the APA</w:t>
      </w:r>
      <w:bookmarkEnd w:id="7"/>
    </w:p>
    <w:p w14:paraId="27989F73" w14:textId="77777777" w:rsidR="00092031" w:rsidRPr="002866AC" w:rsidRDefault="00092031" w:rsidP="00092031"/>
    <w:p w14:paraId="2529CCA1" w14:textId="77777777" w:rsidR="00092031" w:rsidRDefault="00092031" w:rsidP="00092031">
      <w:r w:rsidRPr="002866AC">
        <w:t>“The APA instructs federal courts to ‘hold unlawful and set aside’ arbitrary or unlawful agency action.”</w:t>
      </w:r>
      <w:bookmarkStart w:id="8" w:name="_Ref211360390"/>
      <w:r w:rsidRPr="002866AC">
        <w:rPr>
          <w:rStyle w:val="FootnoteReference"/>
          <w:rFonts w:eastAsia="Times New Roman" w:cs="Times New Roman"/>
          <w:sz w:val="24"/>
        </w:rPr>
        <w:footnoteReference w:id="31"/>
      </w:r>
      <w:bookmarkEnd w:id="8"/>
      <w:r w:rsidRPr="002866AC">
        <w:t xml:space="preserve"> Under the so-called “ordinary remand rule,” this instruction means that a court may not substitute its own decision for the agency’s; the court must instead remand the matter to the agency for reconsideration.</w:t>
      </w:r>
      <w:bookmarkStart w:id="9" w:name="_Ref211360642"/>
      <w:r w:rsidRPr="002866AC">
        <w:rPr>
          <w:rStyle w:val="FootnoteReference"/>
          <w:rFonts w:eastAsia="Times New Roman" w:cs="Times New Roman"/>
          <w:sz w:val="24"/>
        </w:rPr>
        <w:footnoteReference w:id="32"/>
      </w:r>
      <w:bookmarkEnd w:id="9"/>
      <w:r w:rsidRPr="002866AC">
        <w:t xml:space="preserve"> Remand can be with or without vacatur of the agency’s decision for the period of the remand proceedings.</w:t>
      </w:r>
      <w:r w:rsidRPr="002866AC">
        <w:rPr>
          <w:rStyle w:val="FootnoteReference"/>
          <w:rFonts w:eastAsia="Times New Roman" w:cs="Times New Roman"/>
          <w:sz w:val="24"/>
        </w:rPr>
        <w:footnoteReference w:id="33"/>
      </w:r>
      <w:r w:rsidRPr="002866AC">
        <w:t xml:space="preserve"> An agency may also request a voluntary remand of its own decision.</w:t>
      </w:r>
      <w:bookmarkStart w:id="10" w:name="_Ref211360856"/>
      <w:r w:rsidRPr="002866AC">
        <w:rPr>
          <w:rStyle w:val="FootnoteReference"/>
          <w:rFonts w:eastAsia="Times New Roman" w:cs="Times New Roman"/>
          <w:sz w:val="24"/>
        </w:rPr>
        <w:footnoteReference w:id="34"/>
      </w:r>
      <w:bookmarkEnd w:id="10"/>
      <w:r w:rsidRPr="002866AC">
        <w:t xml:space="preserve"> </w:t>
      </w:r>
    </w:p>
    <w:p w14:paraId="4251C458" w14:textId="77777777" w:rsidR="00092031" w:rsidRPr="002866AC" w:rsidRDefault="00092031" w:rsidP="00092031"/>
    <w:p w14:paraId="4F9C0BC3" w14:textId="77777777" w:rsidR="00092031" w:rsidRPr="002866AC" w:rsidRDefault="00092031" w:rsidP="00092031">
      <w:r w:rsidRPr="002866AC">
        <w:t xml:space="preserve"> An “arbitrary or unlawful agency action” under the APA is one in which the agency has </w:t>
      </w:r>
    </w:p>
    <w:p w14:paraId="307C186C" w14:textId="77777777" w:rsidR="00092031" w:rsidRPr="002866AC" w:rsidRDefault="00092031" w:rsidP="00092031"/>
    <w:p w14:paraId="23C1C63F" w14:textId="77777777" w:rsidR="00092031" w:rsidRPr="002866AC" w:rsidRDefault="00092031" w:rsidP="00092031">
      <w:pPr>
        <w:pStyle w:val="BlockQuote"/>
      </w:pPr>
      <w:r w:rsidRPr="002866AC">
        <w:t xml:space="preserve">relied on factors which Congress has not intended it to consider, entirely failed to consider an important aspect of the problem, </w:t>
      </w:r>
      <w:proofErr w:type="gramStart"/>
      <w:r w:rsidRPr="002866AC">
        <w:t>offered an explanation for</w:t>
      </w:r>
      <w:proofErr w:type="gramEnd"/>
      <w:r w:rsidRPr="002866AC">
        <w:t xml:space="preserve"> its decision that runs counter to the evidence before the agency, or is so implausible that it could not be ascribed to a difference in view or the product of agency expertise.</w:t>
      </w:r>
      <w:r w:rsidRPr="002866AC">
        <w:rPr>
          <w:rStyle w:val="FootnoteReference"/>
        </w:rPr>
        <w:footnoteReference w:id="35"/>
      </w:r>
      <w:r w:rsidRPr="002866AC">
        <w:t xml:space="preserve"> </w:t>
      </w:r>
    </w:p>
    <w:p w14:paraId="5BDF1EA6" w14:textId="77777777" w:rsidR="00092031" w:rsidRPr="002866AC" w:rsidRDefault="00092031" w:rsidP="00092031"/>
    <w:p w14:paraId="19A7B640" w14:textId="77777777" w:rsidR="00092031" w:rsidRDefault="00092031" w:rsidP="00092031">
      <w:r w:rsidRPr="002866AC">
        <w:t xml:space="preserve">This test yields court-ordered remands of essentially three flavors: (1) the agency failed to explain its reasons for arriving at its decision; (2) the agency </w:t>
      </w:r>
      <w:r w:rsidRPr="002866AC">
        <w:lastRenderedPageBreak/>
        <w:t>made implausible or erroneous factual findings; and (3) the agency’s decision cannot stand on the reasons the agency offered.</w:t>
      </w:r>
      <w:bookmarkStart w:id="11" w:name="_Ref211360554"/>
      <w:r w:rsidRPr="002866AC">
        <w:rPr>
          <w:rStyle w:val="FootnoteReference"/>
        </w:rPr>
        <w:footnoteReference w:id="36"/>
      </w:r>
      <w:bookmarkEnd w:id="11"/>
      <w:r w:rsidRPr="002866AC">
        <w:t xml:space="preserve"> </w:t>
      </w:r>
    </w:p>
    <w:p w14:paraId="360E0B65" w14:textId="77777777" w:rsidR="00092031" w:rsidRPr="002866AC" w:rsidRDefault="00092031" w:rsidP="00092031"/>
    <w:p w14:paraId="520776F6" w14:textId="77777777" w:rsidR="00092031" w:rsidRPr="002866AC" w:rsidRDefault="00092031" w:rsidP="00092031">
      <w:r w:rsidRPr="002866AC">
        <w:t>A remand of the first type is likely to require far less additional effort by the agency than a remand of the second type or, even more, of the third. The first just requires new explanation; the second might require that or new evidence-gathering; and the third requires either new evidence-gathering or reinterpreting the controlling law/regulations, or both.</w:t>
      </w:r>
      <w:r w:rsidRPr="002866AC">
        <w:rPr>
          <w:rStyle w:val="FootnoteReference"/>
        </w:rPr>
        <w:footnoteReference w:id="37"/>
      </w:r>
      <w:r w:rsidRPr="002866AC">
        <w:t xml:space="preserve"> There is thus a spectrum of further action required by an agency on remand, ranging from ministerial (e.g., the “mechanical recalculation” of statutory benefits</w:t>
      </w:r>
      <w:r w:rsidRPr="002866AC">
        <w:rPr>
          <w:rStyle w:val="FootnoteReference"/>
        </w:rPr>
        <w:footnoteReference w:id="38"/>
      </w:r>
      <w:r w:rsidRPr="002866AC">
        <w:t>) to significant (e.g., substantive review of a due process claim</w:t>
      </w:r>
      <w:bookmarkStart w:id="12" w:name="_Ref211360562"/>
      <w:r w:rsidRPr="002866AC">
        <w:rPr>
          <w:rStyle w:val="FootnoteReference"/>
        </w:rPr>
        <w:footnoteReference w:id="39"/>
      </w:r>
      <w:bookmarkEnd w:id="12"/>
      <w:r w:rsidRPr="002866AC">
        <w:t xml:space="preserve">). This spectrum plays a significant role in how many circuit courts conceive of and apply the administrative-remand rule. </w:t>
      </w:r>
    </w:p>
    <w:p w14:paraId="036BA0AD" w14:textId="77777777" w:rsidR="00092031" w:rsidRPr="002866AC" w:rsidRDefault="00092031" w:rsidP="00092031"/>
    <w:p w14:paraId="52FFB023" w14:textId="77777777" w:rsidR="00092031" w:rsidRPr="002866AC" w:rsidRDefault="00092031" w:rsidP="00092031">
      <w:pPr>
        <w:pStyle w:val="Heading3"/>
      </w:pPr>
      <w:bookmarkStart w:id="13" w:name="_Toc212214151"/>
      <w:r w:rsidRPr="002866AC">
        <w:t>The Final-Judgment Rule</w:t>
      </w:r>
      <w:bookmarkEnd w:id="13"/>
    </w:p>
    <w:p w14:paraId="36151DC2" w14:textId="77777777" w:rsidR="00092031" w:rsidRPr="002866AC" w:rsidRDefault="00092031" w:rsidP="00092031"/>
    <w:p w14:paraId="63237CA8" w14:textId="77777777" w:rsidR="00092031" w:rsidRDefault="00092031" w:rsidP="00092031">
      <w:r w:rsidRPr="002866AC">
        <w:t xml:space="preserve">The administrative-remand rule is but one offshoot of the more general and much older final-judgment rule—i.e., the rule that only </w:t>
      </w:r>
      <w:r w:rsidRPr="002866AC">
        <w:rPr>
          <w:i/>
          <w:iCs/>
        </w:rPr>
        <w:t>final</w:t>
      </w:r>
      <w:r w:rsidRPr="002866AC">
        <w:t xml:space="preserve"> decisions of the district courts are appealable. This rule stems from the Judiciary Act of 1789, which strictly limited review at law or in equity to “final decrees and judgments.”</w:t>
      </w:r>
      <w:bookmarkStart w:id="14" w:name="_Ref211358949"/>
      <w:r w:rsidRPr="002866AC">
        <w:rPr>
          <w:rStyle w:val="FootnoteReference"/>
        </w:rPr>
        <w:footnoteReference w:id="40"/>
      </w:r>
      <w:bookmarkEnd w:id="14"/>
      <w:r w:rsidRPr="002866AC">
        <w:t xml:space="preserve"> That rule can be traced back to English common-law courts, which from at least 1615 on held that no “writ of error” lies until “final disposition of an entire controversy.”</w:t>
      </w:r>
      <w:r w:rsidRPr="002866AC">
        <w:rPr>
          <w:rStyle w:val="FootnoteReference"/>
        </w:rPr>
        <w:footnoteReference w:id="41"/>
      </w:r>
      <w:r w:rsidRPr="002866AC">
        <w:t xml:space="preserve"> The modern articulation is that a “‘final decision’ generally is one which ends the litigation on the merits and leaves nothing for the court to do but execute the judgment.”</w:t>
      </w:r>
      <w:r w:rsidRPr="002866AC">
        <w:rPr>
          <w:rStyle w:val="FootnoteReference"/>
        </w:rPr>
        <w:footnoteReference w:id="42"/>
      </w:r>
      <w:r w:rsidRPr="002866AC">
        <w:t xml:space="preserve"> </w:t>
      </w:r>
    </w:p>
    <w:p w14:paraId="59D0DB1E" w14:textId="77777777" w:rsidR="00092031" w:rsidRPr="002866AC" w:rsidRDefault="00092031" w:rsidP="00092031"/>
    <w:p w14:paraId="6372296C" w14:textId="77777777" w:rsidR="00092031" w:rsidRDefault="00092031" w:rsidP="00092031">
      <w:r w:rsidRPr="002866AC">
        <w:t xml:space="preserve">This modern-articulation stems from the appellate-jurisdiction statutes that Congress enacted in 1948 and that we all know today: 28 U.S.C. § 1291, which, as discussed, gives the courts of appeals jurisdiction over “final decisions of the district courts,” and 28 U.S.C. § 1292, which in subsection (a) provides for </w:t>
      </w:r>
      <w:r w:rsidRPr="002866AC">
        <w:lastRenderedPageBreak/>
        <w:t>review of certain interlocutory orders, and in subsection (b) provides a mechanism for district and appellate courts to certify other interlocutory orders for immediate appellate review.</w:t>
      </w:r>
      <w:r w:rsidRPr="002866AC">
        <w:rPr>
          <w:rStyle w:val="FootnoteReference"/>
        </w:rPr>
        <w:footnoteReference w:id="43"/>
      </w:r>
      <w:r w:rsidRPr="002866AC">
        <w:t xml:space="preserve"> These statutes, especially section 1292, followed a period of general loosening—starting in 1891 (the year Congress created the circuit courts of appeals)—of what had been the Judiciary Act’s strict final-judgment rule. During that nearly sixty-year period, Congress had come to realize “that rigid application of the final judgment rule in all cases might inflict irreparable harm upon litigants in certain instances, and might actually have the effect of unnecessarily prolonging the litigation.”</w:t>
      </w:r>
      <w:r w:rsidRPr="002866AC">
        <w:rPr>
          <w:rStyle w:val="FootnoteReference"/>
        </w:rPr>
        <w:footnoteReference w:id="44"/>
      </w:r>
      <w:r w:rsidRPr="002866AC">
        <w:t xml:space="preserve"> However, section 1292 was “not an abrogation of the general rule of finality, but rather a careful delineation of narrow categories of interlocutory orders that would be appealable.”</w:t>
      </w:r>
      <w:r w:rsidRPr="002866AC">
        <w:rPr>
          <w:rStyle w:val="FootnoteReference"/>
        </w:rPr>
        <w:footnoteReference w:id="45"/>
      </w:r>
      <w:r w:rsidRPr="002866AC">
        <w:t xml:space="preserve"> Section 1291’s final-judgment rule still reigned in almost all cases, including APA cases.</w:t>
      </w:r>
      <w:r w:rsidRPr="002866AC">
        <w:rPr>
          <w:rStyle w:val="FootnoteReference"/>
        </w:rPr>
        <w:footnoteReference w:id="46"/>
      </w:r>
    </w:p>
    <w:p w14:paraId="230B0E70" w14:textId="77777777" w:rsidR="00092031" w:rsidRPr="002866AC" w:rsidRDefault="00092031" w:rsidP="00092031"/>
    <w:p w14:paraId="2DABFFC2" w14:textId="77777777" w:rsidR="00092031" w:rsidRPr="002866AC" w:rsidRDefault="00092031" w:rsidP="00092031">
      <w:r w:rsidRPr="002866AC">
        <w:t>The final-judgment rule is indisputably essential to a “healthy legal system.”</w:t>
      </w:r>
      <w:bookmarkStart w:id="15" w:name="_Ref211359041"/>
      <w:r w:rsidRPr="002866AC">
        <w:rPr>
          <w:rStyle w:val="FootnoteReference"/>
        </w:rPr>
        <w:footnoteReference w:id="47"/>
      </w:r>
      <w:bookmarkEnd w:id="15"/>
      <w:r w:rsidRPr="002866AC">
        <w:t xml:space="preserve"> Court decisions, treatises, and scholarly dissertations describing the rule’s rationales and benefits are legion.</w:t>
      </w:r>
      <w:r w:rsidRPr="002866AC">
        <w:rPr>
          <w:rStyle w:val="FootnoteReference"/>
        </w:rPr>
        <w:footnoteReference w:id="48"/>
      </w:r>
      <w:r w:rsidRPr="002866AC">
        <w:t xml:space="preserve"> Boiled down, they explain that the final-judgment rule “strikes a presumptive balance in favor of deferring [appellate] review,”</w:t>
      </w:r>
      <w:bookmarkStart w:id="16" w:name="_Ref211359049"/>
      <w:r w:rsidRPr="002866AC">
        <w:rPr>
          <w:rStyle w:val="FootnoteReference"/>
        </w:rPr>
        <w:footnoteReference w:id="49"/>
      </w:r>
      <w:bookmarkEnd w:id="16"/>
      <w:r w:rsidRPr="002866AC">
        <w:t xml:space="preserve"> which:</w:t>
      </w:r>
    </w:p>
    <w:p w14:paraId="3A7F820E" w14:textId="77777777" w:rsidR="00092031" w:rsidRPr="002866AC" w:rsidRDefault="00092031" w:rsidP="00092031"/>
    <w:p w14:paraId="48AD1EFD" w14:textId="77777777" w:rsidR="00092031" w:rsidRPr="002866AC" w:rsidRDefault="00092031" w:rsidP="00092031">
      <w:pPr>
        <w:pStyle w:val="BlockQuote"/>
      </w:pPr>
      <w:r w:rsidRPr="002866AC">
        <w:t>promotes judicial economy by preventing piecemeal appeals and avoiding unnecessary appellate intervention;</w:t>
      </w:r>
    </w:p>
    <w:p w14:paraId="348AA9D3" w14:textId="77777777" w:rsidR="00092031" w:rsidRPr="002866AC" w:rsidRDefault="00092031" w:rsidP="00092031">
      <w:pPr>
        <w:pStyle w:val="BlockQuote"/>
      </w:pPr>
      <w:r w:rsidRPr="002866AC">
        <w:lastRenderedPageBreak/>
        <w:t>allocates power and duties between the appellate and trial courts, thereby preserving the trial courts’ “‘special role’ in managing ongoing litigation;”</w:t>
      </w:r>
      <w:r w:rsidRPr="002866AC">
        <w:rPr>
          <w:rStyle w:val="FootnoteReference"/>
          <w:rFonts w:cs="Times New Roman"/>
        </w:rPr>
        <w:footnoteReference w:id="50"/>
      </w:r>
      <w:r w:rsidRPr="002866AC">
        <w:t xml:space="preserve"> and</w:t>
      </w:r>
    </w:p>
    <w:p w14:paraId="46A1DC4B" w14:textId="77777777" w:rsidR="00092031" w:rsidRPr="002866AC" w:rsidRDefault="00092031" w:rsidP="00092031">
      <w:pPr>
        <w:pStyle w:val="BlockQuote"/>
      </w:pPr>
      <w:r w:rsidRPr="002866AC">
        <w:t>prevents deliberate delay or harassment.</w:t>
      </w:r>
    </w:p>
    <w:p w14:paraId="4A8CFE84" w14:textId="77777777" w:rsidR="00092031" w:rsidRPr="002866AC" w:rsidRDefault="00092031" w:rsidP="00092031"/>
    <w:p w14:paraId="1E0CDC8E" w14:textId="77777777" w:rsidR="00092031" w:rsidRDefault="00092031" w:rsidP="00092031">
      <w:r w:rsidRPr="002866AC">
        <w:t>For all these benefits, to some judges much of the time, and to most judges some of the time, the final-judgment rule can feel like a straitjacket. “In recent decades, the paths from federal district courts to the federal circuit courts of appeals have narrowed considerably,” causing litigants and judges alike to “test the limits” of the final-judgment rule.</w:t>
      </w:r>
      <w:r w:rsidRPr="002866AC">
        <w:rPr>
          <w:rStyle w:val="FootnoteReference"/>
        </w:rPr>
        <w:footnoteReference w:id="51"/>
      </w:r>
      <w:r w:rsidRPr="002866AC">
        <w:t xml:space="preserve"> The rule, and indeed nearly every rule about finality and appellate jurisdiction, is accordingly a study in the ambivalence (and humanness) of judges as they try to balance two worthwhile but competing goals: “clarity and flexibility.”</w:t>
      </w:r>
      <w:bookmarkStart w:id="17" w:name="_Ref211359026"/>
      <w:r w:rsidRPr="002866AC">
        <w:rPr>
          <w:rStyle w:val="FootnoteReference"/>
        </w:rPr>
        <w:footnoteReference w:id="52"/>
      </w:r>
      <w:bookmarkEnd w:id="17"/>
      <w:r w:rsidRPr="002866AC">
        <w:t xml:space="preserve"> As Bryan Lammon explains, “[b]</w:t>
      </w:r>
      <w:proofErr w:type="spellStart"/>
      <w:r w:rsidRPr="002866AC">
        <w:t>ecause</w:t>
      </w:r>
      <w:proofErr w:type="spellEnd"/>
      <w:r w:rsidRPr="002866AC">
        <w:t xml:space="preserve"> the end of district court proceedings is so important, courts want to craft clear, predictable, and unchanging rules defining when that point has arrived. . . . At the same time, courts want some flexibility to reach pragmatically sound outcomes. </w:t>
      </w:r>
    </w:p>
    <w:p w14:paraId="4C1CC4E1" w14:textId="77777777" w:rsidR="00092031" w:rsidRPr="002866AC" w:rsidRDefault="00092031" w:rsidP="00092031"/>
    <w:p w14:paraId="6E75FBD0" w14:textId="77777777" w:rsidR="00092031" w:rsidRPr="002866AC" w:rsidRDefault="00092031" w:rsidP="00092031">
      <w:r w:rsidRPr="002866AC">
        <w:t xml:space="preserve"> The result is that finality jurisprudence—case law concerning which trial court decisions are final for purposes of appeal—is messy. Even the Supreme Court, which has held a fairly consistent and constrained view of the final-judgment rule over the last 75 years, has issued decisions that turned out to permit the proverbial camel’s nose under the appealability tent.</w:t>
      </w:r>
      <w:r w:rsidRPr="002866AC">
        <w:rPr>
          <w:rStyle w:val="FootnoteReference"/>
        </w:rPr>
        <w:footnoteReference w:id="53"/>
      </w:r>
      <w:r w:rsidRPr="002866AC">
        <w:t xml:space="preserve"> Following by example, many circuit courts have done the same in applying the administrative-remand rule. </w:t>
      </w:r>
    </w:p>
    <w:p w14:paraId="3F4A5EA9" w14:textId="77777777" w:rsidR="00092031" w:rsidRPr="002866AC" w:rsidRDefault="00092031" w:rsidP="00092031"/>
    <w:p w14:paraId="231E5C3A" w14:textId="77777777" w:rsidR="00092031" w:rsidRPr="002866AC" w:rsidRDefault="00092031" w:rsidP="00092031">
      <w:pPr>
        <w:pStyle w:val="Heading3"/>
      </w:pPr>
      <w:bookmarkStart w:id="18" w:name="_Toc212214152"/>
      <w:r w:rsidRPr="002866AC">
        <w:t>The Administrative-Remand Rule’s Supreme Court Origins</w:t>
      </w:r>
      <w:bookmarkEnd w:id="18"/>
    </w:p>
    <w:p w14:paraId="5EC4E6F3" w14:textId="77777777" w:rsidR="00092031" w:rsidRPr="002866AC" w:rsidRDefault="00092031" w:rsidP="00092031"/>
    <w:p w14:paraId="42DCD5DD" w14:textId="77777777" w:rsidR="00092031" w:rsidRDefault="00092031" w:rsidP="00092031">
      <w:r w:rsidRPr="002866AC">
        <w:t>The administrative-remand rule has deep roots in the Supreme Court’s finality jurisprudence.</w:t>
      </w:r>
      <w:bookmarkStart w:id="19" w:name="_Ref211359351"/>
      <w:r w:rsidRPr="002866AC">
        <w:rPr>
          <w:rStyle w:val="FootnoteReference"/>
        </w:rPr>
        <w:footnoteReference w:id="54"/>
      </w:r>
      <w:bookmarkEnd w:id="19"/>
      <w:r w:rsidRPr="002866AC">
        <w:t xml:space="preserve"> In 1940, the Supreme Court decided </w:t>
      </w:r>
      <w:r w:rsidRPr="002866AC">
        <w:rPr>
          <w:i/>
          <w:iCs/>
        </w:rPr>
        <w:t>Cobbledick v. United States</w:t>
      </w:r>
      <w:r w:rsidRPr="002866AC">
        <w:t>,</w:t>
      </w:r>
      <w:r w:rsidRPr="002866AC">
        <w:rPr>
          <w:rStyle w:val="FootnoteReference"/>
        </w:rPr>
        <w:footnoteReference w:id="55"/>
      </w:r>
      <w:r w:rsidRPr="002866AC">
        <w:t xml:space="preserve"> which considered whether an order denying a motion to quash a </w:t>
      </w:r>
      <w:r w:rsidRPr="002866AC">
        <w:lastRenderedPageBreak/>
        <w:t>subpoena</w:t>
      </w:r>
      <w:r w:rsidRPr="002866AC">
        <w:rPr>
          <w:i/>
          <w:iCs/>
        </w:rPr>
        <w:t xml:space="preserve"> duces tecum</w:t>
      </w:r>
      <w:r w:rsidRPr="002866AC">
        <w:t xml:space="preserve"> was final and appealable.</w:t>
      </w:r>
      <w:r w:rsidRPr="002866AC">
        <w:rPr>
          <w:rStyle w:val="FootnoteReference"/>
        </w:rPr>
        <w:footnoteReference w:id="56"/>
      </w:r>
      <w:r w:rsidRPr="002866AC">
        <w:t xml:space="preserve"> The Court concluded it wasn’t, but more interesting is the Court’s discussion of why finality matters: “Finality as a condition of review is an historic characteristic of federal appellate procedure.”</w:t>
      </w:r>
      <w:r w:rsidRPr="002866AC">
        <w:rPr>
          <w:rStyle w:val="FootnoteReference"/>
        </w:rPr>
        <w:footnoteReference w:id="57"/>
      </w:r>
      <w:r w:rsidRPr="002866AC">
        <w:t xml:space="preserve"> And “[s]</w:t>
      </w:r>
      <w:proofErr w:type="spellStart"/>
      <w:r w:rsidRPr="002866AC">
        <w:t>ince</w:t>
      </w:r>
      <w:proofErr w:type="spellEnd"/>
      <w:r w:rsidRPr="002866AC">
        <w:t xml:space="preserve"> the right to a judgment from more than one court is a matter of grace and not a necessary ingredient of justice”—a proposition that today might strike some as axiomatic and others as odd or unfair—“Congress from the very beginning has, by forbidding piecemeal disposition on appeal of what for practical purposes is a single controversy, set itself against enfeebling judicial administration.”</w:t>
      </w:r>
      <w:r w:rsidRPr="002866AC">
        <w:rPr>
          <w:rStyle w:val="FootnoteReference"/>
        </w:rPr>
        <w:footnoteReference w:id="58"/>
      </w:r>
      <w:r w:rsidRPr="002866AC">
        <w:t xml:space="preserve"> </w:t>
      </w:r>
    </w:p>
    <w:p w14:paraId="54408018" w14:textId="77777777" w:rsidR="00092031" w:rsidRPr="002866AC" w:rsidRDefault="00092031" w:rsidP="00092031"/>
    <w:p w14:paraId="2D05541B" w14:textId="77777777" w:rsidR="00092031" w:rsidRDefault="00092031" w:rsidP="00092031">
      <w:r w:rsidRPr="002866AC">
        <w:t xml:space="preserve">Five years later, in </w:t>
      </w:r>
      <w:r w:rsidRPr="002866AC">
        <w:rPr>
          <w:i/>
          <w:iCs/>
        </w:rPr>
        <w:t>Catlin v. United States</w:t>
      </w:r>
      <w:r w:rsidRPr="002866AC">
        <w:t>,</w:t>
      </w:r>
      <w:r w:rsidRPr="002866AC">
        <w:rPr>
          <w:rStyle w:val="FootnoteReference"/>
        </w:rPr>
        <w:footnoteReference w:id="59"/>
      </w:r>
      <w:r w:rsidRPr="002866AC">
        <w:t xml:space="preserve"> the Court held unappealable two nonfinal district-court orders in an eminent domain case.</w:t>
      </w:r>
      <w:r w:rsidRPr="002866AC">
        <w:rPr>
          <w:rStyle w:val="FootnoteReference"/>
        </w:rPr>
        <w:footnoteReference w:id="60"/>
      </w:r>
      <w:r w:rsidRPr="002866AC">
        <w:t xml:space="preserve"> “The foundation of this policy is not in merely technical conceptions of ‘finality,’” the Court explained.</w:t>
      </w:r>
      <w:r w:rsidRPr="002866AC">
        <w:rPr>
          <w:rStyle w:val="FootnoteReference"/>
        </w:rPr>
        <w:footnoteReference w:id="61"/>
      </w:r>
      <w:r w:rsidRPr="002866AC">
        <w:t xml:space="preserve"> “It is one against piecemeal litigation,” on the one hand, and for “conservation of judicial energy” and “elimination of delays” on the other.</w:t>
      </w:r>
      <w:r w:rsidRPr="002866AC">
        <w:rPr>
          <w:rStyle w:val="FootnoteReference"/>
        </w:rPr>
        <w:footnoteReference w:id="62"/>
      </w:r>
      <w:r w:rsidRPr="002866AC">
        <w:t xml:space="preserve"> The Court articulated what remains the most-quoted definition of finality: “A ‘final decision’ generally is one which ends the litigation on the merits and leaves nothing for the court to do but execute the judgment.”</w:t>
      </w:r>
      <w:r w:rsidRPr="002866AC">
        <w:rPr>
          <w:rStyle w:val="FootnoteReference"/>
        </w:rPr>
        <w:footnoteReference w:id="63"/>
      </w:r>
      <w:r w:rsidRPr="002866AC">
        <w:t xml:space="preserve"> </w:t>
      </w:r>
    </w:p>
    <w:p w14:paraId="29BB60A0" w14:textId="77777777" w:rsidR="00092031" w:rsidRPr="002866AC" w:rsidRDefault="00092031" w:rsidP="00092031"/>
    <w:p w14:paraId="40785AF6" w14:textId="77777777" w:rsidR="00092031" w:rsidRDefault="00092031" w:rsidP="00092031">
      <w:r w:rsidRPr="002866AC">
        <w:rPr>
          <w:i/>
          <w:iCs/>
        </w:rPr>
        <w:t>Cobbledick</w:t>
      </w:r>
      <w:r w:rsidRPr="002866AC">
        <w:t xml:space="preserve"> and </w:t>
      </w:r>
      <w:r w:rsidRPr="002866AC">
        <w:rPr>
          <w:i/>
          <w:iCs/>
        </w:rPr>
        <w:t>Catlin</w:t>
      </w:r>
      <w:r w:rsidRPr="002866AC">
        <w:t xml:space="preserve"> set the stage for a strict administrative-remand rule (i.e., no appeals of remand orders); </w:t>
      </w:r>
      <w:r w:rsidRPr="002866AC">
        <w:rPr>
          <w:i/>
          <w:iCs/>
        </w:rPr>
        <w:t>Cohen v. Beneficial Industrial Loan Corporation</w:t>
      </w:r>
      <w:r w:rsidRPr="002866AC">
        <w:t>, decided in 1949, would, in time, set a very different path.</w:t>
      </w:r>
      <w:r w:rsidRPr="002866AC">
        <w:rPr>
          <w:rStyle w:val="FootnoteReference"/>
        </w:rPr>
        <w:footnoteReference w:id="64"/>
      </w:r>
      <w:r w:rsidRPr="002866AC">
        <w:t xml:space="preserve"> By 1949 Congress had enacted 28 U.S.C. §§ 1291 and 1292.</w:t>
      </w:r>
      <w:r w:rsidRPr="002866AC">
        <w:rPr>
          <w:rStyle w:val="FootnoteReference"/>
        </w:rPr>
        <w:footnoteReference w:id="65"/>
      </w:r>
      <w:r w:rsidRPr="002866AC">
        <w:t xml:space="preserve"> As the Court described in </w:t>
      </w:r>
      <w:r w:rsidRPr="002866AC">
        <w:rPr>
          <w:i/>
          <w:iCs/>
        </w:rPr>
        <w:t>Cohen</w:t>
      </w:r>
      <w:r w:rsidRPr="002866AC">
        <w:t>, section 1292 “allows appeals also from certain interlocutory orders, decrees and judgments, not material to this case except as they indicate the purpose to allow appeals from orders other than final judgments when they have a final and irreparable effect on the rights of the parties.”</w:t>
      </w:r>
      <w:r w:rsidRPr="002866AC">
        <w:rPr>
          <w:rStyle w:val="FootnoteReference"/>
        </w:rPr>
        <w:footnoteReference w:id="66"/>
      </w:r>
      <w:r w:rsidRPr="002866AC">
        <w:t xml:space="preserve"> Section 1292, in other </w:t>
      </w:r>
      <w:r w:rsidRPr="002866AC">
        <w:lastRenderedPageBreak/>
        <w:t>words, did what the Court had long done: It gave section 1291 and its predecessors a “practical rather than a technical construction.”</w:t>
      </w:r>
      <w:r w:rsidRPr="002866AC">
        <w:rPr>
          <w:rStyle w:val="FootnoteReference"/>
        </w:rPr>
        <w:footnoteReference w:id="67"/>
      </w:r>
      <w:r w:rsidRPr="002866AC">
        <w:t xml:space="preserve"> </w:t>
      </w:r>
    </w:p>
    <w:p w14:paraId="288400AC" w14:textId="77777777" w:rsidR="00092031" w:rsidRPr="002866AC" w:rsidRDefault="00092031" w:rsidP="00092031"/>
    <w:p w14:paraId="64467053" w14:textId="77777777" w:rsidR="00092031" w:rsidRDefault="00092031" w:rsidP="00092031">
      <w:r w:rsidRPr="002866AC">
        <w:t>On that basis—specifically on what the Court described as a new “collateral order” doctrine—the Court held appealable a district-court decision that a plaintiff need not provide security for attorney’s fees and costs in a shareholder derivative suit.</w:t>
      </w:r>
      <w:bookmarkStart w:id="20" w:name="_Ref211360979"/>
      <w:r w:rsidRPr="002866AC">
        <w:rPr>
          <w:rStyle w:val="FootnoteReference"/>
        </w:rPr>
        <w:footnoteReference w:id="68"/>
      </w:r>
      <w:bookmarkEnd w:id="20"/>
      <w:r w:rsidRPr="002866AC">
        <w:t xml:space="preserve"> The collateral-order doctrine’s three criteria for holding an interlocutory order appealable are now well-known: The order “must (1) conclusively determine the disputed question, (2) resolve an important issue completely separate from the merits of the action, and (3) be effectively unreviewable on appeal from a final judgment.”</w:t>
      </w:r>
      <w:bookmarkStart w:id="21" w:name="_Ref211360073"/>
      <w:r w:rsidRPr="002866AC">
        <w:rPr>
          <w:rStyle w:val="FootnoteReference"/>
        </w:rPr>
        <w:footnoteReference w:id="69"/>
      </w:r>
      <w:bookmarkEnd w:id="21"/>
      <w:r w:rsidRPr="002866AC">
        <w:t xml:space="preserve"> Twenty years later, the circuit courts would begin using </w:t>
      </w:r>
      <w:r w:rsidRPr="002866AC">
        <w:rPr>
          <w:i/>
          <w:iCs/>
        </w:rPr>
        <w:t>Cohen</w:t>
      </w:r>
      <w:r w:rsidRPr="002866AC">
        <w:t>’s collateral-order doctrine to fashion and apply the administrative-remand rule, at first rigidly but over time less so.</w:t>
      </w:r>
      <w:r w:rsidRPr="002866AC">
        <w:rPr>
          <w:rStyle w:val="FootnoteReference"/>
        </w:rPr>
        <w:footnoteReference w:id="70"/>
      </w:r>
    </w:p>
    <w:p w14:paraId="74D660BB" w14:textId="77777777" w:rsidR="00092031" w:rsidRPr="002866AC" w:rsidRDefault="00092031" w:rsidP="00092031"/>
    <w:p w14:paraId="7D4FFBA3" w14:textId="77777777" w:rsidR="00092031" w:rsidRDefault="00092031" w:rsidP="00092031">
      <w:r w:rsidRPr="002866AC">
        <w:t xml:space="preserve">In the meantime, </w:t>
      </w:r>
      <w:r w:rsidRPr="002866AC">
        <w:rPr>
          <w:i/>
          <w:iCs/>
        </w:rPr>
        <w:t>Cohen</w:t>
      </w:r>
      <w:r w:rsidRPr="002866AC">
        <w:t xml:space="preserve">’s concept of “final and irreparable effect” became the principal dividing line between trial court decisions that were appealable and those that were not. In </w:t>
      </w:r>
      <w:r w:rsidRPr="002866AC">
        <w:rPr>
          <w:i/>
          <w:iCs/>
        </w:rPr>
        <w:t>Di Bella v. United States</w:t>
      </w:r>
      <w:r w:rsidRPr="002866AC">
        <w:t>,</w:t>
      </w:r>
      <w:r w:rsidRPr="002866AC">
        <w:rPr>
          <w:rStyle w:val="FootnoteReference"/>
        </w:rPr>
        <w:footnoteReference w:id="71"/>
      </w:r>
      <w:r w:rsidRPr="002866AC">
        <w:t xml:space="preserve"> the Supreme Court held unappealable a ruling on a pre-indictment motion to suppress evidence secured through an allegedly unreasonable search and seizure.</w:t>
      </w:r>
      <w:r w:rsidRPr="002866AC">
        <w:rPr>
          <w:rStyle w:val="FootnoteReference"/>
        </w:rPr>
        <w:footnoteReference w:id="72"/>
      </w:r>
      <w:r w:rsidRPr="002866AC">
        <w:t xml:space="preserve"> The Court concluded that a non-final order is appealable only where “the damage of error unreviewed before the judgment” is both “definitive and complete” and outweighs the “disruption caused by intermediate appeal.”</w:t>
      </w:r>
      <w:r w:rsidRPr="002866AC">
        <w:rPr>
          <w:rStyle w:val="FootnoteReference"/>
        </w:rPr>
        <w:footnoteReference w:id="73"/>
      </w:r>
      <w:r w:rsidRPr="002866AC">
        <w:t xml:space="preserve"> Two years later, in 1964, the Court applied and expanded this balancing test in </w:t>
      </w:r>
      <w:r w:rsidRPr="002866AC">
        <w:rPr>
          <w:i/>
          <w:iCs/>
        </w:rPr>
        <w:t>Gillespie v. U.S. Steel Corporation</w:t>
      </w:r>
      <w:r w:rsidRPr="002866AC">
        <w:rPr>
          <w:rStyle w:val="FootnoteReference"/>
        </w:rPr>
        <w:footnoteReference w:id="74"/>
      </w:r>
      <w:r w:rsidRPr="002866AC">
        <w:t xml:space="preserve"> to hold appealable an order to strike certain parts of a complaint.</w:t>
      </w:r>
      <w:r w:rsidRPr="002866AC">
        <w:rPr>
          <w:rStyle w:val="FootnoteReference"/>
        </w:rPr>
        <w:footnoteReference w:id="75"/>
      </w:r>
      <w:r w:rsidRPr="002866AC">
        <w:t xml:space="preserve"> The Court reasoned that the stricken portions “effectively cut off” the plaintiffs’ claims for </w:t>
      </w:r>
      <w:r w:rsidRPr="002866AC">
        <w:lastRenderedPageBreak/>
        <w:t>recovery,</w:t>
      </w:r>
      <w:r w:rsidRPr="002866AC">
        <w:rPr>
          <w:rStyle w:val="FootnoteReference"/>
        </w:rPr>
        <w:footnoteReference w:id="76"/>
      </w:r>
      <w:r w:rsidRPr="002866AC">
        <w:t xml:space="preserve"> and that “the eventual costs . . . will certainly be less” if the Court addressed the issues on appeal rather than “</w:t>
      </w:r>
      <w:proofErr w:type="spellStart"/>
      <w:r w:rsidRPr="002866AC">
        <w:t>sen</w:t>
      </w:r>
      <w:proofErr w:type="spellEnd"/>
      <w:r w:rsidRPr="002866AC">
        <w:t>[t] the case back with those issues undecided.”</w:t>
      </w:r>
      <w:r w:rsidRPr="002866AC">
        <w:rPr>
          <w:rStyle w:val="FootnoteReference"/>
        </w:rPr>
        <w:footnoteReference w:id="77"/>
      </w:r>
      <w:r w:rsidRPr="002866AC">
        <w:t xml:space="preserve"> And the questions raised in the appeal were “fundamental to the further conduct of the case.”</w:t>
      </w:r>
      <w:r w:rsidRPr="002866AC">
        <w:rPr>
          <w:rStyle w:val="FootnoteReference"/>
        </w:rPr>
        <w:footnoteReference w:id="78"/>
      </w:r>
      <w:r w:rsidRPr="002866AC">
        <w:t xml:space="preserve"> Twelve years later, </w:t>
      </w:r>
      <w:r w:rsidRPr="002866AC">
        <w:rPr>
          <w:i/>
          <w:iCs/>
        </w:rPr>
        <w:t>Eisen v. Carlisle &amp; Jacquelin</w:t>
      </w:r>
      <w:r w:rsidRPr="002866AC">
        <w:rPr>
          <w:rStyle w:val="FootnoteReference"/>
        </w:rPr>
        <w:footnoteReference w:id="79"/>
      </w:r>
      <w:r w:rsidRPr="002866AC">
        <w:t xml:space="preserve"> held final and appealable a district-court order allocating notice costs in a class action, reasoning that it was conclusive and collateral to the merits.</w:t>
      </w:r>
      <w:r w:rsidRPr="002866AC">
        <w:rPr>
          <w:rStyle w:val="FootnoteReference"/>
        </w:rPr>
        <w:footnoteReference w:id="80"/>
      </w:r>
    </w:p>
    <w:p w14:paraId="2F2034B5" w14:textId="77777777" w:rsidR="00092031" w:rsidRPr="002866AC" w:rsidRDefault="00092031" w:rsidP="00092031"/>
    <w:p w14:paraId="0075941B" w14:textId="77777777" w:rsidR="00092031" w:rsidRDefault="00092031" w:rsidP="00092031">
      <w:r w:rsidRPr="002866AC">
        <w:t>Following on</w:t>
      </w:r>
      <w:r w:rsidRPr="002866AC">
        <w:rPr>
          <w:i/>
          <w:iCs/>
        </w:rPr>
        <w:t xml:space="preserve"> Cohen</w:t>
      </w:r>
      <w:r w:rsidRPr="002866AC">
        <w:t>’s</w:t>
      </w:r>
      <w:r w:rsidRPr="002866AC">
        <w:rPr>
          <w:i/>
          <w:iCs/>
        </w:rPr>
        <w:t xml:space="preserve"> </w:t>
      </w:r>
      <w:r w:rsidRPr="002866AC">
        <w:t>heels</w:t>
      </w:r>
      <w:r w:rsidRPr="002866AC">
        <w:rPr>
          <w:i/>
          <w:iCs/>
        </w:rPr>
        <w:t>, Gillespie</w:t>
      </w:r>
      <w:r w:rsidRPr="002866AC">
        <w:t xml:space="preserve"> and </w:t>
      </w:r>
      <w:r w:rsidRPr="002866AC">
        <w:rPr>
          <w:i/>
          <w:iCs/>
        </w:rPr>
        <w:t>Eisen</w:t>
      </w:r>
      <w:r w:rsidRPr="002866AC">
        <w:t xml:space="preserve"> seemed to herald a new era of flexible, case-by-case finality analysis, but that was not to be.</w:t>
      </w:r>
      <w:r w:rsidRPr="002866AC">
        <w:rPr>
          <w:rStyle w:val="FootnoteReference"/>
        </w:rPr>
        <w:footnoteReference w:id="81"/>
      </w:r>
      <w:r w:rsidRPr="002866AC">
        <w:t xml:space="preserve"> </w:t>
      </w:r>
      <w:r w:rsidRPr="002866AC">
        <w:rPr>
          <w:i/>
          <w:iCs/>
        </w:rPr>
        <w:t>Coopers &amp; Lybrand v. Livesay</w:t>
      </w:r>
      <w:r w:rsidRPr="002866AC">
        <w:t>, decided in 1978, heralded a much more restrictive era that more or less continues today.</w:t>
      </w:r>
      <w:r w:rsidRPr="002866AC">
        <w:rPr>
          <w:rStyle w:val="FootnoteReference"/>
        </w:rPr>
        <w:footnoteReference w:id="82"/>
      </w:r>
      <w:r w:rsidRPr="002866AC">
        <w:t xml:space="preserve"> </w:t>
      </w:r>
      <w:r w:rsidRPr="002866AC">
        <w:rPr>
          <w:i/>
          <w:iCs/>
        </w:rPr>
        <w:t xml:space="preserve">Coopers &amp; Lybrand </w:t>
      </w:r>
      <w:r w:rsidRPr="002866AC">
        <w:t>held that an order denying class certification was not appealable under 28 U.S.C. § 1291.</w:t>
      </w:r>
      <w:r w:rsidRPr="002866AC">
        <w:rPr>
          <w:rStyle w:val="FootnoteReference"/>
        </w:rPr>
        <w:footnoteReference w:id="83"/>
      </w:r>
      <w:r w:rsidRPr="002866AC">
        <w:t xml:space="preserve"> Subsequent cases held non-final and unappealable orders denying or granting counsel </w:t>
      </w:r>
      <w:r w:rsidRPr="002866AC">
        <w:lastRenderedPageBreak/>
        <w:t>disqualification motions,</w:t>
      </w:r>
      <w:r w:rsidRPr="002866AC">
        <w:rPr>
          <w:rStyle w:val="FootnoteReference"/>
        </w:rPr>
        <w:footnoteReference w:id="84"/>
      </w:r>
      <w:r w:rsidRPr="002866AC">
        <w:t xml:space="preserve"> orders granting permissive intervention but denying intervention as of right,</w:t>
      </w:r>
      <w:r w:rsidRPr="002866AC">
        <w:rPr>
          <w:rStyle w:val="FootnoteReference"/>
        </w:rPr>
        <w:footnoteReference w:id="85"/>
      </w:r>
      <w:r w:rsidRPr="002866AC">
        <w:t xml:space="preserve"> and orders denying effect to settlement agreements.</w:t>
      </w:r>
      <w:r w:rsidRPr="002866AC">
        <w:rPr>
          <w:rStyle w:val="FootnoteReference"/>
        </w:rPr>
        <w:footnoteReference w:id="86"/>
      </w:r>
      <w:r w:rsidRPr="002866AC">
        <w:t xml:space="preserve"> </w:t>
      </w:r>
    </w:p>
    <w:p w14:paraId="7843994C" w14:textId="77777777" w:rsidR="00092031" w:rsidRPr="002866AC" w:rsidRDefault="00092031" w:rsidP="00092031"/>
    <w:p w14:paraId="39BF74E6" w14:textId="77777777" w:rsidR="00092031" w:rsidRDefault="00092031" w:rsidP="00092031">
      <w:r w:rsidRPr="002866AC">
        <w:t xml:space="preserve">As for case-by-case balancing under </w:t>
      </w:r>
      <w:r w:rsidRPr="002866AC">
        <w:rPr>
          <w:i/>
          <w:iCs/>
        </w:rPr>
        <w:t>Gillespie</w:t>
      </w:r>
      <w:r w:rsidRPr="002866AC">
        <w:t xml:space="preserve"> and </w:t>
      </w:r>
      <w:r w:rsidRPr="002866AC">
        <w:rPr>
          <w:i/>
          <w:iCs/>
        </w:rPr>
        <w:t>Eisen</w:t>
      </w:r>
      <w:r w:rsidRPr="002866AC">
        <w:t xml:space="preserve">, the Court did all it could to kill it: “If </w:t>
      </w:r>
      <w:r w:rsidRPr="002866AC">
        <w:rPr>
          <w:i/>
          <w:iCs/>
        </w:rPr>
        <w:t>Gillespie</w:t>
      </w:r>
      <w:r w:rsidRPr="002866AC">
        <w:t xml:space="preserve"> were extended beyond the unique facts of that case, § 1291 would be stripped of all significance.”</w:t>
      </w:r>
      <w:r w:rsidRPr="002866AC">
        <w:rPr>
          <w:rStyle w:val="FootnoteReference"/>
        </w:rPr>
        <w:footnoteReference w:id="87"/>
      </w:r>
      <w:r w:rsidRPr="002866AC">
        <w:t xml:space="preserve"> That is, the need of the many (judicial efficiency) outweighs the need of the few (the “incremental benefit” of “individualized jurisdictional inquiry”).</w:t>
      </w:r>
      <w:r w:rsidRPr="002866AC">
        <w:rPr>
          <w:rStyle w:val="FootnoteReference"/>
        </w:rPr>
        <w:footnoteReference w:id="88"/>
      </w:r>
      <w:r w:rsidRPr="002866AC">
        <w:t xml:space="preserve"> And “[we] have warned that the issue of appealability under § 1291 is to be determined for the entire category to which a claim belongs, without regard to the chance that the litigation at hand might be speeded, or a particular </w:t>
      </w:r>
      <w:proofErr w:type="spellStart"/>
      <w:r w:rsidRPr="002866AC">
        <w:t>injustic</w:t>
      </w:r>
      <w:proofErr w:type="spellEnd"/>
      <w:r w:rsidRPr="002866AC">
        <w:t>[e] averted.”</w:t>
      </w:r>
      <w:r w:rsidRPr="002866AC">
        <w:rPr>
          <w:rStyle w:val="FootnoteReference"/>
        </w:rPr>
        <w:footnoteReference w:id="89"/>
      </w:r>
    </w:p>
    <w:p w14:paraId="0A7DA669" w14:textId="77777777" w:rsidR="00092031" w:rsidRPr="002866AC" w:rsidRDefault="00092031" w:rsidP="00092031"/>
    <w:p w14:paraId="00F47207" w14:textId="77777777" w:rsidR="00092031" w:rsidRDefault="00092031" w:rsidP="00092031">
      <w:r w:rsidRPr="002866AC">
        <w:t xml:space="preserve">In more recent years, the Supreme Court has allowed slivers of light behind this firewall of finality, but they are faint and erratic, as if emitted by some distant star. A flicker came from </w:t>
      </w:r>
      <w:r w:rsidRPr="002866AC">
        <w:rPr>
          <w:i/>
          <w:iCs/>
        </w:rPr>
        <w:t>Sullivan v. Finkelstein</w:t>
      </w:r>
      <w:r w:rsidRPr="002866AC">
        <w:t>,</w:t>
      </w:r>
      <w:bookmarkStart w:id="22" w:name="_Ref211358904"/>
      <w:r w:rsidRPr="002866AC">
        <w:rPr>
          <w:rStyle w:val="FootnoteReference"/>
        </w:rPr>
        <w:footnoteReference w:id="90"/>
      </w:r>
      <w:bookmarkEnd w:id="22"/>
      <w:r w:rsidRPr="002866AC">
        <w:t xml:space="preserve"> the Court’s closest brush with the administrative-remand rule. There the Court held that a district-court remand under a particular provision of the Social Security Act was final as to, and thus appealable by, the agency.</w:t>
      </w:r>
      <w:r w:rsidRPr="002866AC">
        <w:rPr>
          <w:rStyle w:val="FootnoteReference"/>
        </w:rPr>
        <w:footnoteReference w:id="91"/>
      </w:r>
      <w:r w:rsidRPr="002866AC">
        <w:t xml:space="preserve"> The remand effectively invalidated the agency’s regulation for determining benefits eligibility, and without immediate review the agency might be foreclosed from later judicial review (that is, if the agency determined the plaintiff was benefits-eligible on remand).</w:t>
      </w:r>
      <w:r w:rsidRPr="002866AC">
        <w:rPr>
          <w:rStyle w:val="FootnoteReference"/>
        </w:rPr>
        <w:footnoteReference w:id="92"/>
      </w:r>
      <w:r w:rsidRPr="002866AC">
        <w:t xml:space="preserve"> </w:t>
      </w:r>
    </w:p>
    <w:p w14:paraId="086D1FD3" w14:textId="77777777" w:rsidR="00092031" w:rsidRPr="002866AC" w:rsidRDefault="00092031" w:rsidP="00092031"/>
    <w:p w14:paraId="3CC726A6" w14:textId="58B03DB3" w:rsidR="00092031" w:rsidRPr="002866AC" w:rsidRDefault="00092031" w:rsidP="00092031">
      <w:r w:rsidRPr="002866AC">
        <w:rPr>
          <w:i/>
          <w:iCs/>
        </w:rPr>
        <w:t>Finkelstein</w:t>
      </w:r>
      <w:r w:rsidRPr="002866AC">
        <w:t xml:space="preserve"> could have been a cosmic crack in the final-judgment rule,</w:t>
      </w:r>
      <w:bookmarkStart w:id="23" w:name="_Ref211359449"/>
      <w:r w:rsidRPr="002866AC">
        <w:rPr>
          <w:rStyle w:val="FootnoteReference"/>
        </w:rPr>
        <w:footnoteReference w:id="93"/>
      </w:r>
      <w:bookmarkEnd w:id="23"/>
      <w:r w:rsidRPr="002866AC">
        <w:t xml:space="preserve"> but the Court worked hard to cabin its potential reach. The district court’s remand </w:t>
      </w:r>
      <w:r w:rsidRPr="002866AC">
        <w:lastRenderedPageBreak/>
        <w:t xml:space="preserve">was unique, the Court explained, and in any event, </w:t>
      </w:r>
      <w:r w:rsidRPr="002866AC">
        <w:rPr>
          <w:i/>
          <w:iCs/>
        </w:rPr>
        <w:t>Finkelstein</w:t>
      </w:r>
      <w:r w:rsidRPr="002866AC">
        <w:t xml:space="preserve"> was not meant to address “the broad question whether remands to administrative agencies are always immediately appealable.”</w:t>
      </w:r>
      <w:r w:rsidRPr="002866AC">
        <w:rPr>
          <w:rStyle w:val="FootnoteReference"/>
        </w:rPr>
        <w:footnoteReference w:id="94"/>
      </w:r>
      <w:r w:rsidRPr="002866AC">
        <w:t xml:space="preserve"> Moreover, as some circuits have since pointed out, remands under the Social Security Act occur under a special final-judgment statute that operates as a true exception to section 1291.</w:t>
      </w:r>
      <w:bookmarkStart w:id="24" w:name="_Ref211359193"/>
      <w:r w:rsidRPr="002866AC">
        <w:rPr>
          <w:rStyle w:val="FootnoteReference"/>
        </w:rPr>
        <w:footnoteReference w:id="95"/>
      </w:r>
      <w:bookmarkEnd w:id="24"/>
      <w:r w:rsidRPr="002866AC">
        <w:t xml:space="preserve"> At its outer bounds, </w:t>
      </w:r>
      <w:r w:rsidRPr="002866AC">
        <w:rPr>
          <w:i/>
          <w:iCs/>
        </w:rPr>
        <w:t>Finkelstein</w:t>
      </w:r>
      <w:r w:rsidRPr="002866AC">
        <w:t xml:space="preserve"> could be viewed as the Supreme Court’s indirect approval of the circuit courts’ general practice, by 1990, of allowing agencies to appeal remands, and as contributing to the larger idea that some remands should be appealable.</w:t>
      </w:r>
      <w:r w:rsidRPr="002866AC">
        <w:rPr>
          <w:rStyle w:val="FootnoteReference"/>
        </w:rPr>
        <w:footnoteReference w:id="96"/>
      </w:r>
      <w:r w:rsidRPr="002866AC">
        <w:t xml:space="preserve"> But </w:t>
      </w:r>
      <w:r w:rsidRPr="002866AC">
        <w:rPr>
          <w:i/>
          <w:iCs/>
        </w:rPr>
        <w:t>Finkelstein</w:t>
      </w:r>
      <w:r w:rsidRPr="002866AC">
        <w:t xml:space="preserve"> was not itself a basis for or articulation of the administrative-remand rule or its nuances.</w:t>
      </w:r>
      <w:r w:rsidR="00065B71">
        <w:t xml:space="preserve"> </w:t>
      </w:r>
      <w:r w:rsidRPr="002866AC">
        <w:t xml:space="preserve">More than anything, </w:t>
      </w:r>
      <w:r w:rsidRPr="002866AC">
        <w:rPr>
          <w:i/>
          <w:iCs/>
        </w:rPr>
        <w:t>Finkelstein</w:t>
      </w:r>
      <w:r w:rsidRPr="002866AC">
        <w:t xml:space="preserve"> stands out as a rare and faint exception in a decades-long run, starting with </w:t>
      </w:r>
      <w:r w:rsidRPr="002866AC">
        <w:rPr>
          <w:i/>
          <w:iCs/>
        </w:rPr>
        <w:t>Coopers &amp; Lybrand</w:t>
      </w:r>
      <w:r w:rsidRPr="002866AC">
        <w:t xml:space="preserve">, of the Supreme Court strictly interpreting section 1291. The Supreme Court occasionally allowed interlocutory appellate review of some district-court rulings (such as collateral orders under </w:t>
      </w:r>
      <w:r w:rsidRPr="002866AC">
        <w:rPr>
          <w:i/>
          <w:iCs/>
        </w:rPr>
        <w:t>Cohen</w:t>
      </w:r>
      <w:r w:rsidRPr="002866AC">
        <w:rPr>
          <w:rStyle w:val="FootnoteReference"/>
        </w:rPr>
        <w:footnoteReference w:id="97"/>
      </w:r>
      <w:r w:rsidRPr="002866AC">
        <w:t>), but the clear trend-line has been to restrict, not expand, finality under section 1291.</w:t>
      </w:r>
      <w:bookmarkStart w:id="25" w:name="_Ref211358922"/>
      <w:r w:rsidRPr="002866AC">
        <w:rPr>
          <w:rStyle w:val="FootnoteReference"/>
        </w:rPr>
        <w:footnoteReference w:id="98"/>
      </w:r>
      <w:bookmarkEnd w:id="25"/>
    </w:p>
    <w:p w14:paraId="3F22794F" w14:textId="77777777" w:rsidR="00092031" w:rsidRPr="002866AC" w:rsidRDefault="00092031" w:rsidP="00092031"/>
    <w:p w14:paraId="2894AA30" w14:textId="77777777" w:rsidR="00092031" w:rsidRPr="002866AC" w:rsidRDefault="00092031" w:rsidP="00092031">
      <w:pPr>
        <w:pStyle w:val="Heading3"/>
      </w:pPr>
      <w:bookmarkStart w:id="26" w:name="_Toc212214153"/>
      <w:r w:rsidRPr="002866AC">
        <w:lastRenderedPageBreak/>
        <w:t>Circuit-Court Development</w:t>
      </w:r>
      <w:bookmarkEnd w:id="26"/>
    </w:p>
    <w:p w14:paraId="6A51A8C9" w14:textId="77777777" w:rsidR="00092031" w:rsidRPr="002866AC" w:rsidRDefault="00092031" w:rsidP="00092031"/>
    <w:p w14:paraId="59C50D72" w14:textId="77777777" w:rsidR="00092031" w:rsidRPr="002866AC" w:rsidRDefault="00092031" w:rsidP="00092031">
      <w:pPr>
        <w:pStyle w:val="Heading4"/>
      </w:pPr>
      <w:bookmarkStart w:id="27" w:name="_Toc212214154"/>
      <w:r w:rsidRPr="002866AC">
        <w:t>The Early Years (1965-1989)</w:t>
      </w:r>
      <w:bookmarkEnd w:id="27"/>
    </w:p>
    <w:p w14:paraId="77A1B3DD" w14:textId="77777777" w:rsidR="00092031" w:rsidRPr="002866AC" w:rsidRDefault="00092031" w:rsidP="00092031">
      <w:pPr>
        <w:rPr>
          <w:rFonts w:cs="Times New Roman"/>
          <w:b/>
          <w:bCs/>
        </w:rPr>
      </w:pPr>
    </w:p>
    <w:p w14:paraId="117E233E" w14:textId="77777777" w:rsidR="00092031" w:rsidRDefault="00092031" w:rsidP="00092031">
      <w:pPr>
        <w:rPr>
          <w:rFonts w:eastAsia="Quattrocento"/>
        </w:rPr>
      </w:pPr>
      <w:r w:rsidRPr="002866AC">
        <w:rPr>
          <w:rFonts w:eastAsia="Quattrocento"/>
        </w:rPr>
        <w:t>Against this backdrop of Supreme Court finality jurisprudence, the administrative-remand rule began to emerge in the circuit courts. The first glimmers came between 1953 and 1967, when the Third and Eighth Circuits issued a series of perfunctory decisions holding that claimants for Social Security disability benefits could not appeal remands because they were not final.</w:t>
      </w:r>
      <w:bookmarkStart w:id="28" w:name="_Ref211359415"/>
      <w:r w:rsidRPr="002866AC">
        <w:rPr>
          <w:rStyle w:val="FootnoteReference"/>
          <w:rFonts w:eastAsia="Quattrocento"/>
        </w:rPr>
        <w:footnoteReference w:id="99"/>
      </w:r>
      <w:bookmarkEnd w:id="28"/>
      <w:r w:rsidRPr="002866AC">
        <w:rPr>
          <w:rFonts w:eastAsia="Quattrocento"/>
        </w:rPr>
        <w:t xml:space="preserve"> </w:t>
      </w:r>
    </w:p>
    <w:p w14:paraId="2ED92EA2" w14:textId="77777777" w:rsidR="00092031" w:rsidRPr="002866AC" w:rsidRDefault="00092031" w:rsidP="00092031">
      <w:pPr>
        <w:rPr>
          <w:rFonts w:eastAsia="Quattrocento"/>
        </w:rPr>
      </w:pPr>
    </w:p>
    <w:p w14:paraId="2F1AC20A" w14:textId="77777777" w:rsidR="00092031" w:rsidRDefault="00092031" w:rsidP="00092031">
      <w:r w:rsidRPr="002866AC">
        <w:rPr>
          <w:rFonts w:eastAsia="Quattrocento"/>
        </w:rPr>
        <w:t xml:space="preserve">Then, in </w:t>
      </w:r>
      <w:r w:rsidRPr="002866AC">
        <w:t xml:space="preserve">1969—twenty years after </w:t>
      </w:r>
      <w:r w:rsidRPr="002866AC">
        <w:rPr>
          <w:i/>
          <w:iCs/>
        </w:rPr>
        <w:t>Cohen</w:t>
      </w:r>
      <w:r w:rsidRPr="002866AC">
        <w:t xml:space="preserve"> and five years after</w:t>
      </w:r>
      <w:r w:rsidRPr="002866AC">
        <w:rPr>
          <w:i/>
          <w:iCs/>
        </w:rPr>
        <w:t xml:space="preserve"> Gillespie</w:t>
      </w:r>
      <w:r w:rsidRPr="002866AC">
        <w:t xml:space="preserve">, but nine years before </w:t>
      </w:r>
      <w:r w:rsidRPr="002866AC">
        <w:rPr>
          <w:i/>
          <w:iCs/>
        </w:rPr>
        <w:t>Coopers &amp; Lybrand</w:t>
      </w:r>
      <w:r w:rsidRPr="002866AC">
        <w:t xml:space="preserve"> and twenty-one years before </w:t>
      </w:r>
      <w:r w:rsidRPr="002866AC">
        <w:rPr>
          <w:i/>
          <w:iCs/>
        </w:rPr>
        <w:t>Finkelstein</w:t>
      </w:r>
      <w:r w:rsidRPr="002866AC">
        <w:t xml:space="preserve">—the Fifth Circuit issued what appears to be the first decision explicitly fashioning, and then applying, the administrative-remand rule. In </w:t>
      </w:r>
      <w:r w:rsidRPr="002866AC">
        <w:rPr>
          <w:i/>
          <w:iCs/>
        </w:rPr>
        <w:t>Cohen v. Perales</w:t>
      </w:r>
      <w:r w:rsidRPr="002866AC">
        <w:t>,</w:t>
      </w:r>
      <w:r w:rsidRPr="002866AC">
        <w:rPr>
          <w:rStyle w:val="FootnoteReference"/>
        </w:rPr>
        <w:footnoteReference w:id="100"/>
      </w:r>
      <w:r w:rsidRPr="002866AC">
        <w:t xml:space="preserve"> the Fifth Circuit held that a district-court order remanding a decision by the Social Security Administration to deny social-security benefits was final as to, and therefore appealable by, the agency under 28 U.S.C. § 1291. The court cited </w:t>
      </w:r>
      <w:r w:rsidRPr="002866AC">
        <w:rPr>
          <w:i/>
          <w:iCs/>
        </w:rPr>
        <w:t>Gillespie</w:t>
      </w:r>
      <w:r w:rsidRPr="002866AC">
        <w:t>’s notion of giving finality “a practical rather than a technical construction,” as well as the collateral-order doctrine.</w:t>
      </w:r>
      <w:r w:rsidRPr="002866AC">
        <w:rPr>
          <w:rStyle w:val="FootnoteReference"/>
        </w:rPr>
        <w:footnoteReference w:id="101"/>
      </w:r>
      <w:r w:rsidRPr="002866AC">
        <w:t xml:space="preserve"> But most compelling to the court was the effect a contrary decision would have had on the agency: “Unless the Secretary is allowed to appeal from this order, he will never be able to reach the questions involved . . . .”</w:t>
      </w:r>
      <w:r w:rsidRPr="002866AC">
        <w:rPr>
          <w:rStyle w:val="FootnoteReference"/>
        </w:rPr>
        <w:footnoteReference w:id="102"/>
      </w:r>
      <w:r w:rsidRPr="002866AC">
        <w:t xml:space="preserve"> Four years later, the Fifth Circuit reached a similar decision involving the same agency, citing again the same principal reason.</w:t>
      </w:r>
      <w:r w:rsidRPr="002866AC">
        <w:rPr>
          <w:rStyle w:val="FootnoteReference"/>
        </w:rPr>
        <w:footnoteReference w:id="103"/>
      </w:r>
      <w:r w:rsidRPr="002866AC">
        <w:t xml:space="preserve"> One year after that, the D.C. Circuit followed suit in a different context, holding that a district court’s remand to the Civil Service Commission requiring the Commission to make a certain finding as a matter of law was final and appealable by the Commission.</w:t>
      </w:r>
      <w:r w:rsidRPr="002866AC">
        <w:rPr>
          <w:rStyle w:val="FootnoteReference"/>
        </w:rPr>
        <w:footnoteReference w:id="104"/>
      </w:r>
      <w:r w:rsidRPr="002866AC">
        <w:t xml:space="preserve"> Like the Fifth Circuit, the D.C. Circuit relied on </w:t>
      </w:r>
      <w:r w:rsidRPr="002866AC">
        <w:rPr>
          <w:i/>
          <w:iCs/>
        </w:rPr>
        <w:t>Gillespie</w:t>
      </w:r>
      <w:r w:rsidRPr="002866AC">
        <w:t xml:space="preserve">’s notion of “practical finality” and </w:t>
      </w:r>
      <w:r w:rsidRPr="002866AC">
        <w:rPr>
          <w:i/>
          <w:iCs/>
        </w:rPr>
        <w:t>Cohen</w:t>
      </w:r>
      <w:r w:rsidRPr="002866AC">
        <w:t xml:space="preserve">’s </w:t>
      </w:r>
      <w:proofErr w:type="spellStart"/>
      <w:r w:rsidRPr="002866AC">
        <w:t>unreviewability</w:t>
      </w:r>
      <w:proofErr w:type="spellEnd"/>
      <w:r w:rsidRPr="002866AC">
        <w:t xml:space="preserve"> prong under the collateral-order doctrine.</w:t>
      </w:r>
      <w:r w:rsidRPr="002866AC">
        <w:rPr>
          <w:rStyle w:val="FootnoteReference"/>
        </w:rPr>
        <w:footnoteReference w:id="105"/>
      </w:r>
      <w:r w:rsidRPr="002866AC">
        <w:t xml:space="preserve"> </w:t>
      </w:r>
    </w:p>
    <w:p w14:paraId="68839CA4" w14:textId="77777777" w:rsidR="00092031" w:rsidRPr="002866AC" w:rsidRDefault="00092031" w:rsidP="00092031"/>
    <w:p w14:paraId="3092BC2C" w14:textId="77777777" w:rsidR="00092031" w:rsidRPr="002866AC" w:rsidRDefault="00092031" w:rsidP="00092031">
      <w:r w:rsidRPr="002866AC">
        <w:lastRenderedPageBreak/>
        <w:t xml:space="preserve">New rules rarely develop linearly, however. In 1976, the Third Circuit decided </w:t>
      </w:r>
      <w:r w:rsidRPr="002866AC">
        <w:rPr>
          <w:i/>
          <w:iCs/>
        </w:rPr>
        <w:t>Bachowski v. Usery</w:t>
      </w:r>
      <w:r w:rsidRPr="002866AC">
        <w:t>.</w:t>
      </w:r>
      <w:r w:rsidRPr="002866AC">
        <w:rPr>
          <w:rStyle w:val="FootnoteReference"/>
        </w:rPr>
        <w:footnoteReference w:id="106"/>
      </w:r>
      <w:r w:rsidRPr="002866AC">
        <w:t xml:space="preserve"> That decision held that even the Department of Labor could not appeal a district-court order remanding the Department’s decision not to sue to overturn the results of a union’s election.</w:t>
      </w:r>
      <w:r w:rsidRPr="002866AC">
        <w:rPr>
          <w:rStyle w:val="FootnoteReference"/>
        </w:rPr>
        <w:footnoteReference w:id="107"/>
      </w:r>
      <w:r w:rsidRPr="002866AC">
        <w:t xml:space="preserve"> The court recognized that other circuits had “found appealable orders by district courts that remanded cases to administrative agencies for further consideration,” citing principally the Fifth Circuit’s decision in </w:t>
      </w:r>
      <w:r w:rsidRPr="002866AC">
        <w:rPr>
          <w:i/>
          <w:iCs/>
        </w:rPr>
        <w:t xml:space="preserve">Perales </w:t>
      </w:r>
      <w:r w:rsidRPr="002866AC">
        <w:t>(and in doing so giving the administrative-remand rule its first name: the “</w:t>
      </w:r>
      <w:r w:rsidRPr="002866AC">
        <w:rPr>
          <w:i/>
          <w:iCs/>
        </w:rPr>
        <w:t>Perales</w:t>
      </w:r>
      <w:r w:rsidRPr="002866AC">
        <w:t xml:space="preserve"> doctrine”).</w:t>
      </w:r>
      <w:r w:rsidRPr="002866AC">
        <w:rPr>
          <w:rStyle w:val="FootnoteReference"/>
        </w:rPr>
        <w:footnoteReference w:id="108"/>
      </w:r>
      <w:r w:rsidRPr="002866AC">
        <w:t xml:space="preserve"> But unlike in </w:t>
      </w:r>
      <w:r w:rsidRPr="002866AC">
        <w:rPr>
          <w:i/>
          <w:iCs/>
        </w:rPr>
        <w:t>Perales</w:t>
      </w:r>
      <w:r w:rsidRPr="002866AC">
        <w:t>, the Third Circuit reasoned, there was no “</w:t>
      </w:r>
      <w:proofErr w:type="spellStart"/>
      <w:r w:rsidRPr="002866AC">
        <w:t>inexorabl</w:t>
      </w:r>
      <w:proofErr w:type="spellEnd"/>
      <w:r w:rsidRPr="002866AC">
        <w:t xml:space="preserve">[e]” risk in </w:t>
      </w:r>
      <w:proofErr w:type="spellStart"/>
      <w:r w:rsidRPr="002866AC">
        <w:rPr>
          <w:i/>
          <w:iCs/>
        </w:rPr>
        <w:t>Bachowski</w:t>
      </w:r>
      <w:proofErr w:type="spellEnd"/>
      <w:r w:rsidRPr="002866AC">
        <w:rPr>
          <w:i/>
          <w:iCs/>
        </w:rPr>
        <w:t xml:space="preserve"> </w:t>
      </w:r>
      <w:r w:rsidRPr="002866AC">
        <w:t>that the agency would be deprived of later review of whatever issue underlay the interlocutory appeal.</w:t>
      </w:r>
      <w:r w:rsidRPr="002866AC">
        <w:rPr>
          <w:rStyle w:val="FootnoteReference"/>
        </w:rPr>
        <w:footnoteReference w:id="109"/>
      </w:r>
      <w:r w:rsidRPr="002866AC">
        <w:t xml:space="preserve"> To allow appellate review on an interlocutory basis “would thus require an extension of the </w:t>
      </w:r>
      <w:r w:rsidRPr="002866AC">
        <w:rPr>
          <w:i/>
          <w:iCs/>
        </w:rPr>
        <w:t>Perales</w:t>
      </w:r>
      <w:r w:rsidRPr="002866AC">
        <w:t xml:space="preserve"> doctrine.”</w:t>
      </w:r>
      <w:r w:rsidRPr="002866AC">
        <w:rPr>
          <w:rStyle w:val="FootnoteReference"/>
        </w:rPr>
        <w:footnoteReference w:id="110"/>
      </w:r>
      <w:r w:rsidRPr="002866AC">
        <w:t xml:space="preserve"> </w:t>
      </w:r>
    </w:p>
    <w:p w14:paraId="2403086F" w14:textId="77777777" w:rsidR="00092031" w:rsidRDefault="00092031" w:rsidP="00092031"/>
    <w:p w14:paraId="0849A2DA" w14:textId="1C1D1D8A" w:rsidR="00092031" w:rsidRPr="002866AC" w:rsidRDefault="00092031" w:rsidP="00092031">
      <w:r w:rsidRPr="002866AC">
        <w:t>The Third Circuit was not alone in turning away appeals of remands by agencies during this period. The Federal, First, and Fourth Circuits sometimes did, too.</w:t>
      </w:r>
      <w:r w:rsidRPr="002866AC">
        <w:rPr>
          <w:rStyle w:val="FootnoteReference"/>
        </w:rPr>
        <w:footnoteReference w:id="111"/>
      </w:r>
      <w:r w:rsidRPr="002866AC">
        <w:t xml:space="preserve"> But these decisions were aberrations; the circuit courts quickly came </w:t>
      </w:r>
      <w:r w:rsidRPr="002866AC">
        <w:lastRenderedPageBreak/>
        <w:t>to agreement that agencies,</w:t>
      </w:r>
      <w:r w:rsidRPr="002866AC">
        <w:rPr>
          <w:rStyle w:val="FootnoteReference"/>
        </w:rPr>
        <w:footnoteReference w:id="112"/>
      </w:r>
      <w:r w:rsidRPr="002866AC">
        <w:t xml:space="preserve"> but only agencies,</w:t>
      </w:r>
      <w:r w:rsidRPr="002866AC">
        <w:rPr>
          <w:rStyle w:val="FootnoteReference"/>
        </w:rPr>
        <w:footnoteReference w:id="113"/>
      </w:r>
      <w:r w:rsidRPr="002866AC">
        <w:t xml:space="preserve"> could appeal remands. Indeed, within roughly two decades, the administrative-remand rule as we know it today had taken shape and root.</w:t>
      </w:r>
      <w:bookmarkStart w:id="29" w:name="_Ref211358788"/>
      <w:r w:rsidRPr="002866AC">
        <w:rPr>
          <w:rStyle w:val="FootnoteReference"/>
        </w:rPr>
        <w:footnoteReference w:id="114"/>
      </w:r>
      <w:bookmarkEnd w:id="29"/>
      <w:r w:rsidRPr="002866AC">
        <w:t xml:space="preserve"> </w:t>
      </w:r>
    </w:p>
    <w:p w14:paraId="4B308DD7" w14:textId="77777777" w:rsidR="00092031" w:rsidRDefault="00092031" w:rsidP="00092031"/>
    <w:p w14:paraId="0BF947E3" w14:textId="36E3B54F" w:rsidR="00092031" w:rsidRPr="002866AC" w:rsidRDefault="00092031" w:rsidP="00092031">
      <w:r w:rsidRPr="002866AC">
        <w:t xml:space="preserve">These early cases, stretching from </w:t>
      </w:r>
      <w:r w:rsidRPr="002866AC">
        <w:rPr>
          <w:i/>
          <w:iCs/>
        </w:rPr>
        <w:t>Perales</w:t>
      </w:r>
      <w:r w:rsidRPr="002866AC">
        <w:t xml:space="preserve"> in 1969 to the Supreme Court’s decision in </w:t>
      </w:r>
      <w:r w:rsidRPr="002866AC">
        <w:rPr>
          <w:i/>
          <w:iCs/>
        </w:rPr>
        <w:t>Finkelstein</w:t>
      </w:r>
      <w:r w:rsidRPr="002866AC">
        <w:t xml:space="preserve"> in 1990, had three characteristics in common. First, to initially fashion the rule, the circuit courts rooted their decisions in </w:t>
      </w:r>
      <w:r w:rsidRPr="002866AC">
        <w:rPr>
          <w:i/>
          <w:iCs/>
        </w:rPr>
        <w:t>Cohen</w:t>
      </w:r>
      <w:r w:rsidRPr="002866AC">
        <w:t xml:space="preserve">’s collateral-order doctrine and </w:t>
      </w:r>
      <w:r w:rsidRPr="002866AC">
        <w:rPr>
          <w:i/>
          <w:iCs/>
        </w:rPr>
        <w:t>Gillespie</w:t>
      </w:r>
      <w:r w:rsidRPr="002866AC">
        <w:t>’s notion of “practical finality” in roughly equal measure. Second, over time, the collateral-order doctrine became the administrative-remand rule’s primary foundation.</w:t>
      </w:r>
      <w:r w:rsidRPr="002866AC">
        <w:rPr>
          <w:rStyle w:val="FootnoteReference"/>
        </w:rPr>
        <w:footnoteReference w:id="115"/>
      </w:r>
      <w:r w:rsidRPr="002866AC">
        <w:t xml:space="preserve"> And third, the collateral-</w:t>
      </w:r>
      <w:r w:rsidRPr="002866AC">
        <w:lastRenderedPageBreak/>
        <w:t>order doctrine’s final prong—the inability to later seek review—became the primary consideration in deciding whether a remand was final and appealable. Because only agencies faced the risk of being deprived of review of a remand, only agencies could appeal one. Post-</w:t>
      </w:r>
      <w:r w:rsidRPr="002866AC">
        <w:rPr>
          <w:i/>
          <w:iCs/>
        </w:rPr>
        <w:t>Finkelstein</w:t>
      </w:r>
      <w:r w:rsidRPr="002866AC">
        <w:t>, the circuit courts have almost uniformly held, with rare exception, that agencies may appeal remands.</w:t>
      </w:r>
      <w:bookmarkStart w:id="30" w:name="_Ref211359531"/>
      <w:r w:rsidRPr="002866AC">
        <w:rPr>
          <w:rStyle w:val="FootnoteReference"/>
        </w:rPr>
        <w:footnoteReference w:id="116"/>
      </w:r>
      <w:bookmarkEnd w:id="30"/>
      <w:r w:rsidRPr="002866AC">
        <w:t xml:space="preserve"> </w:t>
      </w:r>
    </w:p>
    <w:p w14:paraId="754775E6" w14:textId="77777777" w:rsidR="00092031" w:rsidRPr="002866AC" w:rsidRDefault="00092031" w:rsidP="00092031"/>
    <w:p w14:paraId="5182FFB9" w14:textId="77777777" w:rsidR="00092031" w:rsidRPr="002866AC" w:rsidRDefault="00092031" w:rsidP="00092031">
      <w:pPr>
        <w:pStyle w:val="Heading4"/>
      </w:pPr>
      <w:bookmarkStart w:id="31" w:name="_Toc212214155"/>
      <w:r w:rsidRPr="002866AC">
        <w:t>Post-Finkelstein to Friends of Hope Valley (1987-2025)</w:t>
      </w:r>
      <w:bookmarkEnd w:id="31"/>
    </w:p>
    <w:p w14:paraId="2999501F" w14:textId="77777777" w:rsidR="00092031" w:rsidRPr="002866AC" w:rsidRDefault="00092031" w:rsidP="00092031">
      <w:pPr>
        <w:rPr>
          <w:rFonts w:cs="Times New Roman"/>
          <w:b/>
          <w:bCs/>
        </w:rPr>
      </w:pPr>
    </w:p>
    <w:p w14:paraId="79A38F06" w14:textId="302C847E" w:rsidR="00092031" w:rsidRDefault="00092031" w:rsidP="00092031">
      <w:r w:rsidRPr="002866AC">
        <w:t xml:space="preserve">This uniform rule—that agencies, and only agencies, may appeal remands under the APA—might have been the end of the matter. But as we’ve learned, finality is never simple, and the administrative-remand rule is no exception. After </w:t>
      </w:r>
      <w:r w:rsidRPr="002866AC">
        <w:rPr>
          <w:i/>
          <w:iCs/>
        </w:rPr>
        <w:t>Finkelstein</w:t>
      </w:r>
      <w:r w:rsidRPr="002866AC">
        <w:t xml:space="preserve">, the question has been whether there are any circumstances in which parties other than agencies may appeal remands. Before </w:t>
      </w:r>
      <w:r w:rsidRPr="002866AC">
        <w:rPr>
          <w:i/>
          <w:iCs/>
        </w:rPr>
        <w:t>Finkelstein</w:t>
      </w:r>
      <w:r w:rsidRPr="002866AC">
        <w:t xml:space="preserve"> the circuit courts had held the line: With one exception, the answer was always no.</w:t>
      </w:r>
      <w:bookmarkStart w:id="32" w:name="_Ref211361421"/>
      <w:r w:rsidRPr="002866AC">
        <w:rPr>
          <w:rStyle w:val="FootnoteReference"/>
        </w:rPr>
        <w:footnoteReference w:id="117"/>
      </w:r>
      <w:bookmarkEnd w:id="32"/>
      <w:r w:rsidRPr="002866AC">
        <w:t xml:space="preserve"> But in the thirty-five years since, they have wavered, not all of them, and not a lot, but some.</w:t>
      </w:r>
      <w:r w:rsidRPr="002866AC">
        <w:rPr>
          <w:rStyle w:val="FootnoteReference"/>
        </w:rPr>
        <w:footnoteReference w:id="118"/>
      </w:r>
      <w:r w:rsidRPr="002866AC">
        <w:t xml:space="preserve"> Now, in many circuits, there are cases in which non-agency parties </w:t>
      </w:r>
      <w:r w:rsidRPr="002866AC">
        <w:lastRenderedPageBreak/>
        <w:t>may appeal remands.</w:t>
      </w:r>
      <w:r w:rsidRPr="002866AC">
        <w:rPr>
          <w:rStyle w:val="FootnoteReference"/>
        </w:rPr>
        <w:footnoteReference w:id="119"/>
      </w:r>
      <w:r w:rsidRPr="002866AC">
        <w:t xml:space="preserve"> The question, which Parts II and III of this Article explore, is whether the circuit courts have wavered too much or not enough. (And to be clear—</w:t>
      </w:r>
      <w:r w:rsidRPr="002866AC">
        <w:rPr>
          <w:i/>
          <w:iCs/>
        </w:rPr>
        <w:t>Finkelstein</w:t>
      </w:r>
      <w:r w:rsidRPr="002866AC">
        <w:t xml:space="preserve"> provides a handy dividing line between the era of a simpler, more uniform administrative-remand rule and the emergence of a set of divergent circuit tests and outcomes. But, as I have said, </w:t>
      </w:r>
      <w:r w:rsidRPr="002866AC">
        <w:rPr>
          <w:i/>
          <w:iCs/>
        </w:rPr>
        <w:t>Finkelstein</w:t>
      </w:r>
      <w:r w:rsidRPr="002866AC">
        <w:t xml:space="preserve"> did not itself materially affect the evolution of the administrative-remand rule.)</w:t>
      </w:r>
    </w:p>
    <w:p w14:paraId="00D0AA97" w14:textId="77777777" w:rsidR="00092031" w:rsidRPr="002866AC" w:rsidRDefault="00092031" w:rsidP="00092031">
      <w:pPr>
        <w:rPr>
          <w:highlight w:val="yellow"/>
        </w:rPr>
      </w:pPr>
    </w:p>
    <w:p w14:paraId="12B2CA40" w14:textId="77777777" w:rsidR="00092031" w:rsidRDefault="00092031" w:rsidP="00092031">
      <w:r w:rsidRPr="002866AC">
        <w:rPr>
          <w:highlight w:val="yellow"/>
        </w:rPr>
        <w:t>[If further cuts are desired, here to I.D.3 could be cut.]</w:t>
      </w:r>
      <w:r w:rsidRPr="002866AC">
        <w:t xml:space="preserve"> Before we get to Parts II and III, though, we must explore how and why the circuit courts chose to complicate an otherwise simple rule. Above I explained that the courts’ pre-</w:t>
      </w:r>
      <w:r w:rsidRPr="002866AC">
        <w:rPr>
          <w:i/>
          <w:iCs/>
        </w:rPr>
        <w:t>Finkelstein</w:t>
      </w:r>
      <w:r w:rsidRPr="002866AC">
        <w:t xml:space="preserve"> decisions shared fundamental characteristics. But lurking beneath this smooth surface were competing currents in how the circuit courts conceived of and fashioned the administrative-remand rule. In the three decades following </w:t>
      </w:r>
      <w:r w:rsidRPr="002866AC">
        <w:rPr>
          <w:i/>
          <w:iCs/>
        </w:rPr>
        <w:t>Finkelstein</w:t>
      </w:r>
      <w:r w:rsidRPr="002866AC">
        <w:t xml:space="preserve">, these differences have morphed into different versions of the rule—that is, different tests for determining which remands are appealable and by whom. </w:t>
      </w:r>
    </w:p>
    <w:p w14:paraId="3D87C380" w14:textId="77777777" w:rsidR="00092031" w:rsidRPr="002866AC" w:rsidRDefault="00092031" w:rsidP="00092031"/>
    <w:p w14:paraId="7005B078" w14:textId="77777777" w:rsidR="00092031" w:rsidRDefault="00092031" w:rsidP="00092031">
      <w:r w:rsidRPr="002866AC">
        <w:t>Consider just a few examples of these early, and often enduring, fissures. In the days when artists like Elton John, Hall &amp; Oates, the Bangles, and Heart topped the Billboard Top 100,</w:t>
      </w:r>
      <w:r w:rsidRPr="002866AC">
        <w:rPr>
          <w:rStyle w:val="FootnoteReference"/>
        </w:rPr>
        <w:footnoteReference w:id="120"/>
      </w:r>
      <w:r w:rsidRPr="002866AC">
        <w:t xml:space="preserve"> the Third Circuit cared whether a remand implicated an “important legal issue” and whether denying review would pose “extreme and long-term hardship.”</w:t>
      </w:r>
      <w:r w:rsidRPr="002866AC">
        <w:rPr>
          <w:rStyle w:val="FootnoteReference"/>
        </w:rPr>
        <w:footnoteReference w:id="121"/>
      </w:r>
      <w:r w:rsidRPr="002866AC">
        <w:t xml:space="preserve"> The Fourth Circuit asked whether a remand involved an “egregious misstatement of an important point of law.”</w:t>
      </w:r>
      <w:r w:rsidRPr="002866AC">
        <w:rPr>
          <w:rStyle w:val="FootnoteReference"/>
        </w:rPr>
        <w:footnoteReference w:id="122"/>
      </w:r>
      <w:r w:rsidRPr="002866AC">
        <w:t xml:space="preserve"> The Ninth Circuit worried whether a remand without appellate review would result in a “wasted proceeding”</w:t>
      </w:r>
      <w:r w:rsidRPr="002866AC">
        <w:rPr>
          <w:rStyle w:val="FootnoteReference"/>
        </w:rPr>
        <w:footnoteReference w:id="123"/>
      </w:r>
      <w:r w:rsidRPr="002866AC">
        <w:t xml:space="preserve"> or was “equivalent to an order of dismissal.”</w:t>
      </w:r>
      <w:r w:rsidRPr="002866AC">
        <w:rPr>
          <w:rStyle w:val="FootnoteReference"/>
        </w:rPr>
        <w:footnoteReference w:id="124"/>
      </w:r>
      <w:r w:rsidRPr="002866AC">
        <w:t xml:space="preserve"> The Tenth Circuit assessed whether the appeal presented an “important” legal issue, and it ultimately crafted a multi-factor balancing test to determine when “justice” and “fairness” required immediate appellate review.</w:t>
      </w:r>
      <w:r w:rsidRPr="002866AC">
        <w:rPr>
          <w:rStyle w:val="FootnoteReference"/>
        </w:rPr>
        <w:footnoteReference w:id="125"/>
      </w:r>
      <w:r w:rsidRPr="002866AC">
        <w:t xml:space="preserve"> To be sure, the circuits typically considered the usual factors—later </w:t>
      </w:r>
      <w:proofErr w:type="spellStart"/>
      <w:r w:rsidRPr="002866AC">
        <w:t>unreviewability</w:t>
      </w:r>
      <w:proofErr w:type="spellEnd"/>
      <w:r w:rsidRPr="002866AC">
        <w:t>, delay from piecemeal appeals, and so on.</w:t>
      </w:r>
      <w:r w:rsidRPr="002866AC">
        <w:rPr>
          <w:rStyle w:val="FootnoteReference"/>
        </w:rPr>
        <w:footnoteReference w:id="126"/>
      </w:r>
      <w:r w:rsidRPr="002866AC">
        <w:t xml:space="preserve"> They also established other common ground, distinguishing, for example, between remands that required further factfinding (no appeal allowed) and remands that imposed some new legal principle or </w:t>
      </w:r>
      <w:r w:rsidRPr="002866AC">
        <w:lastRenderedPageBreak/>
        <w:t>process (appeal allowed).</w:t>
      </w:r>
      <w:r w:rsidRPr="002866AC">
        <w:rPr>
          <w:rStyle w:val="FootnoteReference"/>
        </w:rPr>
        <w:footnoteReference w:id="127"/>
      </w:r>
      <w:r w:rsidRPr="002866AC">
        <w:t xml:space="preserve"> But despite generally grounding their decisions in the collateral-order doctrine and broader notions of “practical finality,” almost from the start the circuits employed different considerations in deciding whether to review remands.</w:t>
      </w:r>
      <w:bookmarkStart w:id="33" w:name="_Ref211361063"/>
      <w:r w:rsidRPr="002866AC">
        <w:rPr>
          <w:rStyle w:val="FootnoteReference"/>
        </w:rPr>
        <w:footnoteReference w:id="128"/>
      </w:r>
      <w:bookmarkEnd w:id="33"/>
      <w:r w:rsidRPr="002866AC">
        <w:t xml:space="preserve"> </w:t>
      </w:r>
    </w:p>
    <w:p w14:paraId="3D25CDAB" w14:textId="77777777" w:rsidR="00092031" w:rsidRPr="002866AC" w:rsidRDefault="00092031" w:rsidP="00092031"/>
    <w:p w14:paraId="254FE6C7" w14:textId="77777777" w:rsidR="00092031" w:rsidRPr="002866AC" w:rsidRDefault="00092031" w:rsidP="00092031">
      <w:r w:rsidRPr="002866AC">
        <w:t>This divergence is not surprising; indeed, its absence would be far stranger. But the circuits’ divergent approaches also highlight a few things. First, they underscore just how messy the concept of finality is; once there is a potential crack (</w:t>
      </w:r>
      <w:r w:rsidRPr="002866AC">
        <w:rPr>
          <w:i/>
          <w:iCs/>
        </w:rPr>
        <w:t>Cohen</w:t>
      </w:r>
      <w:r w:rsidRPr="002866AC">
        <w:t xml:space="preserve">, </w:t>
      </w:r>
      <w:r w:rsidRPr="002866AC">
        <w:rPr>
          <w:i/>
          <w:iCs/>
        </w:rPr>
        <w:t>Gillespie</w:t>
      </w:r>
      <w:r w:rsidRPr="002866AC">
        <w:t xml:space="preserve">, </w:t>
      </w:r>
      <w:r w:rsidRPr="002866AC">
        <w:rPr>
          <w:i/>
          <w:iCs/>
        </w:rPr>
        <w:t>Eisen</w:t>
      </w:r>
      <w:r w:rsidRPr="002866AC">
        <w:t>) in the statutory dam (section 1291), the water quickly spreads out. This phenomenon is well documented,</w:t>
      </w:r>
      <w:r w:rsidRPr="002866AC">
        <w:rPr>
          <w:rStyle w:val="FootnoteReference"/>
        </w:rPr>
        <w:footnoteReference w:id="129"/>
      </w:r>
      <w:r w:rsidRPr="002866AC">
        <w:t xml:space="preserve"> and shortly we shall see it in the circuits’ different tests for determining which remands are </w:t>
      </w:r>
      <w:proofErr w:type="gramStart"/>
      <w:r w:rsidRPr="002866AC">
        <w:t>final—tests</w:t>
      </w:r>
      <w:proofErr w:type="gramEnd"/>
      <w:r w:rsidRPr="002866AC">
        <w:t xml:space="preserve"> that are still in place today. Second, despite their different tests, the circuits arrive at similar decisions in most cases (agencies can almost always appeal remands and non-agency parties rarely can).</w:t>
      </w:r>
      <w:r w:rsidRPr="002866AC">
        <w:rPr>
          <w:rStyle w:val="FootnoteReference"/>
        </w:rPr>
        <w:footnoteReference w:id="130"/>
      </w:r>
      <w:r w:rsidRPr="002866AC">
        <w:t xml:space="preserve"> Third, similarity is not equivalence: Today it is easier in some circuits for non-agency parties to appeal a remand than in others.</w:t>
      </w:r>
      <w:r w:rsidRPr="002866AC">
        <w:rPr>
          <w:rStyle w:val="FootnoteReference"/>
        </w:rPr>
        <w:footnoteReference w:id="131"/>
      </w:r>
      <w:r w:rsidRPr="002866AC">
        <w:t xml:space="preserve"> Finally, in some circuits, that difference in fate exists even within the same circuit, under what is purportedly the same test.</w:t>
      </w:r>
      <w:r w:rsidRPr="002866AC">
        <w:rPr>
          <w:rStyle w:val="FootnoteReference"/>
        </w:rPr>
        <w:footnoteReference w:id="132"/>
      </w:r>
      <w:r w:rsidRPr="002866AC">
        <w:t xml:space="preserve"> </w:t>
      </w:r>
    </w:p>
    <w:p w14:paraId="05552B73" w14:textId="77777777" w:rsidR="00092031" w:rsidRPr="002866AC" w:rsidRDefault="00092031" w:rsidP="00092031"/>
    <w:p w14:paraId="2F70955F" w14:textId="77777777" w:rsidR="00092031" w:rsidRPr="002866AC" w:rsidRDefault="00092031" w:rsidP="00092031">
      <w:pPr>
        <w:pStyle w:val="Heading4"/>
      </w:pPr>
      <w:bookmarkStart w:id="34" w:name="_Toc212214156"/>
      <w:r w:rsidRPr="002866AC">
        <w:t>The Circuits’ Divergent Tests</w:t>
      </w:r>
      <w:bookmarkEnd w:id="34"/>
    </w:p>
    <w:p w14:paraId="0D1F3901" w14:textId="77777777" w:rsidR="00092031" w:rsidRPr="002866AC" w:rsidRDefault="00092031" w:rsidP="00092031">
      <w:pPr>
        <w:rPr>
          <w:b/>
          <w:bCs/>
        </w:rPr>
      </w:pPr>
    </w:p>
    <w:p w14:paraId="01DA8687" w14:textId="77777777" w:rsidR="00092031" w:rsidRDefault="00092031" w:rsidP="00092031">
      <w:r w:rsidRPr="002866AC">
        <w:t>Let’s begin with the circuits’ divergent tests, which vary in both footing and form. As to footing, a few circuits find jurisdiction over remands under a so-called “administrative-law exception” to the final-judgment rule, separate from the collateral-order doctrine, while many still conceive of the administrative-remand rule as an application of the collateral-order doctrine itself. Still others rely on more general notions such as “practical finality.”</w:t>
      </w:r>
      <w:bookmarkStart w:id="35" w:name="_Ref211359069"/>
      <w:r w:rsidRPr="002866AC">
        <w:rPr>
          <w:rStyle w:val="FootnoteReference"/>
        </w:rPr>
        <w:footnoteReference w:id="133"/>
      </w:r>
      <w:bookmarkEnd w:id="35"/>
      <w:r w:rsidRPr="002866AC">
        <w:t xml:space="preserve"> As to form, there are </w:t>
      </w:r>
      <w:r w:rsidRPr="002866AC">
        <w:lastRenderedPageBreak/>
        <w:t xml:space="preserve">myriad differences, discussed below, but the collateral-order doctrine’s third factor—the unavailability of later review without immediate appeal—is almost always required. Where it is the chief or only factor a circuit considers, I note that below; otherwise it should be assumed to be required even though I do not separately mention it. </w:t>
      </w:r>
    </w:p>
    <w:p w14:paraId="5A1CF786" w14:textId="77777777" w:rsidR="00092031" w:rsidRPr="002866AC" w:rsidRDefault="00092031" w:rsidP="00092031"/>
    <w:p w14:paraId="37678E22" w14:textId="77777777" w:rsidR="00092031" w:rsidRPr="002866AC" w:rsidRDefault="00092031" w:rsidP="00092031">
      <w:r w:rsidRPr="002866AC">
        <w:t>To navigate this complexity, I present the information in three forms (in this order): (1) a typology grouping like circuits with like; (2) a detailed, circuit-by-circuit discussion; and (3) a table summarizing the detailed discussion.</w:t>
      </w:r>
      <w:r w:rsidRPr="002866AC">
        <w:rPr>
          <w:rStyle w:val="FootnoteReference"/>
        </w:rPr>
        <w:footnoteReference w:id="134"/>
      </w:r>
    </w:p>
    <w:p w14:paraId="1AC484D3" w14:textId="77777777" w:rsidR="00092031" w:rsidRPr="002866AC" w:rsidRDefault="00092031" w:rsidP="00092031"/>
    <w:p w14:paraId="00284E4D" w14:textId="77777777" w:rsidR="00092031" w:rsidRPr="002866AC" w:rsidRDefault="00092031" w:rsidP="008A045A">
      <w:pPr>
        <w:pStyle w:val="Heading5"/>
      </w:pPr>
      <w:bookmarkStart w:id="36" w:name="_Toc212214157"/>
      <w:r w:rsidRPr="002866AC">
        <w:t>Typology</w:t>
      </w:r>
      <w:bookmarkEnd w:id="36"/>
    </w:p>
    <w:p w14:paraId="25508391" w14:textId="77777777" w:rsidR="00092031" w:rsidRPr="002866AC" w:rsidRDefault="00092031" w:rsidP="00092031"/>
    <w:p w14:paraId="1CD40FDF" w14:textId="77777777" w:rsidR="00092031" w:rsidRPr="00AD7AF1" w:rsidRDefault="00092031" w:rsidP="00092031">
      <w:pPr>
        <w:rPr>
          <w14:textOutline w14:w="9525" w14:cap="rnd" w14:cmpd="sng" w14:algn="ctr">
            <w14:solidFill>
              <w14:schemeClr w14:val="bg1">
                <w14:lumMod w14:val="75000"/>
              </w14:schemeClr>
            </w14:solidFill>
            <w14:prstDash w14:val="solid"/>
            <w14:bevel/>
          </w14:textOutline>
        </w:rPr>
      </w:pPr>
      <w:r w:rsidRPr="002866AC">
        <w:tab/>
        <w:t xml:space="preserve">The circuits’ tests can be organized according to the graph below, which represents, in the loosest form, a typology. In this graph, the y-axis represents how far a circuit’s test has </w:t>
      </w:r>
      <w:r>
        <w:t>moved from</w:t>
      </w:r>
      <w:r w:rsidRPr="002866AC">
        <w:t xml:space="preserve"> </w:t>
      </w:r>
      <w:r>
        <w:t xml:space="preserve">no test at all to </w:t>
      </w:r>
      <w:r w:rsidRPr="002866AC">
        <w:t>the collateral-order doctrine (referred to as “COD”)</w:t>
      </w:r>
      <w:r>
        <w:t xml:space="preserve"> to something else</w:t>
      </w:r>
      <w:r w:rsidRPr="002866AC">
        <w:t>, and the x-axis represents how permissive a circuit’s test is towards appeals by non-agency parties. Think of it very roughly like the cosmos: the big bang sits at the origin (0,0), where a circuit with no defined test and no permissiveness towards non-agency appeals would be located, while a circuit with a defined test that deviates significantly from the collateral-order doctrine and is porous with respect to non-agency appeals sits in the upper-right hand corner. That analogy isn’t perfect, and this graph is</w:t>
      </w:r>
      <w:r>
        <w:t xml:space="preserve"> far from</w:t>
      </w:r>
      <w:r w:rsidRPr="002866AC">
        <w:t xml:space="preserve"> mathematically</w:t>
      </w:r>
      <w:r>
        <w:t xml:space="preserve"> or statistically</w:t>
      </w:r>
      <w:r w:rsidRPr="002866AC">
        <w:t xml:space="preserve"> correct, but hopefully it offers an overall picture of where the circuits’ tests sit today.</w:t>
      </w:r>
    </w:p>
    <w:p w14:paraId="0E7196BC" w14:textId="77777777" w:rsidR="00092031" w:rsidRPr="002866AC" w:rsidRDefault="00092031" w:rsidP="00092031"/>
    <w:p w14:paraId="36B07108" w14:textId="77777777" w:rsidR="00092031" w:rsidRPr="002866AC" w:rsidRDefault="00092031" w:rsidP="00092031">
      <w:r w:rsidRPr="002866AC">
        <w:rPr>
          <w:noProof/>
        </w:rPr>
        <w:lastRenderedPageBreak/>
        <w:drawing>
          <wp:inline distT="0" distB="0" distL="0" distR="0" wp14:anchorId="38AF58DA" wp14:editId="39F0711F">
            <wp:extent cx="4663440" cy="2720340"/>
            <wp:effectExtent l="12700" t="12700" r="10160" b="10160"/>
            <wp:docPr id="159706521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9ED055E" w14:textId="77777777" w:rsidR="00092031" w:rsidRPr="002866AC" w:rsidRDefault="00092031" w:rsidP="00092031"/>
    <w:p w14:paraId="04F3A93D" w14:textId="77777777" w:rsidR="00092031" w:rsidRPr="002866AC" w:rsidRDefault="00092031" w:rsidP="008A045A">
      <w:pPr>
        <w:pStyle w:val="Heading5"/>
      </w:pPr>
      <w:bookmarkStart w:id="37" w:name="_Toc212214158"/>
      <w:r w:rsidRPr="002866AC">
        <w:t>Circuit-by-circuit discussion</w:t>
      </w:r>
      <w:bookmarkEnd w:id="37"/>
    </w:p>
    <w:p w14:paraId="12B04495" w14:textId="77777777" w:rsidR="00092031" w:rsidRPr="002866AC" w:rsidRDefault="00092031" w:rsidP="00092031"/>
    <w:p w14:paraId="0F43BD2E" w14:textId="77777777" w:rsidR="00092031" w:rsidRPr="002866AC" w:rsidRDefault="00092031" w:rsidP="00092031">
      <w:r w:rsidRPr="002866AC">
        <w:t xml:space="preserve">For those who want all the gory details, below is a detailed discussion of the circuits’ versions of the administrative-remand rule. Those who don’t should skip to the table and summary at the end of this Subpart. </w:t>
      </w:r>
    </w:p>
    <w:p w14:paraId="34BD5844" w14:textId="77777777" w:rsidR="00092031" w:rsidRPr="002866AC" w:rsidRDefault="00092031" w:rsidP="00092031"/>
    <w:p w14:paraId="5EEFF847" w14:textId="77777777" w:rsidR="00092031" w:rsidRPr="002866AC" w:rsidRDefault="00092031" w:rsidP="00092031">
      <w:pPr>
        <w:rPr>
          <w:rFonts w:cs="Times New Roman"/>
        </w:rPr>
      </w:pPr>
      <w:r w:rsidRPr="002866AC">
        <w:rPr>
          <w:rFonts w:cs="Times New Roman"/>
          <w:b/>
          <w:bCs/>
        </w:rPr>
        <w:t>D.C. Circuit</w:t>
      </w:r>
      <w:r w:rsidRPr="002866AC">
        <w:rPr>
          <w:rFonts w:cs="Times New Roman"/>
        </w:rPr>
        <w:t>: Like the Tenth Circuit (see below), this court has come to conceive of the administrative-remand rule as separate from the collateral-order doctrine. But unlike the Tenth Circuit’s multi-factor test, the D.C. Circuit principally relies on just one criterion: Is the agency the appellant, in which case the remand is appealable, or is a private party the appellant, in which case it usually isn’t?</w:t>
      </w:r>
      <w:bookmarkStart w:id="38" w:name="_Ref211359611"/>
      <w:r w:rsidRPr="002866AC">
        <w:rPr>
          <w:rStyle w:val="FootnoteReference"/>
          <w:rFonts w:cs="Times New Roman"/>
        </w:rPr>
        <w:footnoteReference w:id="135"/>
      </w:r>
      <w:bookmarkEnd w:id="38"/>
      <w:r w:rsidRPr="002866AC">
        <w:rPr>
          <w:rFonts w:cs="Times New Roman"/>
        </w:rPr>
        <w:t xml:space="preserve"> “Usually” because the D.C. Circuit also typically considers whether the remand precludes further review (for private parties it never seems </w:t>
      </w:r>
      <w:r w:rsidRPr="002866AC">
        <w:rPr>
          <w:rFonts w:cs="Times New Roman"/>
        </w:rPr>
        <w:lastRenderedPageBreak/>
        <w:t>to)</w:t>
      </w:r>
      <w:r w:rsidRPr="002866AC">
        <w:rPr>
          <w:rStyle w:val="FootnoteReference"/>
          <w:rFonts w:cs="Times New Roman"/>
        </w:rPr>
        <w:footnoteReference w:id="136"/>
      </w:r>
      <w:r w:rsidRPr="002866AC">
        <w:rPr>
          <w:rFonts w:cs="Times New Roman"/>
        </w:rPr>
        <w:t xml:space="preserve"> or leaves nothing or only ministerial things for the agency to do.</w:t>
      </w:r>
      <w:bookmarkStart w:id="39" w:name="_Ref211360586"/>
      <w:r w:rsidRPr="002866AC">
        <w:rPr>
          <w:rStyle w:val="FootnoteReference"/>
          <w:rFonts w:cs="Times New Roman"/>
        </w:rPr>
        <w:footnoteReference w:id="137"/>
      </w:r>
      <w:bookmarkEnd w:id="39"/>
      <w:r w:rsidRPr="002866AC">
        <w:rPr>
          <w:rFonts w:cs="Times New Roman"/>
        </w:rPr>
        <w:t xml:space="preserve"> It is under this last factor—the litigation is effectively over despite the remand—that private parties can occasionally appeal remands.</w:t>
      </w:r>
      <w:bookmarkStart w:id="40" w:name="_Ref211360593"/>
      <w:r w:rsidRPr="002866AC">
        <w:rPr>
          <w:rStyle w:val="FootnoteReference"/>
          <w:rFonts w:cs="Times New Roman"/>
        </w:rPr>
        <w:footnoteReference w:id="138"/>
      </w:r>
      <w:bookmarkEnd w:id="40"/>
    </w:p>
    <w:p w14:paraId="371491E3" w14:textId="77777777" w:rsidR="00092031" w:rsidRPr="002866AC" w:rsidRDefault="00092031" w:rsidP="00092031">
      <w:pPr>
        <w:rPr>
          <w:rFonts w:cs="Times New Roman"/>
        </w:rPr>
      </w:pPr>
    </w:p>
    <w:p w14:paraId="2B2D7FFE" w14:textId="77777777" w:rsidR="00092031" w:rsidRPr="002866AC" w:rsidRDefault="00092031" w:rsidP="00092031">
      <w:pPr>
        <w:rPr>
          <w:rFonts w:cs="Times New Roman"/>
        </w:rPr>
      </w:pPr>
      <w:r w:rsidRPr="002866AC">
        <w:rPr>
          <w:rFonts w:cs="Times New Roman"/>
          <w:b/>
          <w:bCs/>
        </w:rPr>
        <w:t>Federal Circuit</w:t>
      </w:r>
      <w:r w:rsidRPr="002866AC">
        <w:rPr>
          <w:rFonts w:cs="Times New Roman"/>
        </w:rPr>
        <w:t>: This court has issued few relevant decisions. The court’s principal criterion for assessing whether a remand is final is whether it effectively terminates the litigation, leaving at most only ministerial action by the agency on remand.</w:t>
      </w:r>
      <w:bookmarkStart w:id="41" w:name="_Ref211360052"/>
      <w:r w:rsidRPr="002866AC">
        <w:rPr>
          <w:rStyle w:val="FootnoteReference"/>
          <w:rFonts w:cs="Times New Roman"/>
        </w:rPr>
        <w:footnoteReference w:id="139"/>
      </w:r>
      <w:bookmarkEnd w:id="41"/>
      <w:r w:rsidRPr="002866AC">
        <w:rPr>
          <w:rFonts w:cs="Times New Roman"/>
        </w:rPr>
        <w:t xml:space="preserve"> This rather strict rule is no surprise given the court’s early precedent that even an agency could not appeal a remand, although the court has since allowed appeals by agencies and, occasionally, non-agency parties.</w:t>
      </w:r>
      <w:r w:rsidRPr="002866AC">
        <w:rPr>
          <w:rStyle w:val="FootnoteReference"/>
          <w:rFonts w:cs="Times New Roman"/>
        </w:rPr>
        <w:footnoteReference w:id="140"/>
      </w:r>
    </w:p>
    <w:p w14:paraId="0B93F48A" w14:textId="77777777" w:rsidR="00092031" w:rsidRPr="002866AC" w:rsidRDefault="00092031" w:rsidP="00092031"/>
    <w:p w14:paraId="46190DA0" w14:textId="77777777" w:rsidR="00092031" w:rsidRPr="002866AC" w:rsidRDefault="00092031" w:rsidP="00092031">
      <w:pPr>
        <w:rPr>
          <w:rFonts w:cs="Times New Roman"/>
        </w:rPr>
      </w:pPr>
      <w:r w:rsidRPr="002866AC">
        <w:rPr>
          <w:rFonts w:cs="Times New Roman"/>
          <w:b/>
          <w:bCs/>
        </w:rPr>
        <w:t>First Circuit</w:t>
      </w:r>
      <w:r w:rsidRPr="002866AC">
        <w:rPr>
          <w:rFonts w:cs="Times New Roman"/>
        </w:rPr>
        <w:t xml:space="preserve">: Like the Federal Circuit, this court has decided few relevant cases, but most recently it has cited the Ninth Circuit’s test (see below) and </w:t>
      </w:r>
      <w:r w:rsidRPr="002866AC">
        <w:rPr>
          <w:rFonts w:cs="Times New Roman"/>
        </w:rPr>
        <w:lastRenderedPageBreak/>
        <w:t>emphasized whether immediate review will enhance judicial efficiency.</w:t>
      </w:r>
      <w:r w:rsidRPr="002866AC">
        <w:rPr>
          <w:rStyle w:val="FootnoteReference"/>
          <w:rFonts w:cs="Times New Roman"/>
        </w:rPr>
        <w:footnoteReference w:id="141"/>
      </w:r>
      <w:r w:rsidRPr="002866AC">
        <w:rPr>
          <w:rFonts w:cs="Times New Roman"/>
        </w:rPr>
        <w:t xml:space="preserve"> Both agencies and non-agency parties have been able to appeal remands.</w:t>
      </w:r>
      <w:r w:rsidRPr="002866AC">
        <w:rPr>
          <w:rStyle w:val="FootnoteReference"/>
          <w:rFonts w:cs="Times New Roman"/>
        </w:rPr>
        <w:footnoteReference w:id="142"/>
      </w:r>
      <w:r w:rsidRPr="002866AC">
        <w:rPr>
          <w:rFonts w:cs="Times New Roman"/>
        </w:rPr>
        <w:t xml:space="preserve"> </w:t>
      </w:r>
    </w:p>
    <w:p w14:paraId="4A2C9581" w14:textId="77777777" w:rsidR="00092031" w:rsidRPr="002866AC" w:rsidRDefault="00092031" w:rsidP="00092031"/>
    <w:p w14:paraId="2B7062A9" w14:textId="77777777" w:rsidR="00092031" w:rsidRPr="002866AC" w:rsidRDefault="00092031" w:rsidP="00092031">
      <w:pPr>
        <w:rPr>
          <w:rFonts w:cs="Times New Roman"/>
        </w:rPr>
      </w:pPr>
      <w:r w:rsidRPr="002866AC">
        <w:rPr>
          <w:rFonts w:cs="Times New Roman"/>
          <w:b/>
          <w:bCs/>
        </w:rPr>
        <w:t>Second Circuit</w:t>
      </w:r>
      <w:r w:rsidRPr="002866AC">
        <w:rPr>
          <w:rFonts w:cs="Times New Roman"/>
        </w:rPr>
        <w:t>: The Second Circuit has had little occasion to consider when remands to administrative agencies are appealable and by whom. The seminal decision goes back to 1991, which held that an agency could immediately appeal a remand because it would otherwise be unreviewable.</w:t>
      </w:r>
      <w:r w:rsidRPr="002866AC">
        <w:rPr>
          <w:rStyle w:val="FootnoteReference"/>
          <w:rFonts w:cs="Times New Roman"/>
        </w:rPr>
        <w:footnoteReference w:id="143"/>
      </w:r>
      <w:r w:rsidRPr="002866AC">
        <w:rPr>
          <w:rFonts w:cs="Times New Roman"/>
        </w:rPr>
        <w:t xml:space="preserve"> Since then, the court has issued decisions that either rigidly enforce the administrative-remand rule with respect to non-agency parties or entirely skirt the issue of appealability.</w:t>
      </w:r>
      <w:r w:rsidRPr="002866AC">
        <w:rPr>
          <w:rStyle w:val="FootnoteReference"/>
          <w:rFonts w:cs="Times New Roman"/>
        </w:rPr>
        <w:footnoteReference w:id="144"/>
      </w:r>
      <w:r w:rsidRPr="002866AC">
        <w:rPr>
          <w:rFonts w:cs="Times New Roman"/>
        </w:rPr>
        <w:t xml:space="preserve"> Some decisions in other contexts suggest non-agency parties could appeal remands if certain criteria are met (e.g., no further district court proceedings or the district court does not retain jurisdiction).</w:t>
      </w:r>
      <w:r w:rsidRPr="002866AC">
        <w:rPr>
          <w:rStyle w:val="FootnoteReference"/>
          <w:rFonts w:cs="Times New Roman"/>
        </w:rPr>
        <w:footnoteReference w:id="145"/>
      </w:r>
    </w:p>
    <w:p w14:paraId="1185BD59" w14:textId="77777777" w:rsidR="00092031" w:rsidRPr="002866AC" w:rsidRDefault="00092031" w:rsidP="00092031"/>
    <w:p w14:paraId="52BDAB8A" w14:textId="77777777" w:rsidR="00092031" w:rsidRPr="002866AC" w:rsidRDefault="00092031" w:rsidP="00092031">
      <w:pPr>
        <w:rPr>
          <w:rFonts w:cs="Times New Roman"/>
        </w:rPr>
      </w:pPr>
      <w:r w:rsidRPr="002866AC">
        <w:rPr>
          <w:rFonts w:cs="Times New Roman"/>
          <w:b/>
          <w:bCs/>
        </w:rPr>
        <w:t>Third Circuit</w:t>
      </w:r>
      <w:r w:rsidRPr="002866AC">
        <w:rPr>
          <w:rFonts w:cs="Times New Roman"/>
        </w:rPr>
        <w:t>: This court straightforwardly applies the collateral-order doctrine.</w:t>
      </w:r>
      <w:bookmarkStart w:id="42" w:name="_Ref211360164"/>
      <w:r w:rsidRPr="002866AC">
        <w:rPr>
          <w:rStyle w:val="FootnoteReference"/>
          <w:rFonts w:cs="Times New Roman"/>
        </w:rPr>
        <w:footnoteReference w:id="146"/>
      </w:r>
      <w:bookmarkEnd w:id="42"/>
      <w:r w:rsidRPr="002866AC">
        <w:rPr>
          <w:rFonts w:cs="Times New Roman"/>
        </w:rPr>
        <w:t xml:space="preserve"> The Third Circuit has allowed appeals of remands by non-agency parties in only very narrow circumstances.</w:t>
      </w:r>
      <w:bookmarkStart w:id="43" w:name="_Ref211360171"/>
      <w:r w:rsidRPr="002866AC">
        <w:rPr>
          <w:rStyle w:val="FootnoteReference"/>
          <w:rFonts w:cs="Times New Roman"/>
        </w:rPr>
        <w:footnoteReference w:id="147"/>
      </w:r>
      <w:bookmarkEnd w:id="43"/>
    </w:p>
    <w:p w14:paraId="516AAD6A" w14:textId="77777777" w:rsidR="00092031" w:rsidRPr="002866AC" w:rsidRDefault="00092031" w:rsidP="00092031">
      <w:pPr>
        <w:rPr>
          <w:rFonts w:cs="Times New Roman"/>
        </w:rPr>
      </w:pPr>
    </w:p>
    <w:p w14:paraId="048BA503" w14:textId="77777777" w:rsidR="00092031" w:rsidRPr="002866AC" w:rsidRDefault="00092031" w:rsidP="00092031">
      <w:pPr>
        <w:rPr>
          <w:rFonts w:cs="Times New Roman"/>
        </w:rPr>
      </w:pPr>
      <w:r w:rsidRPr="002866AC">
        <w:rPr>
          <w:rFonts w:cs="Times New Roman"/>
          <w:b/>
          <w:bCs/>
        </w:rPr>
        <w:t>Fourth Circuit</w:t>
      </w:r>
      <w:r w:rsidRPr="002866AC">
        <w:rPr>
          <w:rFonts w:cs="Times New Roman"/>
        </w:rPr>
        <w:t>: This court also simply applies the collateral-order doctrine and asks whether the remand will be unreviewable absent immediate appeal.</w:t>
      </w:r>
      <w:r w:rsidRPr="002866AC">
        <w:rPr>
          <w:rStyle w:val="FootnoteReference"/>
          <w:rFonts w:cs="Times New Roman"/>
        </w:rPr>
        <w:footnoteReference w:id="148"/>
      </w:r>
      <w:r w:rsidRPr="002866AC">
        <w:rPr>
          <w:rFonts w:cs="Times New Roman"/>
        </w:rPr>
        <w:t xml:space="preserve"> The court has left open the question whether non-agency parties could appeal remands.</w:t>
      </w:r>
      <w:r w:rsidRPr="002866AC">
        <w:rPr>
          <w:rStyle w:val="FootnoteReference"/>
          <w:rFonts w:cs="Times New Roman"/>
        </w:rPr>
        <w:footnoteReference w:id="149"/>
      </w:r>
      <w:r w:rsidRPr="002866AC">
        <w:rPr>
          <w:rFonts w:cs="Times New Roman"/>
        </w:rPr>
        <w:t xml:space="preserve"> </w:t>
      </w:r>
    </w:p>
    <w:p w14:paraId="7C460DF9" w14:textId="77777777" w:rsidR="00092031" w:rsidRPr="002866AC" w:rsidRDefault="00092031" w:rsidP="00092031"/>
    <w:p w14:paraId="2692F7E7" w14:textId="77777777" w:rsidR="00092031" w:rsidRPr="002866AC" w:rsidRDefault="00092031" w:rsidP="00092031">
      <w:pPr>
        <w:rPr>
          <w:rFonts w:cs="Times New Roman"/>
        </w:rPr>
      </w:pPr>
      <w:r w:rsidRPr="002866AC">
        <w:rPr>
          <w:rFonts w:cs="Times New Roman"/>
          <w:b/>
          <w:bCs/>
        </w:rPr>
        <w:t>Fifth Circuit</w:t>
      </w:r>
      <w:r w:rsidRPr="002866AC">
        <w:rPr>
          <w:rFonts w:cs="Times New Roman"/>
        </w:rPr>
        <w:t>: This court considers whether the further administrative proceedings required by the remand are ministerial (if they are, the remand is final and appealable).</w:t>
      </w:r>
      <w:r w:rsidRPr="002866AC">
        <w:rPr>
          <w:rStyle w:val="FootnoteReference"/>
          <w:rFonts w:cs="Times New Roman"/>
        </w:rPr>
        <w:footnoteReference w:id="150"/>
      </w:r>
      <w:r w:rsidRPr="002866AC">
        <w:rPr>
          <w:rFonts w:cs="Times New Roman"/>
        </w:rPr>
        <w:t xml:space="preserve"> Presumably non-agency parties could satisfy this test in certain cases, but the Fifth Circuit has not so concluded.</w:t>
      </w:r>
    </w:p>
    <w:p w14:paraId="6F3D28B7" w14:textId="77777777" w:rsidR="00092031" w:rsidRPr="002866AC" w:rsidRDefault="00092031" w:rsidP="00092031"/>
    <w:p w14:paraId="184FDF7B" w14:textId="77777777" w:rsidR="00092031" w:rsidRPr="002866AC" w:rsidRDefault="00092031" w:rsidP="00092031">
      <w:pPr>
        <w:rPr>
          <w:rFonts w:cs="Times New Roman"/>
        </w:rPr>
      </w:pPr>
      <w:r w:rsidRPr="002866AC">
        <w:rPr>
          <w:rFonts w:cs="Times New Roman"/>
          <w:b/>
          <w:bCs/>
        </w:rPr>
        <w:t>Sixth Circuit</w:t>
      </w:r>
      <w:r w:rsidRPr="002866AC">
        <w:rPr>
          <w:rFonts w:cs="Times New Roman"/>
        </w:rPr>
        <w:t xml:space="preserve">: This court asks whether (1) the remand involves a legal standard that cannot be reviewed later, and (2) the appellant is an agency versus </w:t>
      </w:r>
      <w:r w:rsidRPr="002866AC">
        <w:rPr>
          <w:rFonts w:cs="Times New Roman"/>
        </w:rPr>
        <w:lastRenderedPageBreak/>
        <w:t>a private party. Because both criteria must be met for an appeal to lie,</w:t>
      </w:r>
      <w:r w:rsidRPr="002866AC">
        <w:rPr>
          <w:rStyle w:val="FootnoteReference"/>
          <w:rFonts w:cs="Times New Roman"/>
        </w:rPr>
        <w:footnoteReference w:id="151"/>
      </w:r>
      <w:r w:rsidRPr="002866AC">
        <w:rPr>
          <w:rFonts w:cs="Times New Roman"/>
        </w:rPr>
        <w:t xml:space="preserve"> this court does not appear to permit appeals by non-agency parties. </w:t>
      </w:r>
    </w:p>
    <w:p w14:paraId="4B3D33D8" w14:textId="77777777" w:rsidR="00092031" w:rsidRPr="002866AC" w:rsidRDefault="00092031" w:rsidP="00092031"/>
    <w:p w14:paraId="05FACE39" w14:textId="77777777" w:rsidR="00092031" w:rsidRPr="002866AC" w:rsidRDefault="00092031" w:rsidP="00092031">
      <w:pPr>
        <w:rPr>
          <w:rFonts w:cs="Times New Roman"/>
        </w:rPr>
      </w:pPr>
      <w:r w:rsidRPr="002866AC">
        <w:rPr>
          <w:rFonts w:cs="Times New Roman"/>
          <w:b/>
          <w:bCs/>
        </w:rPr>
        <w:t>Seventh Circuit</w:t>
      </w:r>
      <w:r w:rsidRPr="002866AC">
        <w:rPr>
          <w:rFonts w:cs="Times New Roman"/>
        </w:rPr>
        <w:t>: This court has no firm rule, likely because it has seen few appeals from remands to administrative agencies. The court has assessed its jurisdiction in cases involving, for instance, remands to bankruptcy courts,</w:t>
      </w:r>
      <w:bookmarkStart w:id="45" w:name="_Ref211358822"/>
      <w:r w:rsidRPr="002866AC">
        <w:rPr>
          <w:rStyle w:val="FootnoteReference"/>
          <w:rFonts w:cs="Times New Roman"/>
        </w:rPr>
        <w:footnoteReference w:id="152"/>
      </w:r>
      <w:bookmarkEnd w:id="45"/>
      <w:r w:rsidRPr="002866AC">
        <w:rPr>
          <w:rFonts w:cs="Times New Roman"/>
        </w:rPr>
        <w:t xml:space="preserve"> to arbitrators,</w:t>
      </w:r>
      <w:r w:rsidRPr="002866AC">
        <w:rPr>
          <w:rStyle w:val="FootnoteReference"/>
          <w:rFonts w:cs="Times New Roman"/>
        </w:rPr>
        <w:footnoteReference w:id="153"/>
      </w:r>
      <w:r w:rsidRPr="002866AC">
        <w:rPr>
          <w:rFonts w:cs="Times New Roman"/>
        </w:rPr>
        <w:t xml:space="preserve"> in ERISA cases,</w:t>
      </w:r>
      <w:bookmarkStart w:id="46" w:name="_Ref211358838"/>
      <w:r w:rsidRPr="002866AC">
        <w:rPr>
          <w:rStyle w:val="FootnoteReference"/>
          <w:rFonts w:cs="Times New Roman"/>
        </w:rPr>
        <w:footnoteReference w:id="154"/>
      </w:r>
      <w:bookmarkEnd w:id="46"/>
      <w:r w:rsidRPr="002866AC">
        <w:rPr>
          <w:rFonts w:cs="Times New Roman"/>
        </w:rPr>
        <w:t xml:space="preserve"> and in social-security cases (which we know from </w:t>
      </w:r>
      <w:r w:rsidRPr="002866AC">
        <w:rPr>
          <w:rFonts w:cs="Times New Roman"/>
          <w:i/>
          <w:iCs/>
        </w:rPr>
        <w:t>Finkelstein</w:t>
      </w:r>
      <w:r w:rsidRPr="002866AC">
        <w:rPr>
          <w:rFonts w:cs="Times New Roman"/>
        </w:rPr>
        <w:t xml:space="preserve"> and </w:t>
      </w:r>
      <w:r w:rsidRPr="002866AC">
        <w:rPr>
          <w:rFonts w:cs="Times New Roman"/>
          <w:i/>
          <w:iCs/>
        </w:rPr>
        <w:t>Forney</w:t>
      </w:r>
      <w:r w:rsidRPr="002866AC">
        <w:rPr>
          <w:rFonts w:cs="Times New Roman"/>
        </w:rPr>
        <w:t xml:space="preserve"> are governed by a special finality statute). In many of these cases, as in the Federal Circuit, jurisdiction turns on whether a remand “is effectively unreviewable after a resolution of the merits of the litigation”</w:t>
      </w:r>
      <w:r w:rsidRPr="002866AC">
        <w:rPr>
          <w:rStyle w:val="FootnoteReference"/>
          <w:rFonts w:cs="Times New Roman"/>
        </w:rPr>
        <w:footnoteReference w:id="155"/>
      </w:r>
      <w:r w:rsidRPr="002866AC">
        <w:rPr>
          <w:rFonts w:cs="Times New Roman"/>
        </w:rPr>
        <w:t xml:space="preserve"> and/or effectively terminates the litigation (i.e., any proceedings on remand will be ministerial).</w:t>
      </w:r>
      <w:r w:rsidRPr="002866AC">
        <w:rPr>
          <w:rStyle w:val="FootnoteReference"/>
          <w:rFonts w:cs="Times New Roman"/>
        </w:rPr>
        <w:footnoteReference w:id="156"/>
      </w:r>
      <w:r w:rsidRPr="002866AC">
        <w:rPr>
          <w:rFonts w:cs="Times New Roman"/>
        </w:rPr>
        <w:t xml:space="preserve"> Thus, whether non-agency parties may appeal a remand remains an open question.</w:t>
      </w:r>
    </w:p>
    <w:p w14:paraId="01C611A4" w14:textId="77777777" w:rsidR="00092031" w:rsidRPr="002866AC" w:rsidRDefault="00092031" w:rsidP="00092031"/>
    <w:p w14:paraId="269F6525" w14:textId="77777777" w:rsidR="00092031" w:rsidRPr="002866AC" w:rsidRDefault="00092031" w:rsidP="00092031">
      <w:pPr>
        <w:rPr>
          <w:rFonts w:cs="Times New Roman"/>
        </w:rPr>
      </w:pPr>
      <w:r w:rsidRPr="002866AC">
        <w:rPr>
          <w:rFonts w:cs="Times New Roman"/>
          <w:b/>
          <w:bCs/>
        </w:rPr>
        <w:t>Eighth Circuit</w:t>
      </w:r>
      <w:r w:rsidRPr="002866AC">
        <w:rPr>
          <w:rFonts w:cs="Times New Roman"/>
        </w:rPr>
        <w:t>: This court also has no coherent test. Sometimes the court assesses only the availability of later review</w:t>
      </w:r>
      <w:r w:rsidRPr="002866AC">
        <w:rPr>
          <w:rStyle w:val="FootnoteReference"/>
          <w:rFonts w:cs="Times New Roman"/>
        </w:rPr>
        <w:footnoteReference w:id="157"/>
      </w:r>
      <w:r w:rsidRPr="002866AC">
        <w:rPr>
          <w:rFonts w:cs="Times New Roman"/>
        </w:rPr>
        <w:t xml:space="preserve"> and at others factors like whether the remand contemplates only ministerial proceedings and judicial economy concerns.</w:t>
      </w:r>
      <w:r w:rsidRPr="002866AC">
        <w:rPr>
          <w:rStyle w:val="FootnoteReference"/>
          <w:rFonts w:cs="Times New Roman"/>
        </w:rPr>
        <w:footnoteReference w:id="158"/>
      </w:r>
      <w:r w:rsidRPr="002866AC">
        <w:rPr>
          <w:rFonts w:cs="Times New Roman"/>
        </w:rPr>
        <w:t xml:space="preserve"> The court has consistently denied appeals by non-agency parties.</w:t>
      </w:r>
      <w:r w:rsidRPr="002866AC">
        <w:rPr>
          <w:rStyle w:val="FootnoteReference"/>
          <w:rFonts w:cs="Times New Roman"/>
        </w:rPr>
        <w:footnoteReference w:id="159"/>
      </w:r>
    </w:p>
    <w:p w14:paraId="4BF8087F" w14:textId="77777777" w:rsidR="00092031" w:rsidRPr="002866AC" w:rsidRDefault="00092031" w:rsidP="00092031"/>
    <w:p w14:paraId="056AC8A2" w14:textId="77777777" w:rsidR="00092031" w:rsidRPr="002866AC" w:rsidRDefault="00092031" w:rsidP="00092031">
      <w:pPr>
        <w:rPr>
          <w:rFonts w:cs="Times New Roman"/>
        </w:rPr>
      </w:pPr>
      <w:r w:rsidRPr="002866AC">
        <w:rPr>
          <w:rFonts w:cs="Times New Roman"/>
          <w:b/>
          <w:bCs/>
        </w:rPr>
        <w:t>Ninth Circuit</w:t>
      </w:r>
      <w:r w:rsidRPr="002866AC">
        <w:rPr>
          <w:rFonts w:cs="Times New Roman"/>
        </w:rPr>
        <w:t>: The Ninth Circuit’s test is among the most clearly and consistently stated: A “remand order will be considered final” and appealable in the Ninth Circuit “where (1) the district court conclusively resolves a separable legal issue, (2) the remand order forces the agency to apply a potentially erroneous rule which may result in a wasted proceeding, and (3) review would, as a practical matter, be foreclosed if an immediate appeal were unavailable.”</w:t>
      </w:r>
      <w:r w:rsidRPr="002866AC">
        <w:rPr>
          <w:rStyle w:val="FootnoteReference"/>
          <w:rFonts w:cs="Times New Roman"/>
        </w:rPr>
        <w:footnoteReference w:id="160"/>
      </w:r>
    </w:p>
    <w:p w14:paraId="6C9F8FD1" w14:textId="77777777" w:rsidR="00092031" w:rsidRPr="002866AC" w:rsidRDefault="00092031" w:rsidP="00092031">
      <w:pPr>
        <w:rPr>
          <w:rFonts w:cs="Times New Roman"/>
        </w:rPr>
      </w:pPr>
      <w:r w:rsidRPr="002866AC">
        <w:rPr>
          <w:rFonts w:cs="Times New Roman"/>
        </w:rPr>
        <w:t>This test is effectively the collateral-order doctrine,</w:t>
      </w:r>
      <w:r w:rsidRPr="002866AC">
        <w:rPr>
          <w:rStyle w:val="FootnoteReference"/>
          <w:rFonts w:cs="Times New Roman"/>
        </w:rPr>
        <w:footnoteReference w:id="161"/>
      </w:r>
      <w:r w:rsidRPr="002866AC">
        <w:rPr>
          <w:rFonts w:cs="Times New Roman"/>
        </w:rPr>
        <w:t xml:space="preserve"> with three differences. First, whereas the collateral-order doctrine requires that an interlocutory order involve an issue that is both separable from the merits and “important,” the Ninth Circuit considers only separability.</w:t>
      </w:r>
      <w:r w:rsidRPr="002866AC">
        <w:rPr>
          <w:rStyle w:val="FootnoteReference"/>
          <w:rFonts w:cs="Times New Roman"/>
        </w:rPr>
        <w:footnoteReference w:id="162"/>
      </w:r>
      <w:r w:rsidRPr="002866AC">
        <w:rPr>
          <w:rFonts w:cs="Times New Roman"/>
        </w:rPr>
        <w:t xml:space="preserve"> That is distinct from other circuits’ (and the Supreme Court’s) decisions.</w:t>
      </w:r>
      <w:r w:rsidRPr="002866AC">
        <w:rPr>
          <w:rStyle w:val="FootnoteReference"/>
          <w:rFonts w:cs="Times New Roman"/>
        </w:rPr>
        <w:footnoteReference w:id="163"/>
      </w:r>
      <w:r w:rsidRPr="002866AC">
        <w:rPr>
          <w:rFonts w:cs="Times New Roman"/>
        </w:rPr>
        <w:t xml:space="preserve"> Second, the Ninth Circuit considers, as it has from the start, whether a remand without appellate review might result in a “wasted proceeding.”</w:t>
      </w:r>
      <w:bookmarkStart w:id="47" w:name="_Ref211361135"/>
      <w:r w:rsidRPr="002866AC">
        <w:rPr>
          <w:rStyle w:val="FootnoteReference"/>
          <w:rFonts w:cs="Times New Roman"/>
        </w:rPr>
        <w:footnoteReference w:id="164"/>
      </w:r>
      <w:bookmarkEnd w:id="47"/>
      <w:r w:rsidRPr="002866AC">
        <w:rPr>
          <w:rFonts w:cs="Times New Roman"/>
        </w:rPr>
        <w:t xml:space="preserve"> That factor is not part of the collateral-order doctrine. Third, the Ninth Circuit’s test is one of “considerations, rather than strict prerequisites,” on essentially a doubling-up of the theory that “we apply a practical construction to the finality requirement.”</w:t>
      </w:r>
      <w:r w:rsidRPr="002866AC">
        <w:rPr>
          <w:rStyle w:val="FootnoteReference"/>
          <w:rFonts w:cs="Times New Roman"/>
        </w:rPr>
        <w:footnoteReference w:id="165"/>
      </w:r>
    </w:p>
    <w:p w14:paraId="405D4222" w14:textId="77777777" w:rsidR="00092031" w:rsidRPr="002866AC" w:rsidRDefault="00092031" w:rsidP="00092031">
      <w:pPr>
        <w:rPr>
          <w:rFonts w:cs="Times New Roman"/>
        </w:rPr>
      </w:pPr>
      <w:r w:rsidRPr="008A045A">
        <w:rPr>
          <w:rFonts w:cs="Times New Roman"/>
          <w:b/>
          <w:bCs/>
        </w:rPr>
        <w:lastRenderedPageBreak/>
        <w:t>The Ninth Circuit</w:t>
      </w:r>
      <w:r w:rsidRPr="002866AC">
        <w:rPr>
          <w:rFonts w:cs="Times New Roman"/>
        </w:rPr>
        <w:t xml:space="preserve"> has repeatedly said that usually only agencies can satisfy the court’s test.</w:t>
      </w:r>
      <w:bookmarkStart w:id="48" w:name="_Ref211360143"/>
      <w:r w:rsidRPr="002866AC">
        <w:rPr>
          <w:rStyle w:val="FootnoteReference"/>
          <w:rFonts w:cs="Times New Roman"/>
        </w:rPr>
        <w:footnoteReference w:id="166"/>
      </w:r>
      <w:bookmarkEnd w:id="48"/>
      <w:r w:rsidRPr="002866AC">
        <w:rPr>
          <w:rFonts w:cs="Times New Roman"/>
        </w:rPr>
        <w:t xml:space="preserve"> Yet the court has allowed appeals of remands by non-agency parties in more cases and more contexts than any other circuit.</w:t>
      </w:r>
      <w:r w:rsidRPr="002866AC">
        <w:rPr>
          <w:rStyle w:val="FootnoteReference"/>
          <w:rFonts w:cs="Times New Roman"/>
        </w:rPr>
        <w:footnoteReference w:id="167"/>
      </w:r>
      <w:r w:rsidRPr="002866AC">
        <w:rPr>
          <w:rFonts w:cs="Times New Roman"/>
        </w:rPr>
        <w:t xml:space="preserve"> To be sure, these cases are outnumbered by those that reject such appeals.</w:t>
      </w:r>
      <w:r w:rsidRPr="002866AC">
        <w:rPr>
          <w:rStyle w:val="FootnoteReference"/>
          <w:rFonts w:cs="Times New Roman"/>
        </w:rPr>
        <w:footnoteReference w:id="168"/>
      </w:r>
      <w:r w:rsidRPr="002866AC">
        <w:rPr>
          <w:rFonts w:cs="Times New Roman"/>
        </w:rPr>
        <w:t xml:space="preserve"> A 2018 decision tried to synthesize a rule for the “rare circumstances” in which remands are final as to non-agency parties, or at least plaintiffs: A “remand order may be final for purpose of a plaintiff’s appeal in cases ‘when the broad relief sought could not be achieved through the action the district court directed the agency to undertake’”</w:t>
      </w:r>
      <w:r w:rsidRPr="002866AC">
        <w:rPr>
          <w:rStyle w:val="FootnoteReference"/>
          <w:rFonts w:cs="Times New Roman"/>
        </w:rPr>
        <w:footnoteReference w:id="169"/>
      </w:r>
      <w:r w:rsidRPr="002866AC">
        <w:rPr>
          <w:rFonts w:cs="Times New Roman"/>
        </w:rPr>
        <w:t>—i.e., when the remand is “extremely narrow.”</w:t>
      </w:r>
      <w:r w:rsidRPr="002866AC">
        <w:rPr>
          <w:rStyle w:val="FootnoteReference"/>
          <w:rFonts w:cs="Times New Roman"/>
        </w:rPr>
        <w:footnoteReference w:id="170"/>
      </w:r>
      <w:r w:rsidRPr="002866AC">
        <w:rPr>
          <w:rFonts w:cs="Times New Roman"/>
        </w:rPr>
        <w:t xml:space="preserve"> However, a 2020 decision more accurately (if unhelpfully) explained that remands are </w:t>
      </w:r>
      <w:r w:rsidRPr="002866AC">
        <w:rPr>
          <w:rFonts w:cs="Times New Roman"/>
        </w:rPr>
        <w:lastRenderedPageBreak/>
        <w:t>always final as to agencies,</w:t>
      </w:r>
      <w:r w:rsidRPr="002866AC">
        <w:rPr>
          <w:rStyle w:val="FootnoteReference"/>
          <w:rFonts w:cs="Times New Roman"/>
        </w:rPr>
        <w:footnoteReference w:id="171"/>
      </w:r>
      <w:r w:rsidRPr="002866AC">
        <w:rPr>
          <w:rFonts w:cs="Times New Roman"/>
        </w:rPr>
        <w:t xml:space="preserve"> and as to everyone else it is, well, the same as it ever was (i.e., the three-“consideration” test set forth above).</w:t>
      </w:r>
      <w:r w:rsidRPr="002866AC">
        <w:rPr>
          <w:rStyle w:val="FootnoteReference"/>
          <w:rFonts w:cs="Times New Roman"/>
        </w:rPr>
        <w:footnoteReference w:id="172"/>
      </w:r>
    </w:p>
    <w:p w14:paraId="54BED9E8" w14:textId="77777777" w:rsidR="00092031" w:rsidRPr="002866AC" w:rsidRDefault="00092031" w:rsidP="00092031">
      <w:pPr>
        <w:rPr>
          <w:rFonts w:cs="Times New Roman"/>
        </w:rPr>
      </w:pPr>
    </w:p>
    <w:p w14:paraId="38BA8507" w14:textId="77777777" w:rsidR="00092031" w:rsidRPr="002866AC" w:rsidRDefault="00092031" w:rsidP="00092031">
      <w:pPr>
        <w:rPr>
          <w:rFonts w:cs="Times New Roman"/>
        </w:rPr>
      </w:pPr>
      <w:r w:rsidRPr="002866AC">
        <w:rPr>
          <w:rFonts w:cs="Times New Roman"/>
          <w:b/>
          <w:bCs/>
        </w:rPr>
        <w:t>Tenth Circuit</w:t>
      </w:r>
      <w:r w:rsidRPr="002866AC">
        <w:rPr>
          <w:rFonts w:cs="Times New Roman"/>
        </w:rPr>
        <w:t>: This court conceives of and applies the collateral-order doctrine and the “broader” practical-finality doctrine separately in cases involving remands to administrative agencies.</w:t>
      </w:r>
      <w:r w:rsidRPr="002866AC">
        <w:rPr>
          <w:rStyle w:val="FootnoteReference"/>
          <w:rFonts w:cs="Times New Roman"/>
        </w:rPr>
        <w:footnoteReference w:id="173"/>
      </w:r>
      <w:r w:rsidRPr="002866AC">
        <w:rPr>
          <w:rFonts w:cs="Times New Roman"/>
        </w:rPr>
        <w:t xml:space="preserve"> Where a remand does not qualify as final and appealable under the former, it may under the latter.</w:t>
      </w:r>
      <w:r w:rsidRPr="002866AC">
        <w:rPr>
          <w:rStyle w:val="FootnoteReference"/>
          <w:rFonts w:cs="Times New Roman"/>
        </w:rPr>
        <w:footnoteReference w:id="174"/>
      </w:r>
      <w:r w:rsidRPr="002866AC">
        <w:rPr>
          <w:rFonts w:cs="Times New Roman"/>
        </w:rPr>
        <w:t xml:space="preserve"> The court first asks whether the administrative-remand rule applies, which turns on whether the agency decision at issue is adversarial (meaning the administrative-remand rule doesn’t apply), legislative (the rule probably doesn’t apply), or adjudicative (the rule applies).</w:t>
      </w:r>
      <w:bookmarkStart w:id="49" w:name="_Ref211360180"/>
      <w:r w:rsidRPr="002866AC">
        <w:rPr>
          <w:rStyle w:val="FootnoteReference"/>
          <w:rFonts w:cs="Times New Roman"/>
        </w:rPr>
        <w:footnoteReference w:id="175"/>
      </w:r>
      <w:bookmarkEnd w:id="49"/>
      <w:r w:rsidRPr="002866AC">
        <w:rPr>
          <w:rFonts w:cs="Times New Roman"/>
        </w:rPr>
        <w:t xml:space="preserve"> If the rule applies, then the court asks whether: (1) the remand implicates an “important” legal issue and (2) immediate review is “urgent,” either because the legal issue is “important” or because there will be adverse effects on the parties or the public without immediate review.</w:t>
      </w:r>
      <w:bookmarkStart w:id="50" w:name="_Ref211361181"/>
      <w:r w:rsidRPr="002866AC">
        <w:rPr>
          <w:rStyle w:val="FootnoteReference"/>
          <w:rFonts w:cs="Times New Roman"/>
        </w:rPr>
        <w:footnoteReference w:id="176"/>
      </w:r>
      <w:bookmarkEnd w:id="50"/>
      <w:r w:rsidRPr="002866AC">
        <w:rPr>
          <w:rFonts w:cs="Times New Roman"/>
        </w:rPr>
        <w:t xml:space="preserve"> If those criteria are met, the court must determine that two more are met: (3) the danger of “injustice” by delaying review outweighs the “inconvenience and costs” of piecemeal review (i.e., the balancing test first established in </w:t>
      </w:r>
      <w:r w:rsidRPr="002866AC">
        <w:rPr>
          <w:rFonts w:cs="Times New Roman"/>
          <w:i/>
          <w:iCs/>
        </w:rPr>
        <w:t>Bender v. Clark</w:t>
      </w:r>
      <w:r w:rsidRPr="002866AC">
        <w:rPr>
          <w:rFonts w:cs="Times New Roman"/>
        </w:rPr>
        <w:t>); and (4) the remand does not contemplate additional district court proceedings.</w:t>
      </w:r>
      <w:bookmarkStart w:id="51" w:name="_Ref211360188"/>
      <w:r w:rsidRPr="002866AC">
        <w:rPr>
          <w:rStyle w:val="FootnoteReference"/>
          <w:rFonts w:cs="Times New Roman"/>
        </w:rPr>
        <w:footnoteReference w:id="177"/>
      </w:r>
      <w:bookmarkEnd w:id="51"/>
      <w:r w:rsidRPr="002866AC">
        <w:rPr>
          <w:rFonts w:cs="Times New Roman"/>
        </w:rPr>
        <w:t xml:space="preserve"> </w:t>
      </w:r>
      <w:r w:rsidRPr="002866AC">
        <w:rPr>
          <w:rFonts w:cs="Times New Roman"/>
        </w:rPr>
        <w:lastRenderedPageBreak/>
        <w:t>The Tenth Circuit has only rarely permitted appeals by non-agency parties under this test—again, usually when the agency action at issue is legislative or adversarial (not adjudicative).</w:t>
      </w:r>
      <w:bookmarkStart w:id="52" w:name="_Ref211359555"/>
      <w:r w:rsidRPr="002866AC">
        <w:rPr>
          <w:rStyle w:val="FootnoteReference"/>
          <w:rFonts w:cs="Times New Roman"/>
        </w:rPr>
        <w:footnoteReference w:id="178"/>
      </w:r>
      <w:bookmarkEnd w:id="52"/>
    </w:p>
    <w:p w14:paraId="668E3F06" w14:textId="77777777" w:rsidR="00092031" w:rsidRPr="002866AC" w:rsidRDefault="00092031" w:rsidP="00092031"/>
    <w:p w14:paraId="7A14AF14" w14:textId="77777777" w:rsidR="00092031" w:rsidRPr="002866AC" w:rsidRDefault="00092031" w:rsidP="00092031">
      <w:pPr>
        <w:rPr>
          <w:rFonts w:cs="Times New Roman"/>
        </w:rPr>
      </w:pPr>
      <w:r w:rsidRPr="002866AC">
        <w:rPr>
          <w:rFonts w:cs="Times New Roman"/>
          <w:b/>
          <w:bCs/>
        </w:rPr>
        <w:t>Eleventh Circuit</w:t>
      </w:r>
      <w:r w:rsidRPr="002866AC">
        <w:rPr>
          <w:rFonts w:cs="Times New Roman"/>
        </w:rPr>
        <w:t>: This court cares most about the nature of the remand. Where a remand requires an agency to proceed “under a certain legal standard,” the agency may appeal it.</w:t>
      </w:r>
      <w:bookmarkStart w:id="53" w:name="_Ref211361227"/>
      <w:r w:rsidRPr="002866AC">
        <w:rPr>
          <w:rStyle w:val="FootnoteReference"/>
          <w:rFonts w:cs="Times New Roman"/>
        </w:rPr>
        <w:footnoteReference w:id="179"/>
      </w:r>
      <w:bookmarkEnd w:id="53"/>
      <w:r w:rsidRPr="002866AC">
        <w:rPr>
          <w:rFonts w:cs="Times New Roman"/>
        </w:rPr>
        <w:t xml:space="preserve"> Where the remand simply requires factfinding, presumably no party can.</w:t>
      </w:r>
      <w:r w:rsidRPr="002866AC">
        <w:rPr>
          <w:rStyle w:val="FootnoteReference"/>
          <w:rFonts w:cs="Times New Roman"/>
        </w:rPr>
        <w:footnoteReference w:id="180"/>
      </w:r>
      <w:r w:rsidRPr="002866AC">
        <w:rPr>
          <w:rFonts w:cs="Times New Roman"/>
        </w:rPr>
        <w:t xml:space="preserve"> The rationale for this distinction circles back to </w:t>
      </w:r>
      <w:proofErr w:type="spellStart"/>
      <w:r w:rsidRPr="002866AC">
        <w:rPr>
          <w:rFonts w:cs="Times New Roman"/>
        </w:rPr>
        <w:t>unreviewability</w:t>
      </w:r>
      <w:proofErr w:type="spellEnd"/>
      <w:r w:rsidRPr="002866AC">
        <w:rPr>
          <w:rFonts w:cs="Times New Roman"/>
        </w:rPr>
        <w:t xml:space="preserve">: “A remand order generally is found appealable in the former </w:t>
      </w:r>
      <w:r w:rsidRPr="002866AC">
        <w:rPr>
          <w:rFonts w:cs="Times New Roman"/>
        </w:rPr>
        <w:lastRenderedPageBreak/>
        <w:t>cases because the agency, forced to conform its decision to the district court’s mandate, cannot appeal its own subsequent order.”</w:t>
      </w:r>
      <w:r w:rsidRPr="002866AC">
        <w:rPr>
          <w:rStyle w:val="FootnoteReference"/>
          <w:rFonts w:cs="Times New Roman"/>
        </w:rPr>
        <w:footnoteReference w:id="181"/>
      </w:r>
      <w:r w:rsidRPr="002866AC">
        <w:rPr>
          <w:rFonts w:cs="Times New Roman"/>
        </w:rPr>
        <w:t xml:space="preserve"> This test is so strict that the Eleventh Circuit has issued one of the few post-</w:t>
      </w:r>
      <w:r w:rsidRPr="002866AC">
        <w:rPr>
          <w:rFonts w:cs="Times New Roman"/>
          <w:i/>
          <w:iCs/>
        </w:rPr>
        <w:t>Finkelstein</w:t>
      </w:r>
      <w:r w:rsidRPr="002866AC">
        <w:rPr>
          <w:rFonts w:cs="Times New Roman"/>
        </w:rPr>
        <w:t xml:space="preserve"> decisions rejecting an </w:t>
      </w:r>
      <w:r w:rsidRPr="002866AC">
        <w:rPr>
          <w:rFonts w:cs="Times New Roman"/>
          <w:i/>
          <w:iCs/>
        </w:rPr>
        <w:t>agency</w:t>
      </w:r>
      <w:r w:rsidRPr="002866AC">
        <w:rPr>
          <w:rFonts w:cs="Times New Roman"/>
        </w:rPr>
        <w:t xml:space="preserve"> appeal outside the IDEA or ERISA context.</w:t>
      </w:r>
      <w:bookmarkStart w:id="54" w:name="_Ref211359279"/>
      <w:r w:rsidRPr="002866AC">
        <w:rPr>
          <w:rStyle w:val="FootnoteReference"/>
          <w:rFonts w:cs="Times New Roman"/>
        </w:rPr>
        <w:footnoteReference w:id="182"/>
      </w:r>
      <w:bookmarkEnd w:id="54"/>
      <w:r w:rsidRPr="002866AC">
        <w:rPr>
          <w:rFonts w:cs="Times New Roman"/>
        </w:rPr>
        <w:t xml:space="preserve"> Correspondingly, the court does not appear to have ever permitted a non-agency party to appeal a remand. </w:t>
      </w:r>
    </w:p>
    <w:p w14:paraId="068D93AC" w14:textId="77777777" w:rsidR="00092031" w:rsidRPr="002866AC" w:rsidRDefault="00092031" w:rsidP="00092031">
      <w:pPr>
        <w:rPr>
          <w:rFonts w:cs="Times New Roman"/>
        </w:rPr>
      </w:pPr>
    </w:p>
    <w:p w14:paraId="0066D547" w14:textId="77777777" w:rsidR="00092031" w:rsidRPr="002866AC" w:rsidRDefault="00092031" w:rsidP="008A045A">
      <w:pPr>
        <w:pStyle w:val="Heading5"/>
      </w:pPr>
      <w:bookmarkStart w:id="55" w:name="_Toc212214159"/>
      <w:r w:rsidRPr="002866AC">
        <w:t>Table</w:t>
      </w:r>
      <w:bookmarkEnd w:id="55"/>
    </w:p>
    <w:p w14:paraId="0410A338" w14:textId="77777777" w:rsidR="00092031" w:rsidRPr="002866AC" w:rsidRDefault="00092031" w:rsidP="00092031"/>
    <w:p w14:paraId="0D524515" w14:textId="77777777" w:rsidR="00092031" w:rsidRPr="002866AC" w:rsidRDefault="00092031" w:rsidP="00092031">
      <w:r w:rsidRPr="002866AC">
        <w:t>That’s a lot to absorb, so here are the circuits’ tests distilled to their essence:</w:t>
      </w:r>
    </w:p>
    <w:p w14:paraId="2830FF26" w14:textId="77777777" w:rsidR="00092031" w:rsidRPr="002866AC" w:rsidRDefault="00092031" w:rsidP="00092031"/>
    <w:p w14:paraId="7AB9112A" w14:textId="77777777" w:rsidR="00092031" w:rsidRPr="002866AC" w:rsidRDefault="00092031" w:rsidP="00092031">
      <w:pPr>
        <w:rPr>
          <w:b/>
          <w:bCs/>
        </w:rPr>
      </w:pPr>
      <w:r w:rsidRPr="002866AC">
        <w:rPr>
          <w:b/>
          <w:bCs/>
        </w:rPr>
        <w:t>Table 1. Administrative-remand rule by circuit</w:t>
      </w:r>
    </w:p>
    <w:tbl>
      <w:tblPr>
        <w:tblStyle w:val="TableGrid"/>
        <w:tblW w:w="0" w:type="auto"/>
        <w:tblLook w:val="04A0" w:firstRow="1" w:lastRow="0" w:firstColumn="1" w:lastColumn="0" w:noHBand="0" w:noVBand="1"/>
      </w:tblPr>
      <w:tblGrid>
        <w:gridCol w:w="1446"/>
        <w:gridCol w:w="1319"/>
        <w:gridCol w:w="1998"/>
        <w:gridCol w:w="1937"/>
      </w:tblGrid>
      <w:tr w:rsidR="00092031" w:rsidRPr="002866AC" w14:paraId="113C2585" w14:textId="77777777" w:rsidTr="00691CE3">
        <w:tc>
          <w:tcPr>
            <w:tcW w:w="1705" w:type="dxa"/>
            <w:tcBorders>
              <w:top w:val="single" w:sz="18" w:space="0" w:color="auto"/>
              <w:left w:val="single" w:sz="4" w:space="0" w:color="auto"/>
              <w:bottom w:val="single" w:sz="18" w:space="0" w:color="auto"/>
              <w:right w:val="single" w:sz="4" w:space="0" w:color="auto"/>
            </w:tcBorders>
            <w:shd w:val="clear" w:color="auto" w:fill="AEAAAA" w:themeFill="background2" w:themeFillShade="BF"/>
            <w:tcMar>
              <w:top w:w="43" w:type="dxa"/>
              <w:left w:w="115" w:type="dxa"/>
              <w:bottom w:w="43" w:type="dxa"/>
              <w:right w:w="115" w:type="dxa"/>
            </w:tcMar>
          </w:tcPr>
          <w:p w14:paraId="28D4807B" w14:textId="77777777" w:rsidR="00092031" w:rsidRPr="002866AC" w:rsidRDefault="00092031" w:rsidP="00092031">
            <w:pPr>
              <w:rPr>
                <w:b/>
                <w:bCs/>
                <w:sz w:val="22"/>
                <w:szCs w:val="22"/>
              </w:rPr>
            </w:pPr>
            <w:r w:rsidRPr="002866AC">
              <w:rPr>
                <w:b/>
                <w:bCs/>
                <w:sz w:val="22"/>
                <w:szCs w:val="22"/>
              </w:rPr>
              <w:t>Circuit</w:t>
            </w:r>
          </w:p>
        </w:tc>
        <w:tc>
          <w:tcPr>
            <w:tcW w:w="1350" w:type="dxa"/>
            <w:tcBorders>
              <w:top w:val="single" w:sz="18" w:space="0" w:color="auto"/>
              <w:left w:val="single" w:sz="4" w:space="0" w:color="auto"/>
              <w:bottom w:val="single" w:sz="18" w:space="0" w:color="auto"/>
              <w:right w:val="single" w:sz="4" w:space="0" w:color="auto"/>
            </w:tcBorders>
            <w:shd w:val="clear" w:color="auto" w:fill="AEAAAA" w:themeFill="background2" w:themeFillShade="BF"/>
            <w:tcMar>
              <w:top w:w="43" w:type="dxa"/>
              <w:left w:w="115" w:type="dxa"/>
              <w:bottom w:w="43" w:type="dxa"/>
              <w:right w:w="115" w:type="dxa"/>
            </w:tcMar>
          </w:tcPr>
          <w:p w14:paraId="7B51AAB3" w14:textId="77777777" w:rsidR="00092031" w:rsidRPr="002866AC" w:rsidRDefault="00092031" w:rsidP="00092031">
            <w:pPr>
              <w:rPr>
                <w:b/>
                <w:bCs/>
                <w:sz w:val="22"/>
                <w:szCs w:val="22"/>
              </w:rPr>
            </w:pPr>
            <w:r w:rsidRPr="002866AC">
              <w:rPr>
                <w:b/>
                <w:bCs/>
                <w:sz w:val="22"/>
                <w:szCs w:val="22"/>
              </w:rPr>
              <w:t>Defined rule?</w:t>
            </w:r>
          </w:p>
        </w:tc>
        <w:tc>
          <w:tcPr>
            <w:tcW w:w="3510" w:type="dxa"/>
            <w:tcBorders>
              <w:top w:val="single" w:sz="18" w:space="0" w:color="auto"/>
              <w:left w:val="single" w:sz="4" w:space="0" w:color="auto"/>
              <w:bottom w:val="single" w:sz="18" w:space="0" w:color="auto"/>
              <w:right w:val="single" w:sz="4" w:space="0" w:color="auto"/>
            </w:tcBorders>
            <w:shd w:val="clear" w:color="auto" w:fill="AEAAAA" w:themeFill="background2" w:themeFillShade="BF"/>
            <w:tcMar>
              <w:top w:w="43" w:type="dxa"/>
              <w:left w:w="115" w:type="dxa"/>
              <w:bottom w:w="43" w:type="dxa"/>
              <w:right w:w="115" w:type="dxa"/>
            </w:tcMar>
          </w:tcPr>
          <w:p w14:paraId="070E81D4" w14:textId="77777777" w:rsidR="00092031" w:rsidRPr="002866AC" w:rsidRDefault="00092031" w:rsidP="00092031">
            <w:pPr>
              <w:rPr>
                <w:b/>
                <w:bCs/>
                <w:sz w:val="22"/>
                <w:szCs w:val="22"/>
              </w:rPr>
            </w:pPr>
            <w:r w:rsidRPr="002866AC">
              <w:rPr>
                <w:b/>
                <w:bCs/>
                <w:sz w:val="22"/>
                <w:szCs w:val="22"/>
              </w:rPr>
              <w:t>Primary requirements/ factors</w:t>
            </w:r>
            <w:bookmarkStart w:id="56" w:name="_Ref211360038"/>
            <w:r w:rsidRPr="002866AC">
              <w:rPr>
                <w:rStyle w:val="FootnoteReference"/>
                <w:sz w:val="22"/>
                <w:szCs w:val="22"/>
              </w:rPr>
              <w:footnoteReference w:id="183"/>
            </w:r>
            <w:bookmarkEnd w:id="56"/>
            <w:r w:rsidRPr="002866AC">
              <w:rPr>
                <w:sz w:val="22"/>
                <w:szCs w:val="22"/>
              </w:rPr>
              <w:t xml:space="preserve"> </w:t>
            </w:r>
          </w:p>
        </w:tc>
        <w:tc>
          <w:tcPr>
            <w:tcW w:w="2785" w:type="dxa"/>
            <w:tcBorders>
              <w:top w:val="single" w:sz="18" w:space="0" w:color="auto"/>
              <w:left w:val="single" w:sz="4" w:space="0" w:color="auto"/>
              <w:bottom w:val="single" w:sz="18" w:space="0" w:color="auto"/>
              <w:right w:val="single" w:sz="4" w:space="0" w:color="auto"/>
            </w:tcBorders>
            <w:shd w:val="clear" w:color="auto" w:fill="AEAAAA" w:themeFill="background2" w:themeFillShade="BF"/>
            <w:tcMar>
              <w:top w:w="43" w:type="dxa"/>
              <w:left w:w="115" w:type="dxa"/>
              <w:bottom w:w="43" w:type="dxa"/>
              <w:right w:w="115" w:type="dxa"/>
            </w:tcMar>
          </w:tcPr>
          <w:p w14:paraId="52974B9A" w14:textId="77777777" w:rsidR="00092031" w:rsidRPr="002866AC" w:rsidRDefault="00092031" w:rsidP="00092031">
            <w:pPr>
              <w:rPr>
                <w:b/>
                <w:bCs/>
                <w:sz w:val="22"/>
                <w:szCs w:val="22"/>
              </w:rPr>
            </w:pPr>
            <w:r w:rsidRPr="002866AC">
              <w:rPr>
                <w:b/>
                <w:bCs/>
                <w:sz w:val="22"/>
                <w:szCs w:val="22"/>
              </w:rPr>
              <w:t>Allows appeals by non-agency parties?</w:t>
            </w:r>
          </w:p>
        </w:tc>
      </w:tr>
      <w:tr w:rsidR="00092031" w:rsidRPr="002866AC" w14:paraId="7A415B5A" w14:textId="77777777" w:rsidTr="00691CE3">
        <w:tc>
          <w:tcPr>
            <w:tcW w:w="1705" w:type="dxa"/>
            <w:tcBorders>
              <w:top w:val="single" w:sz="18" w:space="0" w:color="auto"/>
            </w:tcBorders>
            <w:tcMar>
              <w:top w:w="43" w:type="dxa"/>
              <w:left w:w="115" w:type="dxa"/>
              <w:bottom w:w="43" w:type="dxa"/>
              <w:right w:w="115" w:type="dxa"/>
            </w:tcMar>
          </w:tcPr>
          <w:p w14:paraId="4B78193C" w14:textId="77777777" w:rsidR="00092031" w:rsidRPr="002866AC" w:rsidRDefault="00092031" w:rsidP="00092031">
            <w:pPr>
              <w:rPr>
                <w:sz w:val="22"/>
                <w:szCs w:val="22"/>
              </w:rPr>
            </w:pPr>
            <w:r w:rsidRPr="002866AC">
              <w:rPr>
                <w:sz w:val="22"/>
                <w:szCs w:val="22"/>
              </w:rPr>
              <w:t>D.C.</w:t>
            </w:r>
          </w:p>
        </w:tc>
        <w:tc>
          <w:tcPr>
            <w:tcW w:w="1350" w:type="dxa"/>
            <w:tcBorders>
              <w:top w:val="single" w:sz="18" w:space="0" w:color="auto"/>
            </w:tcBorders>
            <w:tcMar>
              <w:top w:w="43" w:type="dxa"/>
              <w:left w:w="115" w:type="dxa"/>
              <w:bottom w:w="43" w:type="dxa"/>
              <w:right w:w="115" w:type="dxa"/>
            </w:tcMar>
          </w:tcPr>
          <w:p w14:paraId="596CFC4B" w14:textId="77777777" w:rsidR="00092031" w:rsidRPr="002866AC" w:rsidRDefault="00092031" w:rsidP="00092031">
            <w:pPr>
              <w:rPr>
                <w:sz w:val="22"/>
                <w:szCs w:val="22"/>
              </w:rPr>
            </w:pPr>
            <w:r w:rsidRPr="002866AC">
              <w:rPr>
                <w:sz w:val="22"/>
                <w:szCs w:val="22"/>
              </w:rPr>
              <w:t>Yes</w:t>
            </w:r>
          </w:p>
        </w:tc>
        <w:tc>
          <w:tcPr>
            <w:tcW w:w="3510" w:type="dxa"/>
            <w:tcBorders>
              <w:top w:val="single" w:sz="18" w:space="0" w:color="auto"/>
            </w:tcBorders>
            <w:tcMar>
              <w:top w:w="43" w:type="dxa"/>
              <w:left w:w="115" w:type="dxa"/>
              <w:bottom w:w="43" w:type="dxa"/>
              <w:right w:w="115" w:type="dxa"/>
            </w:tcMar>
          </w:tcPr>
          <w:p w14:paraId="4517BFDC" w14:textId="77777777" w:rsidR="00092031" w:rsidRPr="002866AC" w:rsidRDefault="00092031" w:rsidP="00092031">
            <w:pPr>
              <w:rPr>
                <w:rFonts w:cs="Times New Roman"/>
                <w:sz w:val="22"/>
                <w:szCs w:val="22"/>
              </w:rPr>
            </w:pPr>
            <w:r w:rsidRPr="002866AC">
              <w:rPr>
                <w:rFonts w:cs="Times New Roman"/>
                <w:sz w:val="22"/>
                <w:szCs w:val="22"/>
              </w:rPr>
              <w:t>Agency or non-agency appellant?</w:t>
            </w:r>
          </w:p>
          <w:p w14:paraId="3B282301" w14:textId="77777777" w:rsidR="00092031" w:rsidRPr="002866AC" w:rsidRDefault="00092031" w:rsidP="00092031">
            <w:pPr>
              <w:rPr>
                <w:rFonts w:cs="Times New Roman"/>
                <w:sz w:val="22"/>
                <w:szCs w:val="22"/>
              </w:rPr>
            </w:pPr>
            <w:r w:rsidRPr="002866AC">
              <w:rPr>
                <w:rFonts w:cs="Times New Roman"/>
                <w:sz w:val="22"/>
                <w:szCs w:val="22"/>
              </w:rPr>
              <w:t>Is further review precluded without immediate appeal?</w:t>
            </w:r>
          </w:p>
          <w:p w14:paraId="0DD3AD2A" w14:textId="77777777" w:rsidR="00092031" w:rsidRPr="002866AC" w:rsidRDefault="00092031" w:rsidP="00092031">
            <w:pPr>
              <w:rPr>
                <w:rFonts w:cs="Times New Roman"/>
                <w:sz w:val="22"/>
                <w:szCs w:val="22"/>
              </w:rPr>
            </w:pPr>
            <w:r w:rsidRPr="002866AC">
              <w:rPr>
                <w:rFonts w:cs="Times New Roman"/>
                <w:sz w:val="22"/>
                <w:szCs w:val="22"/>
              </w:rPr>
              <w:t>Does the remand leave only ministerial action for the agency?</w:t>
            </w:r>
          </w:p>
        </w:tc>
        <w:tc>
          <w:tcPr>
            <w:tcW w:w="2785" w:type="dxa"/>
            <w:tcBorders>
              <w:top w:val="single" w:sz="18" w:space="0" w:color="auto"/>
            </w:tcBorders>
            <w:tcMar>
              <w:top w:w="43" w:type="dxa"/>
              <w:left w:w="115" w:type="dxa"/>
              <w:bottom w:w="43" w:type="dxa"/>
              <w:right w:w="115" w:type="dxa"/>
            </w:tcMar>
          </w:tcPr>
          <w:p w14:paraId="0CA6E8E5" w14:textId="77777777" w:rsidR="00092031" w:rsidRPr="002866AC" w:rsidRDefault="00092031" w:rsidP="00092031">
            <w:pPr>
              <w:rPr>
                <w:sz w:val="22"/>
                <w:szCs w:val="22"/>
              </w:rPr>
            </w:pPr>
            <w:r w:rsidRPr="002866AC">
              <w:rPr>
                <w:sz w:val="22"/>
                <w:szCs w:val="22"/>
              </w:rPr>
              <w:t>Yes</w:t>
            </w:r>
          </w:p>
        </w:tc>
      </w:tr>
      <w:tr w:rsidR="00092031" w:rsidRPr="002866AC" w14:paraId="00F05F70" w14:textId="77777777" w:rsidTr="00691CE3">
        <w:tc>
          <w:tcPr>
            <w:tcW w:w="1705" w:type="dxa"/>
            <w:shd w:val="clear" w:color="auto" w:fill="E7E6E6" w:themeFill="background2"/>
            <w:tcMar>
              <w:top w:w="43" w:type="dxa"/>
              <w:left w:w="115" w:type="dxa"/>
              <w:bottom w:w="43" w:type="dxa"/>
              <w:right w:w="115" w:type="dxa"/>
            </w:tcMar>
          </w:tcPr>
          <w:p w14:paraId="385A7472" w14:textId="77777777" w:rsidR="00092031" w:rsidRPr="002866AC" w:rsidRDefault="00092031" w:rsidP="00092031">
            <w:pPr>
              <w:rPr>
                <w:sz w:val="22"/>
                <w:szCs w:val="22"/>
              </w:rPr>
            </w:pPr>
            <w:r w:rsidRPr="002866AC">
              <w:rPr>
                <w:sz w:val="22"/>
                <w:szCs w:val="22"/>
              </w:rPr>
              <w:t>Federal</w:t>
            </w:r>
          </w:p>
        </w:tc>
        <w:tc>
          <w:tcPr>
            <w:tcW w:w="1350" w:type="dxa"/>
            <w:shd w:val="clear" w:color="auto" w:fill="E7E6E6" w:themeFill="background2"/>
            <w:tcMar>
              <w:top w:w="43" w:type="dxa"/>
              <w:left w:w="115" w:type="dxa"/>
              <w:bottom w:w="43" w:type="dxa"/>
              <w:right w:w="115" w:type="dxa"/>
            </w:tcMar>
          </w:tcPr>
          <w:p w14:paraId="013210B6" w14:textId="77777777" w:rsidR="00092031" w:rsidRPr="002866AC" w:rsidRDefault="00092031" w:rsidP="00092031">
            <w:pPr>
              <w:rPr>
                <w:sz w:val="22"/>
                <w:szCs w:val="22"/>
              </w:rPr>
            </w:pPr>
            <w:r w:rsidRPr="002866AC">
              <w:rPr>
                <w:sz w:val="22"/>
                <w:szCs w:val="22"/>
              </w:rPr>
              <w:t>Yes</w:t>
            </w:r>
          </w:p>
        </w:tc>
        <w:tc>
          <w:tcPr>
            <w:tcW w:w="3510" w:type="dxa"/>
            <w:shd w:val="clear" w:color="auto" w:fill="E7E6E6" w:themeFill="background2"/>
            <w:tcMar>
              <w:top w:w="43" w:type="dxa"/>
              <w:left w:w="115" w:type="dxa"/>
              <w:bottom w:w="43" w:type="dxa"/>
              <w:right w:w="115" w:type="dxa"/>
            </w:tcMar>
          </w:tcPr>
          <w:p w14:paraId="78B7BAAE" w14:textId="77777777" w:rsidR="00092031" w:rsidRPr="002866AC" w:rsidRDefault="00092031" w:rsidP="00092031">
            <w:pPr>
              <w:rPr>
                <w:rFonts w:cs="Times New Roman"/>
                <w:sz w:val="22"/>
                <w:szCs w:val="22"/>
              </w:rPr>
            </w:pPr>
            <w:r w:rsidRPr="002866AC">
              <w:rPr>
                <w:rFonts w:cs="Times New Roman"/>
                <w:sz w:val="22"/>
                <w:szCs w:val="22"/>
              </w:rPr>
              <w:t>Does the remand effectively terminate the litigation?</w:t>
            </w:r>
          </w:p>
          <w:p w14:paraId="3B8197A1" w14:textId="77777777" w:rsidR="00092031" w:rsidRPr="002866AC" w:rsidRDefault="00092031" w:rsidP="00092031">
            <w:pPr>
              <w:rPr>
                <w:rFonts w:cs="Times New Roman"/>
                <w:sz w:val="22"/>
                <w:szCs w:val="22"/>
              </w:rPr>
            </w:pPr>
            <w:r w:rsidRPr="002866AC">
              <w:rPr>
                <w:rFonts w:cs="Times New Roman"/>
                <w:sz w:val="22"/>
                <w:szCs w:val="22"/>
              </w:rPr>
              <w:t xml:space="preserve">Does the remand leave only </w:t>
            </w:r>
            <w:r w:rsidRPr="002866AC">
              <w:rPr>
                <w:rFonts w:cs="Times New Roman"/>
                <w:sz w:val="22"/>
                <w:szCs w:val="22"/>
              </w:rPr>
              <w:lastRenderedPageBreak/>
              <w:t>ministerial action for the agency?</w:t>
            </w:r>
          </w:p>
        </w:tc>
        <w:tc>
          <w:tcPr>
            <w:tcW w:w="2785" w:type="dxa"/>
            <w:shd w:val="clear" w:color="auto" w:fill="E7E6E6" w:themeFill="background2"/>
            <w:tcMar>
              <w:top w:w="43" w:type="dxa"/>
              <w:left w:w="115" w:type="dxa"/>
              <w:bottom w:w="43" w:type="dxa"/>
              <w:right w:w="115" w:type="dxa"/>
            </w:tcMar>
          </w:tcPr>
          <w:p w14:paraId="75A2C870" w14:textId="77777777" w:rsidR="00092031" w:rsidRPr="002866AC" w:rsidRDefault="00092031" w:rsidP="00092031">
            <w:pPr>
              <w:rPr>
                <w:sz w:val="22"/>
                <w:szCs w:val="22"/>
              </w:rPr>
            </w:pPr>
            <w:r w:rsidRPr="002866AC">
              <w:rPr>
                <w:sz w:val="22"/>
                <w:szCs w:val="22"/>
              </w:rPr>
              <w:lastRenderedPageBreak/>
              <w:t>Yes</w:t>
            </w:r>
          </w:p>
        </w:tc>
      </w:tr>
      <w:tr w:rsidR="00092031" w:rsidRPr="002866AC" w14:paraId="0052B446" w14:textId="77777777" w:rsidTr="00691CE3">
        <w:tc>
          <w:tcPr>
            <w:tcW w:w="1705" w:type="dxa"/>
            <w:tcMar>
              <w:top w:w="43" w:type="dxa"/>
              <w:left w:w="115" w:type="dxa"/>
              <w:bottom w:w="43" w:type="dxa"/>
              <w:right w:w="115" w:type="dxa"/>
            </w:tcMar>
          </w:tcPr>
          <w:p w14:paraId="2089EAA3" w14:textId="77777777" w:rsidR="00092031" w:rsidRPr="002866AC" w:rsidRDefault="00092031" w:rsidP="00092031">
            <w:pPr>
              <w:rPr>
                <w:sz w:val="22"/>
                <w:szCs w:val="22"/>
              </w:rPr>
            </w:pPr>
            <w:r w:rsidRPr="002866AC">
              <w:rPr>
                <w:sz w:val="22"/>
                <w:szCs w:val="22"/>
              </w:rPr>
              <w:t>First</w:t>
            </w:r>
          </w:p>
        </w:tc>
        <w:tc>
          <w:tcPr>
            <w:tcW w:w="1350" w:type="dxa"/>
            <w:tcMar>
              <w:top w:w="43" w:type="dxa"/>
              <w:left w:w="115" w:type="dxa"/>
              <w:bottom w:w="43" w:type="dxa"/>
              <w:right w:w="115" w:type="dxa"/>
            </w:tcMar>
          </w:tcPr>
          <w:p w14:paraId="65FB235D" w14:textId="77777777" w:rsidR="00092031" w:rsidRPr="002866AC" w:rsidRDefault="00092031" w:rsidP="00092031">
            <w:pPr>
              <w:rPr>
                <w:sz w:val="22"/>
                <w:szCs w:val="22"/>
              </w:rPr>
            </w:pPr>
            <w:r w:rsidRPr="002866AC">
              <w:rPr>
                <w:sz w:val="22"/>
                <w:szCs w:val="22"/>
              </w:rPr>
              <w:t>Sort of</w:t>
            </w:r>
          </w:p>
        </w:tc>
        <w:tc>
          <w:tcPr>
            <w:tcW w:w="3510" w:type="dxa"/>
            <w:tcMar>
              <w:top w:w="43" w:type="dxa"/>
              <w:left w:w="115" w:type="dxa"/>
              <w:bottom w:w="43" w:type="dxa"/>
              <w:right w:w="115" w:type="dxa"/>
            </w:tcMar>
          </w:tcPr>
          <w:p w14:paraId="6E889C4F" w14:textId="77777777" w:rsidR="00092031" w:rsidRPr="002866AC" w:rsidRDefault="00092031" w:rsidP="00092031">
            <w:pPr>
              <w:rPr>
                <w:sz w:val="22"/>
                <w:szCs w:val="22"/>
              </w:rPr>
            </w:pPr>
            <w:r w:rsidRPr="002866AC">
              <w:rPr>
                <w:sz w:val="22"/>
                <w:szCs w:val="22"/>
              </w:rPr>
              <w:t>Best guess:</w:t>
            </w:r>
          </w:p>
          <w:p w14:paraId="09E16C0D" w14:textId="77777777" w:rsidR="00092031" w:rsidRPr="002866AC" w:rsidRDefault="00092031" w:rsidP="00092031">
            <w:pPr>
              <w:rPr>
                <w:rFonts w:cs="Times New Roman"/>
                <w:sz w:val="22"/>
                <w:szCs w:val="22"/>
              </w:rPr>
            </w:pPr>
            <w:r w:rsidRPr="002866AC">
              <w:rPr>
                <w:rFonts w:cs="Times New Roman"/>
                <w:sz w:val="22"/>
                <w:szCs w:val="22"/>
              </w:rPr>
              <w:t>Ninth Circuit test (see below)</w:t>
            </w:r>
          </w:p>
          <w:p w14:paraId="27FAF109" w14:textId="77777777" w:rsidR="00092031" w:rsidRPr="002866AC" w:rsidRDefault="00092031" w:rsidP="00092031">
            <w:pPr>
              <w:rPr>
                <w:rFonts w:cs="Times New Roman"/>
                <w:sz w:val="22"/>
                <w:szCs w:val="22"/>
              </w:rPr>
            </w:pPr>
            <w:r w:rsidRPr="002866AC">
              <w:rPr>
                <w:rFonts w:cs="Times New Roman"/>
                <w:sz w:val="22"/>
                <w:szCs w:val="22"/>
              </w:rPr>
              <w:t>Will immediate review yield judicial efficiency gains?</w:t>
            </w:r>
          </w:p>
        </w:tc>
        <w:tc>
          <w:tcPr>
            <w:tcW w:w="2785" w:type="dxa"/>
            <w:tcMar>
              <w:top w:w="43" w:type="dxa"/>
              <w:left w:w="115" w:type="dxa"/>
              <w:bottom w:w="43" w:type="dxa"/>
              <w:right w:w="115" w:type="dxa"/>
            </w:tcMar>
          </w:tcPr>
          <w:p w14:paraId="60FDB697" w14:textId="77777777" w:rsidR="00092031" w:rsidRPr="002866AC" w:rsidRDefault="00092031" w:rsidP="00092031">
            <w:pPr>
              <w:rPr>
                <w:sz w:val="22"/>
                <w:szCs w:val="22"/>
              </w:rPr>
            </w:pPr>
            <w:r w:rsidRPr="002866AC">
              <w:rPr>
                <w:sz w:val="22"/>
                <w:szCs w:val="22"/>
              </w:rPr>
              <w:t>Yes</w:t>
            </w:r>
          </w:p>
        </w:tc>
      </w:tr>
      <w:tr w:rsidR="00092031" w:rsidRPr="002866AC" w14:paraId="14AB3565" w14:textId="77777777" w:rsidTr="00691CE3">
        <w:tc>
          <w:tcPr>
            <w:tcW w:w="1705" w:type="dxa"/>
            <w:shd w:val="clear" w:color="auto" w:fill="D9D9D9" w:themeFill="background1" w:themeFillShade="D9"/>
            <w:tcMar>
              <w:top w:w="43" w:type="dxa"/>
              <w:left w:w="115" w:type="dxa"/>
              <w:bottom w:w="43" w:type="dxa"/>
              <w:right w:w="115" w:type="dxa"/>
            </w:tcMar>
          </w:tcPr>
          <w:p w14:paraId="7FDA86BE" w14:textId="77777777" w:rsidR="00092031" w:rsidRPr="002866AC" w:rsidRDefault="00092031" w:rsidP="00092031">
            <w:pPr>
              <w:rPr>
                <w:sz w:val="22"/>
                <w:szCs w:val="22"/>
              </w:rPr>
            </w:pPr>
            <w:r w:rsidRPr="002866AC">
              <w:rPr>
                <w:sz w:val="22"/>
                <w:szCs w:val="22"/>
              </w:rPr>
              <w:t>Second</w:t>
            </w:r>
          </w:p>
        </w:tc>
        <w:tc>
          <w:tcPr>
            <w:tcW w:w="1350" w:type="dxa"/>
            <w:shd w:val="clear" w:color="auto" w:fill="D9D9D9" w:themeFill="background1" w:themeFillShade="D9"/>
            <w:tcMar>
              <w:top w:w="43" w:type="dxa"/>
              <w:left w:w="115" w:type="dxa"/>
              <w:bottom w:w="43" w:type="dxa"/>
              <w:right w:w="115" w:type="dxa"/>
            </w:tcMar>
          </w:tcPr>
          <w:p w14:paraId="7D701265" w14:textId="77777777" w:rsidR="00092031" w:rsidRPr="002866AC" w:rsidRDefault="00092031" w:rsidP="00092031">
            <w:pPr>
              <w:rPr>
                <w:sz w:val="22"/>
                <w:szCs w:val="22"/>
              </w:rPr>
            </w:pPr>
            <w:r w:rsidRPr="002866AC">
              <w:rPr>
                <w:sz w:val="22"/>
                <w:szCs w:val="22"/>
              </w:rPr>
              <w:t>No</w:t>
            </w:r>
          </w:p>
        </w:tc>
        <w:tc>
          <w:tcPr>
            <w:tcW w:w="3510" w:type="dxa"/>
            <w:shd w:val="clear" w:color="auto" w:fill="D9D9D9" w:themeFill="background1" w:themeFillShade="D9"/>
            <w:tcMar>
              <w:top w:w="43" w:type="dxa"/>
              <w:left w:w="115" w:type="dxa"/>
              <w:bottom w:w="43" w:type="dxa"/>
              <w:right w:w="115" w:type="dxa"/>
            </w:tcMar>
          </w:tcPr>
          <w:p w14:paraId="4F7EA001" w14:textId="77777777" w:rsidR="00092031" w:rsidRPr="002866AC" w:rsidRDefault="00092031" w:rsidP="00092031">
            <w:pPr>
              <w:rPr>
                <w:sz w:val="22"/>
                <w:szCs w:val="22"/>
              </w:rPr>
            </w:pPr>
            <w:r w:rsidRPr="002866AC">
              <w:rPr>
                <w:sz w:val="22"/>
                <w:szCs w:val="22"/>
              </w:rPr>
              <w:t>Best guess:</w:t>
            </w:r>
          </w:p>
          <w:p w14:paraId="47CD352F" w14:textId="77777777" w:rsidR="00092031" w:rsidRPr="002866AC" w:rsidRDefault="00092031" w:rsidP="00092031">
            <w:pPr>
              <w:rPr>
                <w:rFonts w:cs="Times New Roman"/>
                <w:sz w:val="22"/>
                <w:szCs w:val="22"/>
              </w:rPr>
            </w:pPr>
            <w:r w:rsidRPr="002866AC">
              <w:rPr>
                <w:rFonts w:cs="Times New Roman"/>
                <w:sz w:val="22"/>
                <w:szCs w:val="22"/>
              </w:rPr>
              <w:t>Agency or non-agency appellant?</w:t>
            </w:r>
          </w:p>
          <w:p w14:paraId="267E185A" w14:textId="77777777" w:rsidR="00092031" w:rsidRPr="002866AC" w:rsidRDefault="00092031" w:rsidP="00092031">
            <w:pPr>
              <w:rPr>
                <w:rFonts w:cs="Times New Roman"/>
                <w:sz w:val="22"/>
                <w:szCs w:val="22"/>
              </w:rPr>
            </w:pPr>
            <w:r w:rsidRPr="002866AC">
              <w:rPr>
                <w:rFonts w:cs="Times New Roman"/>
                <w:sz w:val="22"/>
                <w:szCs w:val="22"/>
              </w:rPr>
              <w:t>Non-agency context applicable?</w:t>
            </w:r>
          </w:p>
        </w:tc>
        <w:tc>
          <w:tcPr>
            <w:tcW w:w="2785" w:type="dxa"/>
            <w:shd w:val="clear" w:color="auto" w:fill="D9D9D9" w:themeFill="background1" w:themeFillShade="D9"/>
            <w:tcMar>
              <w:top w:w="43" w:type="dxa"/>
              <w:left w:w="115" w:type="dxa"/>
              <w:bottom w:w="43" w:type="dxa"/>
              <w:right w:w="115" w:type="dxa"/>
            </w:tcMar>
          </w:tcPr>
          <w:p w14:paraId="4E790B16" w14:textId="77777777" w:rsidR="00092031" w:rsidRPr="002866AC" w:rsidRDefault="00092031" w:rsidP="00092031">
            <w:pPr>
              <w:rPr>
                <w:sz w:val="22"/>
                <w:szCs w:val="22"/>
              </w:rPr>
            </w:pPr>
            <w:r w:rsidRPr="002866AC">
              <w:rPr>
                <w:sz w:val="22"/>
                <w:szCs w:val="22"/>
              </w:rPr>
              <w:t>Open question</w:t>
            </w:r>
          </w:p>
        </w:tc>
      </w:tr>
      <w:tr w:rsidR="00092031" w:rsidRPr="002866AC" w14:paraId="4CE73C85" w14:textId="77777777" w:rsidTr="00691CE3">
        <w:tc>
          <w:tcPr>
            <w:tcW w:w="1705" w:type="dxa"/>
            <w:tcMar>
              <w:top w:w="43" w:type="dxa"/>
              <w:left w:w="115" w:type="dxa"/>
              <w:bottom w:w="43" w:type="dxa"/>
              <w:right w:w="115" w:type="dxa"/>
            </w:tcMar>
          </w:tcPr>
          <w:p w14:paraId="072C1479" w14:textId="77777777" w:rsidR="00092031" w:rsidRPr="002866AC" w:rsidRDefault="00092031" w:rsidP="00092031">
            <w:pPr>
              <w:rPr>
                <w:sz w:val="22"/>
                <w:szCs w:val="22"/>
              </w:rPr>
            </w:pPr>
            <w:r w:rsidRPr="002866AC">
              <w:rPr>
                <w:sz w:val="22"/>
                <w:szCs w:val="22"/>
              </w:rPr>
              <w:t>Third</w:t>
            </w:r>
          </w:p>
        </w:tc>
        <w:tc>
          <w:tcPr>
            <w:tcW w:w="1350" w:type="dxa"/>
            <w:tcMar>
              <w:top w:w="43" w:type="dxa"/>
              <w:left w:w="115" w:type="dxa"/>
              <w:bottom w:w="43" w:type="dxa"/>
              <w:right w:w="115" w:type="dxa"/>
            </w:tcMar>
          </w:tcPr>
          <w:p w14:paraId="411A22F3" w14:textId="77777777" w:rsidR="00092031" w:rsidRPr="002866AC" w:rsidRDefault="00092031" w:rsidP="00092031">
            <w:pPr>
              <w:rPr>
                <w:sz w:val="22"/>
                <w:szCs w:val="22"/>
              </w:rPr>
            </w:pPr>
            <w:r w:rsidRPr="002866AC">
              <w:rPr>
                <w:sz w:val="22"/>
                <w:szCs w:val="22"/>
              </w:rPr>
              <w:t>Yes</w:t>
            </w:r>
          </w:p>
        </w:tc>
        <w:tc>
          <w:tcPr>
            <w:tcW w:w="3510" w:type="dxa"/>
            <w:tcMar>
              <w:top w:w="43" w:type="dxa"/>
              <w:left w:w="115" w:type="dxa"/>
              <w:bottom w:w="43" w:type="dxa"/>
              <w:right w:w="115" w:type="dxa"/>
            </w:tcMar>
          </w:tcPr>
          <w:p w14:paraId="22BB9893" w14:textId="77777777" w:rsidR="00092031" w:rsidRPr="002866AC" w:rsidRDefault="00092031" w:rsidP="00092031">
            <w:pPr>
              <w:rPr>
                <w:rFonts w:cs="Times New Roman"/>
                <w:sz w:val="22"/>
                <w:szCs w:val="22"/>
              </w:rPr>
            </w:pPr>
            <w:r w:rsidRPr="002866AC">
              <w:rPr>
                <w:rFonts w:cs="Times New Roman"/>
                <w:sz w:val="22"/>
                <w:szCs w:val="22"/>
              </w:rPr>
              <w:t>Collateral-order doctrine</w:t>
            </w:r>
          </w:p>
        </w:tc>
        <w:tc>
          <w:tcPr>
            <w:tcW w:w="2785" w:type="dxa"/>
            <w:tcMar>
              <w:top w:w="43" w:type="dxa"/>
              <w:left w:w="115" w:type="dxa"/>
              <w:bottom w:w="43" w:type="dxa"/>
              <w:right w:w="115" w:type="dxa"/>
            </w:tcMar>
          </w:tcPr>
          <w:p w14:paraId="11D90025" w14:textId="77777777" w:rsidR="00092031" w:rsidRPr="002866AC" w:rsidRDefault="00092031" w:rsidP="00092031">
            <w:pPr>
              <w:rPr>
                <w:sz w:val="22"/>
                <w:szCs w:val="22"/>
              </w:rPr>
            </w:pPr>
            <w:r w:rsidRPr="002866AC">
              <w:rPr>
                <w:sz w:val="22"/>
                <w:szCs w:val="22"/>
              </w:rPr>
              <w:t>Barely</w:t>
            </w:r>
          </w:p>
        </w:tc>
      </w:tr>
      <w:tr w:rsidR="00092031" w:rsidRPr="002866AC" w14:paraId="43976BA2" w14:textId="77777777" w:rsidTr="00691CE3">
        <w:tc>
          <w:tcPr>
            <w:tcW w:w="1705" w:type="dxa"/>
            <w:shd w:val="clear" w:color="auto" w:fill="D9D9D9" w:themeFill="background1" w:themeFillShade="D9"/>
            <w:tcMar>
              <w:top w:w="43" w:type="dxa"/>
              <w:left w:w="115" w:type="dxa"/>
              <w:bottom w:w="43" w:type="dxa"/>
              <w:right w:w="115" w:type="dxa"/>
            </w:tcMar>
          </w:tcPr>
          <w:p w14:paraId="5E09932E" w14:textId="77777777" w:rsidR="00092031" w:rsidRPr="002866AC" w:rsidRDefault="00092031" w:rsidP="00092031">
            <w:pPr>
              <w:rPr>
                <w:sz w:val="22"/>
                <w:szCs w:val="22"/>
              </w:rPr>
            </w:pPr>
            <w:r w:rsidRPr="002866AC">
              <w:rPr>
                <w:sz w:val="22"/>
                <w:szCs w:val="22"/>
              </w:rPr>
              <w:t>Fourth</w:t>
            </w:r>
          </w:p>
        </w:tc>
        <w:tc>
          <w:tcPr>
            <w:tcW w:w="1350" w:type="dxa"/>
            <w:shd w:val="clear" w:color="auto" w:fill="D9D9D9" w:themeFill="background1" w:themeFillShade="D9"/>
            <w:tcMar>
              <w:top w:w="43" w:type="dxa"/>
              <w:left w:w="115" w:type="dxa"/>
              <w:bottom w:w="43" w:type="dxa"/>
              <w:right w:w="115" w:type="dxa"/>
            </w:tcMar>
          </w:tcPr>
          <w:p w14:paraId="306035E3" w14:textId="77777777" w:rsidR="00092031" w:rsidRPr="002866AC" w:rsidRDefault="00092031" w:rsidP="00092031">
            <w:pPr>
              <w:rPr>
                <w:sz w:val="22"/>
                <w:szCs w:val="22"/>
              </w:rPr>
            </w:pPr>
            <w:r w:rsidRPr="002866AC">
              <w:rPr>
                <w:sz w:val="22"/>
                <w:szCs w:val="22"/>
              </w:rPr>
              <w:t>Yes</w:t>
            </w:r>
          </w:p>
        </w:tc>
        <w:tc>
          <w:tcPr>
            <w:tcW w:w="3510" w:type="dxa"/>
            <w:shd w:val="clear" w:color="auto" w:fill="D9D9D9" w:themeFill="background1" w:themeFillShade="D9"/>
            <w:tcMar>
              <w:top w:w="43" w:type="dxa"/>
              <w:left w:w="115" w:type="dxa"/>
              <w:bottom w:w="43" w:type="dxa"/>
              <w:right w:w="115" w:type="dxa"/>
            </w:tcMar>
          </w:tcPr>
          <w:p w14:paraId="760007B3" w14:textId="77777777" w:rsidR="00092031" w:rsidRPr="002866AC" w:rsidRDefault="00092031" w:rsidP="00092031">
            <w:pPr>
              <w:rPr>
                <w:rFonts w:cs="Times New Roman"/>
                <w:sz w:val="22"/>
                <w:szCs w:val="22"/>
              </w:rPr>
            </w:pPr>
            <w:r w:rsidRPr="002866AC">
              <w:rPr>
                <w:rFonts w:cs="Times New Roman"/>
                <w:sz w:val="22"/>
                <w:szCs w:val="22"/>
              </w:rPr>
              <w:t>Collateral-order doctrine</w:t>
            </w:r>
          </w:p>
        </w:tc>
        <w:tc>
          <w:tcPr>
            <w:tcW w:w="2785" w:type="dxa"/>
            <w:shd w:val="clear" w:color="auto" w:fill="D9D9D9" w:themeFill="background1" w:themeFillShade="D9"/>
            <w:tcMar>
              <w:top w:w="43" w:type="dxa"/>
              <w:left w:w="115" w:type="dxa"/>
              <w:bottom w:w="43" w:type="dxa"/>
              <w:right w:w="115" w:type="dxa"/>
            </w:tcMar>
          </w:tcPr>
          <w:p w14:paraId="7A344DBE" w14:textId="77777777" w:rsidR="00092031" w:rsidRPr="002866AC" w:rsidRDefault="00092031" w:rsidP="00092031">
            <w:pPr>
              <w:rPr>
                <w:sz w:val="22"/>
                <w:szCs w:val="22"/>
              </w:rPr>
            </w:pPr>
            <w:r w:rsidRPr="002866AC">
              <w:rPr>
                <w:sz w:val="22"/>
                <w:szCs w:val="22"/>
              </w:rPr>
              <w:t>Open question</w:t>
            </w:r>
          </w:p>
        </w:tc>
      </w:tr>
      <w:tr w:rsidR="00092031" w:rsidRPr="002866AC" w14:paraId="2959244E" w14:textId="77777777" w:rsidTr="00691CE3">
        <w:tc>
          <w:tcPr>
            <w:tcW w:w="1705" w:type="dxa"/>
            <w:tcMar>
              <w:top w:w="43" w:type="dxa"/>
              <w:left w:w="115" w:type="dxa"/>
              <w:bottom w:w="43" w:type="dxa"/>
              <w:right w:w="115" w:type="dxa"/>
            </w:tcMar>
          </w:tcPr>
          <w:p w14:paraId="2308F833" w14:textId="77777777" w:rsidR="00092031" w:rsidRPr="002866AC" w:rsidRDefault="00092031" w:rsidP="00092031">
            <w:pPr>
              <w:rPr>
                <w:sz w:val="22"/>
                <w:szCs w:val="22"/>
              </w:rPr>
            </w:pPr>
            <w:r w:rsidRPr="002866AC">
              <w:rPr>
                <w:sz w:val="22"/>
                <w:szCs w:val="22"/>
              </w:rPr>
              <w:t>Fifth</w:t>
            </w:r>
          </w:p>
        </w:tc>
        <w:tc>
          <w:tcPr>
            <w:tcW w:w="1350" w:type="dxa"/>
            <w:tcMar>
              <w:top w:w="43" w:type="dxa"/>
              <w:left w:w="115" w:type="dxa"/>
              <w:bottom w:w="43" w:type="dxa"/>
              <w:right w:w="115" w:type="dxa"/>
            </w:tcMar>
          </w:tcPr>
          <w:p w14:paraId="2A2687E8" w14:textId="77777777" w:rsidR="00092031" w:rsidRPr="002866AC" w:rsidRDefault="00092031" w:rsidP="00092031">
            <w:pPr>
              <w:rPr>
                <w:sz w:val="22"/>
                <w:szCs w:val="22"/>
              </w:rPr>
            </w:pPr>
            <w:r w:rsidRPr="002866AC">
              <w:rPr>
                <w:sz w:val="22"/>
                <w:szCs w:val="22"/>
              </w:rPr>
              <w:t>Yes</w:t>
            </w:r>
          </w:p>
        </w:tc>
        <w:tc>
          <w:tcPr>
            <w:tcW w:w="3510" w:type="dxa"/>
            <w:tcMar>
              <w:top w:w="43" w:type="dxa"/>
              <w:left w:w="115" w:type="dxa"/>
              <w:bottom w:w="43" w:type="dxa"/>
              <w:right w:w="115" w:type="dxa"/>
            </w:tcMar>
          </w:tcPr>
          <w:p w14:paraId="23389EC8" w14:textId="77777777" w:rsidR="00092031" w:rsidRPr="002866AC" w:rsidRDefault="00092031" w:rsidP="00092031">
            <w:pPr>
              <w:rPr>
                <w:rFonts w:cs="Times New Roman"/>
                <w:sz w:val="22"/>
                <w:szCs w:val="22"/>
              </w:rPr>
            </w:pPr>
            <w:r w:rsidRPr="002866AC">
              <w:rPr>
                <w:rFonts w:cs="Times New Roman"/>
                <w:sz w:val="22"/>
                <w:szCs w:val="22"/>
              </w:rPr>
              <w:t>Does the remand leave only ministerial action for the agency?</w:t>
            </w:r>
          </w:p>
        </w:tc>
        <w:tc>
          <w:tcPr>
            <w:tcW w:w="2785" w:type="dxa"/>
            <w:tcMar>
              <w:top w:w="43" w:type="dxa"/>
              <w:left w:w="115" w:type="dxa"/>
              <w:bottom w:w="43" w:type="dxa"/>
              <w:right w:w="115" w:type="dxa"/>
            </w:tcMar>
          </w:tcPr>
          <w:p w14:paraId="4E302DC8" w14:textId="77777777" w:rsidR="00092031" w:rsidRPr="002866AC" w:rsidRDefault="00092031" w:rsidP="00092031">
            <w:pPr>
              <w:rPr>
                <w:sz w:val="22"/>
                <w:szCs w:val="22"/>
              </w:rPr>
            </w:pPr>
            <w:r w:rsidRPr="002866AC">
              <w:rPr>
                <w:sz w:val="22"/>
                <w:szCs w:val="22"/>
              </w:rPr>
              <w:t>Presumably, but open question</w:t>
            </w:r>
          </w:p>
        </w:tc>
      </w:tr>
      <w:tr w:rsidR="00092031" w:rsidRPr="002866AC" w14:paraId="4E1268D2" w14:textId="77777777" w:rsidTr="00691CE3">
        <w:tc>
          <w:tcPr>
            <w:tcW w:w="1705" w:type="dxa"/>
            <w:shd w:val="clear" w:color="auto" w:fill="D9D9D9" w:themeFill="background1" w:themeFillShade="D9"/>
            <w:tcMar>
              <w:top w:w="43" w:type="dxa"/>
              <w:left w:w="115" w:type="dxa"/>
              <w:bottom w:w="43" w:type="dxa"/>
              <w:right w:w="115" w:type="dxa"/>
            </w:tcMar>
          </w:tcPr>
          <w:p w14:paraId="5BD28539" w14:textId="77777777" w:rsidR="00092031" w:rsidRPr="002866AC" w:rsidRDefault="00092031" w:rsidP="00092031">
            <w:pPr>
              <w:rPr>
                <w:sz w:val="22"/>
                <w:szCs w:val="22"/>
              </w:rPr>
            </w:pPr>
            <w:r w:rsidRPr="002866AC">
              <w:rPr>
                <w:sz w:val="22"/>
                <w:szCs w:val="22"/>
              </w:rPr>
              <w:t>Sixth</w:t>
            </w:r>
          </w:p>
        </w:tc>
        <w:tc>
          <w:tcPr>
            <w:tcW w:w="1350" w:type="dxa"/>
            <w:shd w:val="clear" w:color="auto" w:fill="D9D9D9" w:themeFill="background1" w:themeFillShade="D9"/>
            <w:tcMar>
              <w:top w:w="43" w:type="dxa"/>
              <w:left w:w="115" w:type="dxa"/>
              <w:bottom w:w="43" w:type="dxa"/>
              <w:right w:w="115" w:type="dxa"/>
            </w:tcMar>
          </w:tcPr>
          <w:p w14:paraId="364DC116" w14:textId="77777777" w:rsidR="00092031" w:rsidRPr="002866AC" w:rsidRDefault="00092031" w:rsidP="00092031">
            <w:pPr>
              <w:rPr>
                <w:sz w:val="22"/>
                <w:szCs w:val="22"/>
              </w:rPr>
            </w:pPr>
            <w:r w:rsidRPr="002866AC">
              <w:rPr>
                <w:sz w:val="22"/>
                <w:szCs w:val="22"/>
              </w:rPr>
              <w:t>Yes</w:t>
            </w:r>
          </w:p>
        </w:tc>
        <w:tc>
          <w:tcPr>
            <w:tcW w:w="3510" w:type="dxa"/>
            <w:shd w:val="clear" w:color="auto" w:fill="D9D9D9" w:themeFill="background1" w:themeFillShade="D9"/>
            <w:tcMar>
              <w:top w:w="43" w:type="dxa"/>
              <w:left w:w="115" w:type="dxa"/>
              <w:bottom w:w="43" w:type="dxa"/>
              <w:right w:w="115" w:type="dxa"/>
            </w:tcMar>
          </w:tcPr>
          <w:p w14:paraId="5FF5399D" w14:textId="77777777" w:rsidR="00092031" w:rsidRPr="002866AC" w:rsidRDefault="00092031" w:rsidP="00092031">
            <w:pPr>
              <w:rPr>
                <w:rFonts w:cs="Times New Roman"/>
                <w:sz w:val="22"/>
                <w:szCs w:val="22"/>
              </w:rPr>
            </w:pPr>
            <w:r w:rsidRPr="002866AC">
              <w:rPr>
                <w:rFonts w:cs="Times New Roman"/>
                <w:sz w:val="22"/>
                <w:szCs w:val="22"/>
              </w:rPr>
              <w:t>Does the remand impose a legal standard that would later be unreviewable?</w:t>
            </w:r>
          </w:p>
          <w:p w14:paraId="5DB026F5" w14:textId="77777777" w:rsidR="00092031" w:rsidRPr="002866AC" w:rsidRDefault="00092031" w:rsidP="00092031">
            <w:pPr>
              <w:rPr>
                <w:rFonts w:cs="Times New Roman"/>
                <w:sz w:val="22"/>
                <w:szCs w:val="22"/>
              </w:rPr>
            </w:pPr>
            <w:r w:rsidRPr="002866AC">
              <w:rPr>
                <w:rFonts w:cs="Times New Roman"/>
                <w:sz w:val="22"/>
                <w:szCs w:val="22"/>
              </w:rPr>
              <w:t>Agency or non-agency appellant?</w:t>
            </w:r>
          </w:p>
        </w:tc>
        <w:tc>
          <w:tcPr>
            <w:tcW w:w="2785" w:type="dxa"/>
            <w:shd w:val="clear" w:color="auto" w:fill="D9D9D9" w:themeFill="background1" w:themeFillShade="D9"/>
            <w:tcMar>
              <w:top w:w="43" w:type="dxa"/>
              <w:left w:w="115" w:type="dxa"/>
              <w:bottom w:w="43" w:type="dxa"/>
              <w:right w:w="115" w:type="dxa"/>
            </w:tcMar>
          </w:tcPr>
          <w:p w14:paraId="49D3668F" w14:textId="77777777" w:rsidR="00092031" w:rsidRPr="002866AC" w:rsidRDefault="00092031" w:rsidP="00092031">
            <w:pPr>
              <w:rPr>
                <w:sz w:val="22"/>
                <w:szCs w:val="22"/>
              </w:rPr>
            </w:pPr>
            <w:r w:rsidRPr="002866AC">
              <w:rPr>
                <w:sz w:val="22"/>
                <w:szCs w:val="22"/>
              </w:rPr>
              <w:t>Probably not</w:t>
            </w:r>
          </w:p>
        </w:tc>
      </w:tr>
      <w:tr w:rsidR="00092031" w:rsidRPr="002866AC" w14:paraId="755B291C" w14:textId="77777777" w:rsidTr="00691CE3">
        <w:tc>
          <w:tcPr>
            <w:tcW w:w="1705" w:type="dxa"/>
            <w:tcMar>
              <w:top w:w="43" w:type="dxa"/>
              <w:left w:w="115" w:type="dxa"/>
              <w:bottom w:w="43" w:type="dxa"/>
              <w:right w:w="115" w:type="dxa"/>
            </w:tcMar>
          </w:tcPr>
          <w:p w14:paraId="334C1735" w14:textId="77777777" w:rsidR="00092031" w:rsidRPr="002866AC" w:rsidRDefault="00092031" w:rsidP="00092031">
            <w:pPr>
              <w:rPr>
                <w:sz w:val="22"/>
                <w:szCs w:val="22"/>
              </w:rPr>
            </w:pPr>
            <w:r w:rsidRPr="002866AC">
              <w:rPr>
                <w:sz w:val="22"/>
                <w:szCs w:val="22"/>
              </w:rPr>
              <w:t>Seventh</w:t>
            </w:r>
          </w:p>
        </w:tc>
        <w:tc>
          <w:tcPr>
            <w:tcW w:w="1350" w:type="dxa"/>
            <w:tcMar>
              <w:top w:w="43" w:type="dxa"/>
              <w:left w:w="115" w:type="dxa"/>
              <w:bottom w:w="43" w:type="dxa"/>
              <w:right w:w="115" w:type="dxa"/>
            </w:tcMar>
          </w:tcPr>
          <w:p w14:paraId="09231AB5" w14:textId="77777777" w:rsidR="00092031" w:rsidRPr="002866AC" w:rsidRDefault="00092031" w:rsidP="00092031">
            <w:pPr>
              <w:rPr>
                <w:sz w:val="22"/>
                <w:szCs w:val="22"/>
              </w:rPr>
            </w:pPr>
            <w:r w:rsidRPr="002866AC">
              <w:rPr>
                <w:sz w:val="22"/>
                <w:szCs w:val="22"/>
              </w:rPr>
              <w:t>No</w:t>
            </w:r>
          </w:p>
        </w:tc>
        <w:tc>
          <w:tcPr>
            <w:tcW w:w="3510" w:type="dxa"/>
            <w:tcMar>
              <w:top w:w="43" w:type="dxa"/>
              <w:left w:w="115" w:type="dxa"/>
              <w:bottom w:w="43" w:type="dxa"/>
              <w:right w:w="115" w:type="dxa"/>
            </w:tcMar>
          </w:tcPr>
          <w:p w14:paraId="22C44C0D" w14:textId="77777777" w:rsidR="00092031" w:rsidRPr="002866AC" w:rsidRDefault="00092031" w:rsidP="00092031">
            <w:pPr>
              <w:rPr>
                <w:sz w:val="22"/>
                <w:szCs w:val="22"/>
              </w:rPr>
            </w:pPr>
            <w:r w:rsidRPr="002866AC">
              <w:rPr>
                <w:sz w:val="22"/>
                <w:szCs w:val="22"/>
              </w:rPr>
              <w:t>Best guess:</w:t>
            </w:r>
          </w:p>
          <w:p w14:paraId="5FA64E56" w14:textId="77777777" w:rsidR="00092031" w:rsidRPr="002866AC" w:rsidRDefault="00092031" w:rsidP="00092031">
            <w:pPr>
              <w:rPr>
                <w:rFonts w:cs="Times New Roman"/>
                <w:sz w:val="22"/>
                <w:szCs w:val="22"/>
              </w:rPr>
            </w:pPr>
            <w:r w:rsidRPr="002866AC">
              <w:rPr>
                <w:rFonts w:cs="Times New Roman"/>
                <w:sz w:val="22"/>
                <w:szCs w:val="22"/>
              </w:rPr>
              <w:t>Is further review precluded without immediate appeal?</w:t>
            </w:r>
          </w:p>
          <w:p w14:paraId="0A181B41" w14:textId="77777777" w:rsidR="00092031" w:rsidRPr="002866AC" w:rsidRDefault="00092031" w:rsidP="00092031">
            <w:pPr>
              <w:rPr>
                <w:rFonts w:cs="Times New Roman"/>
                <w:sz w:val="22"/>
                <w:szCs w:val="22"/>
              </w:rPr>
            </w:pPr>
            <w:r w:rsidRPr="002866AC">
              <w:rPr>
                <w:rFonts w:cs="Times New Roman"/>
                <w:sz w:val="22"/>
                <w:szCs w:val="22"/>
              </w:rPr>
              <w:t>Does the remand effectively terminate the litigation?</w:t>
            </w:r>
          </w:p>
          <w:p w14:paraId="59DA3034" w14:textId="77777777" w:rsidR="00092031" w:rsidRPr="002866AC" w:rsidRDefault="00092031" w:rsidP="00092031">
            <w:pPr>
              <w:rPr>
                <w:rFonts w:cs="Times New Roman"/>
                <w:sz w:val="22"/>
                <w:szCs w:val="22"/>
              </w:rPr>
            </w:pPr>
            <w:r w:rsidRPr="002866AC">
              <w:rPr>
                <w:rFonts w:cs="Times New Roman"/>
                <w:sz w:val="22"/>
                <w:szCs w:val="22"/>
              </w:rPr>
              <w:lastRenderedPageBreak/>
              <w:t>Does the remand leave only ministerial action for the agency?</w:t>
            </w:r>
          </w:p>
        </w:tc>
        <w:tc>
          <w:tcPr>
            <w:tcW w:w="2785" w:type="dxa"/>
            <w:tcMar>
              <w:top w:w="43" w:type="dxa"/>
              <w:left w:w="115" w:type="dxa"/>
              <w:bottom w:w="43" w:type="dxa"/>
              <w:right w:w="115" w:type="dxa"/>
            </w:tcMar>
          </w:tcPr>
          <w:p w14:paraId="22781F72" w14:textId="77777777" w:rsidR="00092031" w:rsidRPr="002866AC" w:rsidRDefault="00092031" w:rsidP="00092031">
            <w:pPr>
              <w:rPr>
                <w:sz w:val="22"/>
                <w:szCs w:val="22"/>
              </w:rPr>
            </w:pPr>
            <w:r w:rsidRPr="002866AC">
              <w:rPr>
                <w:sz w:val="22"/>
                <w:szCs w:val="22"/>
              </w:rPr>
              <w:lastRenderedPageBreak/>
              <w:t>Open question</w:t>
            </w:r>
          </w:p>
        </w:tc>
      </w:tr>
      <w:tr w:rsidR="00092031" w:rsidRPr="002866AC" w14:paraId="6A1FB3F7" w14:textId="77777777" w:rsidTr="00691CE3">
        <w:tc>
          <w:tcPr>
            <w:tcW w:w="1705" w:type="dxa"/>
            <w:shd w:val="clear" w:color="auto" w:fill="D9D9D9" w:themeFill="background1" w:themeFillShade="D9"/>
            <w:tcMar>
              <w:top w:w="43" w:type="dxa"/>
              <w:left w:w="115" w:type="dxa"/>
              <w:bottom w:w="43" w:type="dxa"/>
              <w:right w:w="115" w:type="dxa"/>
            </w:tcMar>
          </w:tcPr>
          <w:p w14:paraId="45450910" w14:textId="77777777" w:rsidR="00092031" w:rsidRPr="002866AC" w:rsidRDefault="00092031" w:rsidP="00092031">
            <w:pPr>
              <w:rPr>
                <w:sz w:val="22"/>
                <w:szCs w:val="22"/>
              </w:rPr>
            </w:pPr>
            <w:r w:rsidRPr="002866AC">
              <w:rPr>
                <w:sz w:val="22"/>
                <w:szCs w:val="22"/>
              </w:rPr>
              <w:t>Eighth</w:t>
            </w:r>
          </w:p>
        </w:tc>
        <w:tc>
          <w:tcPr>
            <w:tcW w:w="1350" w:type="dxa"/>
            <w:shd w:val="clear" w:color="auto" w:fill="D9D9D9" w:themeFill="background1" w:themeFillShade="D9"/>
            <w:tcMar>
              <w:top w:w="43" w:type="dxa"/>
              <w:left w:w="115" w:type="dxa"/>
              <w:bottom w:w="43" w:type="dxa"/>
              <w:right w:w="115" w:type="dxa"/>
            </w:tcMar>
          </w:tcPr>
          <w:p w14:paraId="04798841" w14:textId="77777777" w:rsidR="00092031" w:rsidRPr="002866AC" w:rsidRDefault="00092031" w:rsidP="00092031">
            <w:pPr>
              <w:rPr>
                <w:sz w:val="22"/>
                <w:szCs w:val="22"/>
              </w:rPr>
            </w:pPr>
            <w:r w:rsidRPr="002866AC">
              <w:rPr>
                <w:sz w:val="22"/>
                <w:szCs w:val="22"/>
              </w:rPr>
              <w:t>No</w:t>
            </w:r>
          </w:p>
        </w:tc>
        <w:tc>
          <w:tcPr>
            <w:tcW w:w="3510" w:type="dxa"/>
            <w:shd w:val="clear" w:color="auto" w:fill="D9D9D9" w:themeFill="background1" w:themeFillShade="D9"/>
            <w:tcMar>
              <w:top w:w="43" w:type="dxa"/>
              <w:left w:w="115" w:type="dxa"/>
              <w:bottom w:w="43" w:type="dxa"/>
              <w:right w:w="115" w:type="dxa"/>
            </w:tcMar>
          </w:tcPr>
          <w:p w14:paraId="456CC622" w14:textId="77777777" w:rsidR="00092031" w:rsidRPr="002866AC" w:rsidRDefault="00092031" w:rsidP="00092031">
            <w:pPr>
              <w:rPr>
                <w:sz w:val="22"/>
                <w:szCs w:val="22"/>
              </w:rPr>
            </w:pPr>
            <w:r w:rsidRPr="002866AC">
              <w:rPr>
                <w:sz w:val="22"/>
                <w:szCs w:val="22"/>
              </w:rPr>
              <w:t>Best guess:</w:t>
            </w:r>
          </w:p>
          <w:p w14:paraId="78F9D9BE" w14:textId="77777777" w:rsidR="00092031" w:rsidRPr="002866AC" w:rsidRDefault="00092031" w:rsidP="00092031">
            <w:pPr>
              <w:rPr>
                <w:rFonts w:cs="Times New Roman"/>
                <w:sz w:val="22"/>
                <w:szCs w:val="22"/>
              </w:rPr>
            </w:pPr>
            <w:r w:rsidRPr="002866AC">
              <w:rPr>
                <w:rFonts w:cs="Times New Roman"/>
                <w:sz w:val="22"/>
                <w:szCs w:val="22"/>
              </w:rPr>
              <w:t>Is further review precluded without immediate appeal?</w:t>
            </w:r>
          </w:p>
          <w:p w14:paraId="24235499" w14:textId="77777777" w:rsidR="00092031" w:rsidRPr="002866AC" w:rsidRDefault="00092031" w:rsidP="00092031">
            <w:pPr>
              <w:rPr>
                <w:rFonts w:cs="Times New Roman"/>
                <w:sz w:val="22"/>
                <w:szCs w:val="22"/>
              </w:rPr>
            </w:pPr>
            <w:r w:rsidRPr="002866AC">
              <w:rPr>
                <w:rFonts w:cs="Times New Roman"/>
                <w:sz w:val="22"/>
                <w:szCs w:val="22"/>
              </w:rPr>
              <w:t>Does the remand leave only ministerial action for the agency?</w:t>
            </w:r>
          </w:p>
          <w:p w14:paraId="7A712DBF" w14:textId="77777777" w:rsidR="00092031" w:rsidRPr="002866AC" w:rsidRDefault="00092031" w:rsidP="00092031">
            <w:pPr>
              <w:rPr>
                <w:rFonts w:cs="Times New Roman"/>
                <w:sz w:val="22"/>
                <w:szCs w:val="22"/>
              </w:rPr>
            </w:pPr>
            <w:r w:rsidRPr="002866AC">
              <w:rPr>
                <w:rFonts w:cs="Times New Roman"/>
                <w:sz w:val="22"/>
                <w:szCs w:val="22"/>
              </w:rPr>
              <w:t>Will immediate review yield judicial efficiency gains?</w:t>
            </w:r>
          </w:p>
        </w:tc>
        <w:tc>
          <w:tcPr>
            <w:tcW w:w="2785" w:type="dxa"/>
            <w:shd w:val="clear" w:color="auto" w:fill="D9D9D9" w:themeFill="background1" w:themeFillShade="D9"/>
            <w:tcMar>
              <w:top w:w="43" w:type="dxa"/>
              <w:left w:w="115" w:type="dxa"/>
              <w:bottom w:w="43" w:type="dxa"/>
              <w:right w:w="115" w:type="dxa"/>
            </w:tcMar>
          </w:tcPr>
          <w:p w14:paraId="62F4F31E" w14:textId="77777777" w:rsidR="00092031" w:rsidRPr="002866AC" w:rsidRDefault="00092031" w:rsidP="00092031">
            <w:pPr>
              <w:rPr>
                <w:sz w:val="22"/>
                <w:szCs w:val="22"/>
              </w:rPr>
            </w:pPr>
            <w:r w:rsidRPr="002866AC">
              <w:rPr>
                <w:sz w:val="22"/>
                <w:szCs w:val="22"/>
              </w:rPr>
              <w:t>Probably not</w:t>
            </w:r>
          </w:p>
        </w:tc>
      </w:tr>
      <w:tr w:rsidR="00092031" w:rsidRPr="002866AC" w14:paraId="1EDBFC26" w14:textId="77777777" w:rsidTr="00691CE3">
        <w:tc>
          <w:tcPr>
            <w:tcW w:w="1705" w:type="dxa"/>
            <w:tcMar>
              <w:top w:w="43" w:type="dxa"/>
              <w:left w:w="115" w:type="dxa"/>
              <w:bottom w:w="43" w:type="dxa"/>
              <w:right w:w="115" w:type="dxa"/>
            </w:tcMar>
          </w:tcPr>
          <w:p w14:paraId="5D48046A" w14:textId="77777777" w:rsidR="00092031" w:rsidRPr="002866AC" w:rsidRDefault="00092031" w:rsidP="00092031">
            <w:pPr>
              <w:rPr>
                <w:sz w:val="22"/>
                <w:szCs w:val="22"/>
              </w:rPr>
            </w:pPr>
            <w:r w:rsidRPr="002866AC">
              <w:rPr>
                <w:sz w:val="22"/>
                <w:szCs w:val="22"/>
              </w:rPr>
              <w:t>Ninth</w:t>
            </w:r>
          </w:p>
        </w:tc>
        <w:tc>
          <w:tcPr>
            <w:tcW w:w="1350" w:type="dxa"/>
            <w:tcMar>
              <w:top w:w="43" w:type="dxa"/>
              <w:left w:w="115" w:type="dxa"/>
              <w:bottom w:w="43" w:type="dxa"/>
              <w:right w:w="115" w:type="dxa"/>
            </w:tcMar>
          </w:tcPr>
          <w:p w14:paraId="2EDE2FC0" w14:textId="77777777" w:rsidR="00092031" w:rsidRPr="002866AC" w:rsidRDefault="00092031" w:rsidP="00092031">
            <w:pPr>
              <w:rPr>
                <w:sz w:val="22"/>
                <w:szCs w:val="22"/>
              </w:rPr>
            </w:pPr>
            <w:r w:rsidRPr="002866AC">
              <w:rPr>
                <w:sz w:val="22"/>
                <w:szCs w:val="22"/>
              </w:rPr>
              <w:t>Yes</w:t>
            </w:r>
          </w:p>
        </w:tc>
        <w:tc>
          <w:tcPr>
            <w:tcW w:w="3510" w:type="dxa"/>
            <w:tcMar>
              <w:top w:w="43" w:type="dxa"/>
              <w:left w:w="115" w:type="dxa"/>
              <w:bottom w:w="43" w:type="dxa"/>
              <w:right w:w="115" w:type="dxa"/>
            </w:tcMar>
          </w:tcPr>
          <w:p w14:paraId="1CDA990A" w14:textId="77777777" w:rsidR="00092031" w:rsidRPr="002866AC" w:rsidRDefault="00092031" w:rsidP="00092031">
            <w:pPr>
              <w:rPr>
                <w:rFonts w:cs="Times New Roman"/>
                <w:sz w:val="22"/>
                <w:szCs w:val="22"/>
              </w:rPr>
            </w:pPr>
            <w:r w:rsidRPr="002866AC">
              <w:rPr>
                <w:rFonts w:cs="Times New Roman"/>
                <w:sz w:val="22"/>
                <w:szCs w:val="22"/>
              </w:rPr>
              <w:t>Does the remand conclusively resolve a separable legal issue?</w:t>
            </w:r>
          </w:p>
          <w:p w14:paraId="092DE8A2" w14:textId="77777777" w:rsidR="00092031" w:rsidRPr="002866AC" w:rsidRDefault="00092031" w:rsidP="00092031">
            <w:pPr>
              <w:rPr>
                <w:rFonts w:cs="Times New Roman"/>
                <w:sz w:val="22"/>
                <w:szCs w:val="22"/>
              </w:rPr>
            </w:pPr>
            <w:r w:rsidRPr="002866AC">
              <w:rPr>
                <w:rFonts w:cs="Times New Roman"/>
                <w:sz w:val="22"/>
                <w:szCs w:val="22"/>
              </w:rPr>
              <w:t>Does the remand force the agency to apply a potentially erroneous rule that may result in a wasted proceeding?</w:t>
            </w:r>
          </w:p>
          <w:p w14:paraId="414233B7" w14:textId="77777777" w:rsidR="00092031" w:rsidRPr="002866AC" w:rsidRDefault="00092031" w:rsidP="00092031">
            <w:pPr>
              <w:rPr>
                <w:rFonts w:cs="Times New Roman"/>
                <w:sz w:val="22"/>
                <w:szCs w:val="22"/>
              </w:rPr>
            </w:pPr>
            <w:r w:rsidRPr="002866AC">
              <w:rPr>
                <w:rFonts w:cs="Times New Roman"/>
                <w:sz w:val="22"/>
                <w:szCs w:val="22"/>
              </w:rPr>
              <w:t>Is further review precluded without immediate appeal?</w:t>
            </w:r>
          </w:p>
        </w:tc>
        <w:tc>
          <w:tcPr>
            <w:tcW w:w="2785" w:type="dxa"/>
            <w:tcMar>
              <w:top w:w="43" w:type="dxa"/>
              <w:left w:w="115" w:type="dxa"/>
              <w:bottom w:w="43" w:type="dxa"/>
              <w:right w:w="115" w:type="dxa"/>
            </w:tcMar>
          </w:tcPr>
          <w:p w14:paraId="23C6DB68" w14:textId="77777777" w:rsidR="00092031" w:rsidRPr="002866AC" w:rsidRDefault="00092031" w:rsidP="00092031">
            <w:pPr>
              <w:rPr>
                <w:sz w:val="22"/>
                <w:szCs w:val="22"/>
              </w:rPr>
            </w:pPr>
            <w:r w:rsidRPr="002866AC">
              <w:rPr>
                <w:sz w:val="22"/>
                <w:szCs w:val="22"/>
              </w:rPr>
              <w:t>Yes (best chance)</w:t>
            </w:r>
          </w:p>
        </w:tc>
      </w:tr>
      <w:tr w:rsidR="00092031" w:rsidRPr="002866AC" w14:paraId="17896F18" w14:textId="77777777" w:rsidTr="00691CE3">
        <w:tc>
          <w:tcPr>
            <w:tcW w:w="1705" w:type="dxa"/>
            <w:tcBorders>
              <w:bottom w:val="single" w:sz="4" w:space="0" w:color="auto"/>
            </w:tcBorders>
            <w:shd w:val="clear" w:color="auto" w:fill="D9D9D9" w:themeFill="background1" w:themeFillShade="D9"/>
            <w:tcMar>
              <w:top w:w="43" w:type="dxa"/>
              <w:left w:w="115" w:type="dxa"/>
              <w:bottom w:w="43" w:type="dxa"/>
              <w:right w:w="115" w:type="dxa"/>
            </w:tcMar>
          </w:tcPr>
          <w:p w14:paraId="78650FB3" w14:textId="77777777" w:rsidR="00092031" w:rsidRPr="002866AC" w:rsidRDefault="00092031" w:rsidP="00092031">
            <w:pPr>
              <w:rPr>
                <w:sz w:val="22"/>
                <w:szCs w:val="22"/>
              </w:rPr>
            </w:pPr>
            <w:r w:rsidRPr="002866AC">
              <w:rPr>
                <w:sz w:val="22"/>
                <w:szCs w:val="22"/>
              </w:rPr>
              <w:t>Tenth</w:t>
            </w:r>
          </w:p>
        </w:tc>
        <w:tc>
          <w:tcPr>
            <w:tcW w:w="1350" w:type="dxa"/>
            <w:tcBorders>
              <w:bottom w:val="single" w:sz="4" w:space="0" w:color="auto"/>
            </w:tcBorders>
            <w:shd w:val="clear" w:color="auto" w:fill="D9D9D9" w:themeFill="background1" w:themeFillShade="D9"/>
            <w:tcMar>
              <w:top w:w="43" w:type="dxa"/>
              <w:left w:w="115" w:type="dxa"/>
              <w:bottom w:w="43" w:type="dxa"/>
              <w:right w:w="115" w:type="dxa"/>
            </w:tcMar>
          </w:tcPr>
          <w:p w14:paraId="58183452" w14:textId="77777777" w:rsidR="00092031" w:rsidRPr="002866AC" w:rsidRDefault="00092031" w:rsidP="00092031">
            <w:pPr>
              <w:rPr>
                <w:sz w:val="22"/>
                <w:szCs w:val="22"/>
              </w:rPr>
            </w:pPr>
            <w:r w:rsidRPr="002866AC">
              <w:rPr>
                <w:sz w:val="22"/>
                <w:szCs w:val="22"/>
              </w:rPr>
              <w:t>Yes</w:t>
            </w:r>
          </w:p>
        </w:tc>
        <w:tc>
          <w:tcPr>
            <w:tcW w:w="3510" w:type="dxa"/>
            <w:tcBorders>
              <w:bottom w:val="single" w:sz="4" w:space="0" w:color="auto"/>
            </w:tcBorders>
            <w:shd w:val="clear" w:color="auto" w:fill="D9D9D9" w:themeFill="background1" w:themeFillShade="D9"/>
            <w:tcMar>
              <w:top w:w="43" w:type="dxa"/>
              <w:left w:w="115" w:type="dxa"/>
              <w:bottom w:w="43" w:type="dxa"/>
              <w:right w:w="115" w:type="dxa"/>
            </w:tcMar>
          </w:tcPr>
          <w:p w14:paraId="339C1604" w14:textId="77777777" w:rsidR="00092031" w:rsidRPr="002866AC" w:rsidRDefault="00092031" w:rsidP="00092031">
            <w:pPr>
              <w:rPr>
                <w:rFonts w:cs="Times New Roman"/>
                <w:sz w:val="22"/>
                <w:szCs w:val="22"/>
              </w:rPr>
            </w:pPr>
            <w:r w:rsidRPr="002866AC">
              <w:rPr>
                <w:rFonts w:cs="Times New Roman"/>
                <w:sz w:val="22"/>
                <w:szCs w:val="22"/>
              </w:rPr>
              <w:t>Is the challenged agency decision adjudicative versus legislative or adversarial?</w:t>
            </w:r>
          </w:p>
          <w:p w14:paraId="06056455" w14:textId="77777777" w:rsidR="00092031" w:rsidRPr="002866AC" w:rsidRDefault="00092031" w:rsidP="00092031">
            <w:pPr>
              <w:rPr>
                <w:rFonts w:cs="Times New Roman"/>
                <w:sz w:val="22"/>
                <w:szCs w:val="22"/>
              </w:rPr>
            </w:pPr>
            <w:r w:rsidRPr="002866AC">
              <w:rPr>
                <w:rFonts w:cs="Times New Roman"/>
                <w:sz w:val="22"/>
                <w:szCs w:val="22"/>
              </w:rPr>
              <w:lastRenderedPageBreak/>
              <w:t>Is the issue on appeal important?</w:t>
            </w:r>
          </w:p>
          <w:p w14:paraId="17E6D24B" w14:textId="77777777" w:rsidR="00092031" w:rsidRPr="002866AC" w:rsidRDefault="00092031" w:rsidP="00092031">
            <w:pPr>
              <w:rPr>
                <w:rFonts w:cs="Times New Roman"/>
                <w:sz w:val="22"/>
                <w:szCs w:val="22"/>
              </w:rPr>
            </w:pPr>
            <w:r w:rsidRPr="002866AC">
              <w:rPr>
                <w:rFonts w:cs="Times New Roman"/>
                <w:sz w:val="22"/>
                <w:szCs w:val="22"/>
              </w:rPr>
              <w:t>Is review urgent?</w:t>
            </w:r>
          </w:p>
          <w:p w14:paraId="0D1E50AE" w14:textId="77777777" w:rsidR="00092031" w:rsidRPr="002866AC" w:rsidRDefault="00092031" w:rsidP="00092031">
            <w:pPr>
              <w:rPr>
                <w:rFonts w:cs="Times New Roman"/>
                <w:sz w:val="22"/>
                <w:szCs w:val="22"/>
              </w:rPr>
            </w:pPr>
            <w:r w:rsidRPr="002866AC">
              <w:rPr>
                <w:rFonts w:cs="Times New Roman"/>
                <w:sz w:val="22"/>
                <w:szCs w:val="22"/>
              </w:rPr>
              <w:t>If yes to all of the above, does the injustice of delayed review outweigh the costs of piecemeal review?</w:t>
            </w:r>
          </w:p>
        </w:tc>
        <w:tc>
          <w:tcPr>
            <w:tcW w:w="2785" w:type="dxa"/>
            <w:tcBorders>
              <w:bottom w:val="single" w:sz="4" w:space="0" w:color="auto"/>
            </w:tcBorders>
            <w:shd w:val="clear" w:color="auto" w:fill="D9D9D9" w:themeFill="background1" w:themeFillShade="D9"/>
            <w:tcMar>
              <w:top w:w="43" w:type="dxa"/>
              <w:left w:w="115" w:type="dxa"/>
              <w:bottom w:w="43" w:type="dxa"/>
              <w:right w:w="115" w:type="dxa"/>
            </w:tcMar>
          </w:tcPr>
          <w:p w14:paraId="5F09D6FC" w14:textId="77777777" w:rsidR="00092031" w:rsidRPr="002866AC" w:rsidRDefault="00092031" w:rsidP="00092031">
            <w:pPr>
              <w:rPr>
                <w:sz w:val="22"/>
                <w:szCs w:val="22"/>
              </w:rPr>
            </w:pPr>
            <w:r w:rsidRPr="002866AC">
              <w:rPr>
                <w:sz w:val="22"/>
                <w:szCs w:val="22"/>
              </w:rPr>
              <w:lastRenderedPageBreak/>
              <w:t>Yes (but only occasionally)</w:t>
            </w:r>
          </w:p>
        </w:tc>
      </w:tr>
      <w:tr w:rsidR="00092031" w:rsidRPr="002866AC" w14:paraId="633DCD89" w14:textId="77777777" w:rsidTr="00691CE3">
        <w:tc>
          <w:tcPr>
            <w:tcW w:w="1705" w:type="dxa"/>
            <w:tcBorders>
              <w:bottom w:val="single" w:sz="18" w:space="0" w:color="auto"/>
            </w:tcBorders>
            <w:tcMar>
              <w:top w:w="43" w:type="dxa"/>
              <w:left w:w="115" w:type="dxa"/>
              <w:bottom w:w="43" w:type="dxa"/>
              <w:right w:w="115" w:type="dxa"/>
            </w:tcMar>
          </w:tcPr>
          <w:p w14:paraId="0E77B4A1" w14:textId="77777777" w:rsidR="00092031" w:rsidRPr="002866AC" w:rsidRDefault="00092031" w:rsidP="00092031">
            <w:pPr>
              <w:rPr>
                <w:sz w:val="22"/>
                <w:szCs w:val="22"/>
              </w:rPr>
            </w:pPr>
            <w:r w:rsidRPr="002866AC">
              <w:rPr>
                <w:sz w:val="22"/>
                <w:szCs w:val="22"/>
              </w:rPr>
              <w:t>Eleventh</w:t>
            </w:r>
          </w:p>
        </w:tc>
        <w:tc>
          <w:tcPr>
            <w:tcW w:w="1350" w:type="dxa"/>
            <w:tcBorders>
              <w:bottom w:val="single" w:sz="18" w:space="0" w:color="auto"/>
            </w:tcBorders>
            <w:tcMar>
              <w:top w:w="43" w:type="dxa"/>
              <w:left w:w="115" w:type="dxa"/>
              <w:bottom w:w="43" w:type="dxa"/>
              <w:right w:w="115" w:type="dxa"/>
            </w:tcMar>
          </w:tcPr>
          <w:p w14:paraId="21592DDA" w14:textId="77777777" w:rsidR="00092031" w:rsidRPr="002866AC" w:rsidRDefault="00092031" w:rsidP="00092031">
            <w:pPr>
              <w:rPr>
                <w:sz w:val="22"/>
                <w:szCs w:val="22"/>
              </w:rPr>
            </w:pPr>
            <w:r w:rsidRPr="002866AC">
              <w:rPr>
                <w:sz w:val="22"/>
                <w:szCs w:val="22"/>
              </w:rPr>
              <w:t>Yes</w:t>
            </w:r>
          </w:p>
        </w:tc>
        <w:tc>
          <w:tcPr>
            <w:tcW w:w="3510" w:type="dxa"/>
            <w:tcBorders>
              <w:bottom w:val="single" w:sz="18" w:space="0" w:color="auto"/>
            </w:tcBorders>
            <w:tcMar>
              <w:top w:w="43" w:type="dxa"/>
              <w:left w:w="115" w:type="dxa"/>
              <w:bottom w:w="43" w:type="dxa"/>
              <w:right w:w="115" w:type="dxa"/>
            </w:tcMar>
          </w:tcPr>
          <w:p w14:paraId="7540C1DC" w14:textId="77777777" w:rsidR="00092031" w:rsidRPr="002866AC" w:rsidRDefault="00092031" w:rsidP="00092031">
            <w:pPr>
              <w:rPr>
                <w:rFonts w:cs="Times New Roman"/>
                <w:sz w:val="22"/>
                <w:szCs w:val="22"/>
              </w:rPr>
            </w:pPr>
            <w:r w:rsidRPr="002866AC">
              <w:rPr>
                <w:rFonts w:cs="Times New Roman"/>
                <w:sz w:val="22"/>
                <w:szCs w:val="22"/>
              </w:rPr>
              <w:t>Does the remand impose a legal standard or simply require further factfinding?</w:t>
            </w:r>
          </w:p>
          <w:p w14:paraId="505A0191" w14:textId="77777777" w:rsidR="00092031" w:rsidRPr="002866AC" w:rsidRDefault="00092031" w:rsidP="00092031">
            <w:pPr>
              <w:rPr>
                <w:rFonts w:cs="Times New Roman"/>
                <w:sz w:val="22"/>
                <w:szCs w:val="22"/>
              </w:rPr>
            </w:pPr>
            <w:r w:rsidRPr="002866AC">
              <w:rPr>
                <w:rFonts w:cs="Times New Roman"/>
                <w:sz w:val="22"/>
                <w:szCs w:val="22"/>
              </w:rPr>
              <w:t>Is further review precluded without immediate appeal?</w:t>
            </w:r>
          </w:p>
        </w:tc>
        <w:tc>
          <w:tcPr>
            <w:tcW w:w="2785" w:type="dxa"/>
            <w:tcBorders>
              <w:bottom w:val="single" w:sz="18" w:space="0" w:color="auto"/>
            </w:tcBorders>
            <w:tcMar>
              <w:top w:w="43" w:type="dxa"/>
              <w:left w:w="115" w:type="dxa"/>
              <w:bottom w:w="43" w:type="dxa"/>
              <w:right w:w="115" w:type="dxa"/>
            </w:tcMar>
          </w:tcPr>
          <w:p w14:paraId="27FB000D" w14:textId="77777777" w:rsidR="00092031" w:rsidRPr="002866AC" w:rsidRDefault="00092031" w:rsidP="00092031">
            <w:pPr>
              <w:rPr>
                <w:sz w:val="22"/>
                <w:szCs w:val="22"/>
              </w:rPr>
            </w:pPr>
            <w:r w:rsidRPr="002866AC">
              <w:rPr>
                <w:sz w:val="22"/>
                <w:szCs w:val="22"/>
              </w:rPr>
              <w:t>No</w:t>
            </w:r>
          </w:p>
        </w:tc>
      </w:tr>
    </w:tbl>
    <w:p w14:paraId="5502E04D" w14:textId="77777777" w:rsidR="00092031" w:rsidRPr="002866AC" w:rsidRDefault="00092031" w:rsidP="00092031"/>
    <w:p w14:paraId="6A63DA83" w14:textId="77777777" w:rsidR="00092031" w:rsidRPr="002866AC" w:rsidRDefault="00092031" w:rsidP="008A045A">
      <w:pPr>
        <w:pStyle w:val="Heading5"/>
      </w:pPr>
      <w:bookmarkStart w:id="57" w:name="_Toc212214160"/>
      <w:r w:rsidRPr="002866AC">
        <w:t>Summary</w:t>
      </w:r>
      <w:bookmarkEnd w:id="57"/>
    </w:p>
    <w:p w14:paraId="13C2CD0D" w14:textId="77777777" w:rsidR="00092031" w:rsidRPr="002866AC" w:rsidRDefault="00092031" w:rsidP="00092031"/>
    <w:p w14:paraId="3341300F" w14:textId="77777777" w:rsidR="00092031" w:rsidRDefault="00092031" w:rsidP="00092031">
      <w:r w:rsidRPr="002866AC">
        <w:t xml:space="preserve">To sum up the Subparts above, and to surface some of the observations that lurk deep within the Mariana Trench of footnotes, the circuits have very different tests for determining when a remand under the APA is appealable and by whom. There is not one administrative-remand rule, but twelve or thirteen. Some circuits have no real test at all, some have tests that are only half-formed, and some have complex, multi-factorial tests. Regardless of the test (or lack thereof), qualifiers like “usually” and “typically” are necessary, which is a sign of just how squishy these tests are. </w:t>
      </w:r>
    </w:p>
    <w:p w14:paraId="02FFF70F" w14:textId="77777777" w:rsidR="008A045A" w:rsidRPr="002866AC" w:rsidRDefault="008A045A" w:rsidP="00092031"/>
    <w:p w14:paraId="66DD7C19" w14:textId="77777777" w:rsidR="00092031" w:rsidRDefault="00092031" w:rsidP="00092031">
      <w:r w:rsidRPr="002866AC">
        <w:t>At the same time, for all their differences, the circuits generally reach similar decisions in similar circumstances. Whether under the Third Circuit’s straightforward application of the collateral-order doctrine or the Tenth Circuit’s multi-step, multi-factor test, an agency may appeal a remand while a non-agency party usually may not.</w:t>
      </w:r>
      <w:bookmarkStart w:id="58" w:name="_Ref211359899"/>
      <w:r w:rsidRPr="002866AC">
        <w:rPr>
          <w:rStyle w:val="FootnoteReference"/>
        </w:rPr>
        <w:footnoteReference w:id="184"/>
      </w:r>
      <w:bookmarkEnd w:id="58"/>
      <w:r w:rsidRPr="002866AC">
        <w:t xml:space="preserve"> The circuits are especially consistent in rejecting </w:t>
      </w:r>
      <w:r w:rsidRPr="002866AC">
        <w:lastRenderedPageBreak/>
        <w:t>appeals of remands by intervenor-defendants,</w:t>
      </w:r>
      <w:bookmarkStart w:id="59" w:name="_Ref211360521"/>
      <w:r w:rsidRPr="002866AC">
        <w:rPr>
          <w:rStyle w:val="FootnoteReference"/>
        </w:rPr>
        <w:footnoteReference w:id="185"/>
      </w:r>
      <w:bookmarkEnd w:id="59"/>
      <w:r w:rsidRPr="002866AC">
        <w:t xml:space="preserve"> except where the agency also appeals.</w:t>
      </w:r>
      <w:bookmarkStart w:id="60" w:name="_Ref211359907"/>
      <w:r w:rsidRPr="002866AC">
        <w:rPr>
          <w:rStyle w:val="FootnoteReference"/>
        </w:rPr>
        <w:footnoteReference w:id="186"/>
      </w:r>
      <w:bookmarkEnd w:id="60"/>
      <w:r w:rsidRPr="002866AC">
        <w:t xml:space="preserve"> </w:t>
      </w:r>
    </w:p>
    <w:p w14:paraId="7A5C930D" w14:textId="77777777" w:rsidR="008A045A" w:rsidRPr="002866AC" w:rsidRDefault="008A045A" w:rsidP="00092031"/>
    <w:p w14:paraId="59EEC451" w14:textId="77777777" w:rsidR="00092031" w:rsidRDefault="00092031" w:rsidP="00092031">
      <w:r w:rsidRPr="002866AC">
        <w:t>The biggest difference is whether non-agency parties, especially plaintiffs, may appeal a remand. While even the Ninth Circuit consistently avows that appeals of remands are for agencies alone,</w:t>
      </w:r>
      <w:bookmarkStart w:id="61" w:name="_Ref211359924"/>
      <w:r w:rsidRPr="002866AC">
        <w:rPr>
          <w:rStyle w:val="FootnoteReference"/>
        </w:rPr>
        <w:footnoteReference w:id="187"/>
      </w:r>
      <w:bookmarkEnd w:id="61"/>
      <w:r w:rsidRPr="002866AC">
        <w:t xml:space="preserve"> that isn’t true. A plaintiff’s chances of being able to appeal a remand vary significantly according to circuit, from decent (D.C., First, Ninth Circuits) to slim (Federal, Tenth Circuits) to unknown but theoretically possible (Second, Fourth, Fifth, Seventh Circuits) to practically or entirely hopeless (Third, Sixth, Eighth, Eleventh Circuits). Where circuit courts permit appeals by plaintiffs, one or both of two things tend to be true: (1) the plaintiff faces at least some prospect of being unable to review the remand, or the issue(s) underlying it, following a final judgment, and/or (2) the agency simply needs to perform some discrete task on remand, which renders the remand “final” because it effectively terminates the litigation.</w:t>
      </w:r>
      <w:bookmarkStart w:id="62" w:name="_Ref211359939"/>
      <w:r w:rsidRPr="002866AC">
        <w:rPr>
          <w:rStyle w:val="FootnoteReference"/>
        </w:rPr>
        <w:footnoteReference w:id="188"/>
      </w:r>
      <w:bookmarkEnd w:id="62"/>
      <w:r w:rsidRPr="002866AC">
        <w:t xml:space="preserve"> </w:t>
      </w:r>
    </w:p>
    <w:p w14:paraId="3FDA899B" w14:textId="77777777" w:rsidR="008A045A" w:rsidRPr="002866AC" w:rsidRDefault="008A045A" w:rsidP="00092031"/>
    <w:p w14:paraId="37EE2D38" w14:textId="77777777" w:rsidR="00092031" w:rsidRDefault="00092031" w:rsidP="00092031">
      <w:r w:rsidRPr="002866AC">
        <w:t>By now you know what’s coming: There is nuance to these nuances, most commonly in the Ninth Circuit.</w:t>
      </w:r>
      <w:r w:rsidRPr="002866AC">
        <w:rPr>
          <w:rStyle w:val="FootnoteReference"/>
        </w:rPr>
        <w:footnoteReference w:id="189"/>
      </w:r>
      <w:r w:rsidRPr="002866AC">
        <w:t xml:space="preserve"> In at least three cases the Ninth Circuit has </w:t>
      </w:r>
      <w:r w:rsidRPr="002866AC">
        <w:lastRenderedPageBreak/>
        <w:t>allowed an appeal by a plaintiff without addressing the first criterion (</w:t>
      </w:r>
      <w:proofErr w:type="spellStart"/>
      <w:r w:rsidRPr="002866AC">
        <w:t>unreviewability</w:t>
      </w:r>
      <w:proofErr w:type="spellEnd"/>
      <w:r w:rsidRPr="002866AC">
        <w:t>),</w:t>
      </w:r>
      <w:r w:rsidRPr="002866AC">
        <w:rPr>
          <w:rStyle w:val="FootnoteReference"/>
        </w:rPr>
        <w:footnoteReference w:id="190"/>
      </w:r>
      <w:r w:rsidRPr="002866AC">
        <w:t xml:space="preserve"> and in another admitted it was not met.</w:t>
      </w:r>
      <w:r w:rsidRPr="002866AC">
        <w:rPr>
          <w:rStyle w:val="FootnoteReference"/>
        </w:rPr>
        <w:footnoteReference w:id="191"/>
      </w:r>
      <w:r w:rsidRPr="002866AC">
        <w:t xml:space="preserve"> As to the second criterion (ministerial remand/finality), it is largely a guessing game; “[l]</w:t>
      </w:r>
      <w:proofErr w:type="spellStart"/>
      <w:r w:rsidRPr="002866AC">
        <w:t>itigants</w:t>
      </w:r>
      <w:proofErr w:type="spellEnd"/>
      <w:r w:rsidRPr="002866AC">
        <w:t xml:space="preserve"> often don’t know whether the remand is final until the court of appeals tells them as much.”</w:t>
      </w:r>
      <w:r w:rsidRPr="002866AC">
        <w:rPr>
          <w:rStyle w:val="FootnoteReference"/>
        </w:rPr>
        <w:footnoteReference w:id="192"/>
      </w:r>
      <w:r w:rsidRPr="002866AC">
        <w:t xml:space="preserve"> The cases therefore reveal “the confusion that sometimes arises in determining when the end of district court proceedings is a final decision.”</w:t>
      </w:r>
      <w:bookmarkStart w:id="63" w:name="_Ref211359085"/>
      <w:r w:rsidRPr="002866AC">
        <w:rPr>
          <w:rStyle w:val="FootnoteReference"/>
        </w:rPr>
        <w:footnoteReference w:id="193"/>
      </w:r>
      <w:bookmarkEnd w:id="63"/>
      <w:r w:rsidRPr="002866AC">
        <w:t xml:space="preserve"> In short, there is coherence to the circuits’ treatment of appeals of remands by plaintiffs but, like a nice Seurat, one has to view the case law from some distance to see it. </w:t>
      </w:r>
    </w:p>
    <w:p w14:paraId="43C19B93" w14:textId="77777777" w:rsidR="008A045A" w:rsidRPr="002866AC" w:rsidRDefault="008A045A" w:rsidP="00092031"/>
    <w:p w14:paraId="4749965C" w14:textId="77777777" w:rsidR="00092031" w:rsidRPr="002866AC" w:rsidRDefault="00092031" w:rsidP="00092031">
      <w:r w:rsidRPr="002866AC">
        <w:t xml:space="preserve">Finally, we see that, just as the circuits apply different tests for assessing the finality of administrative-agency remands, different panels within the same circuit apply a particular test to different ends. As just one example of the several I discuss in Part II below, in 2006, the Ninth Circuit applied its administrative-remand rule to bar an appeal by the plaintiffs in </w:t>
      </w:r>
      <w:r w:rsidRPr="002866AC">
        <w:rPr>
          <w:i/>
          <w:iCs/>
        </w:rPr>
        <w:t>Friends of Hope Valley</w:t>
      </w:r>
      <w:r w:rsidRPr="002866AC">
        <w:t xml:space="preserve"> but bent the rule to allow appeals by similar plaintiffs in subsequent similar cases.</w:t>
      </w:r>
      <w:bookmarkStart w:id="64" w:name="_Ref211359105"/>
      <w:r w:rsidRPr="002866AC">
        <w:rPr>
          <w:rStyle w:val="FootnoteReference"/>
        </w:rPr>
        <w:footnoteReference w:id="194"/>
      </w:r>
      <w:bookmarkEnd w:id="64"/>
      <w:r w:rsidRPr="002866AC">
        <w:t xml:space="preserve"> The same is true in other circuits.</w:t>
      </w:r>
      <w:bookmarkStart w:id="65" w:name="_Ref211359114"/>
      <w:r w:rsidRPr="002866AC">
        <w:rPr>
          <w:rStyle w:val="FootnoteReference"/>
        </w:rPr>
        <w:footnoteReference w:id="195"/>
      </w:r>
      <w:bookmarkEnd w:id="65"/>
      <w:r w:rsidRPr="002866AC">
        <w:t xml:space="preserve"> </w:t>
      </w:r>
    </w:p>
    <w:p w14:paraId="6D1A192B" w14:textId="77777777" w:rsidR="00092031" w:rsidRPr="002866AC" w:rsidRDefault="00092031" w:rsidP="00092031"/>
    <w:p w14:paraId="1D4466FB" w14:textId="77777777" w:rsidR="00092031" w:rsidRPr="002866AC" w:rsidRDefault="00092031" w:rsidP="008A045A">
      <w:pPr>
        <w:pStyle w:val="Heading4"/>
      </w:pPr>
      <w:bookmarkStart w:id="66" w:name="_Toc212214161"/>
      <w:r w:rsidRPr="002866AC">
        <w:t>Why the Circuits’ Divergent Tests?</w:t>
      </w:r>
      <w:bookmarkEnd w:id="66"/>
    </w:p>
    <w:p w14:paraId="642F7549" w14:textId="77777777" w:rsidR="00092031" w:rsidRPr="002866AC" w:rsidRDefault="00092031" w:rsidP="00092031">
      <w:pPr>
        <w:rPr>
          <w:rFonts w:cs="Times New Roman"/>
          <w:b/>
          <w:bCs/>
        </w:rPr>
      </w:pPr>
    </w:p>
    <w:p w14:paraId="0BB36403" w14:textId="77777777" w:rsidR="00092031" w:rsidRDefault="00092031" w:rsidP="00092031">
      <w:r w:rsidRPr="002866AC">
        <w:t xml:space="preserve">We have covered how, in the 35 years since </w:t>
      </w:r>
      <w:r w:rsidRPr="002866AC">
        <w:rPr>
          <w:i/>
          <w:iCs/>
        </w:rPr>
        <w:t>Finkelstein</w:t>
      </w:r>
      <w:r w:rsidRPr="002866AC">
        <w:t xml:space="preserve"> was decided, the circuit courts have complicated an otherwise simple administrative-remand rule. But we have not yet covered </w:t>
      </w:r>
      <w:r w:rsidRPr="002866AC">
        <w:rPr>
          <w:i/>
          <w:iCs/>
        </w:rPr>
        <w:t>why</w:t>
      </w:r>
      <w:r w:rsidRPr="002866AC">
        <w:t xml:space="preserve"> they did so. Two reasons are obvious. First, case-by-case adjudication under a statute like the APA is inherently iterative and </w:t>
      </w:r>
      <w:r w:rsidRPr="002866AC">
        <w:lastRenderedPageBreak/>
        <w:t>non-linear.</w:t>
      </w:r>
      <w:r w:rsidRPr="002866AC">
        <w:rPr>
          <w:rStyle w:val="FootnoteReference"/>
        </w:rPr>
        <w:footnoteReference w:id="196"/>
      </w:r>
      <w:r w:rsidRPr="002866AC">
        <w:t xml:space="preserve"> Second, we return to a fundamental truth about judges: They do not like to be told which cases they can and cannot hear.</w:t>
      </w:r>
      <w:r w:rsidRPr="002866AC">
        <w:rPr>
          <w:rStyle w:val="FootnoteReference"/>
        </w:rPr>
        <w:footnoteReference w:id="197"/>
      </w:r>
      <w:r w:rsidRPr="002866AC">
        <w:t xml:space="preserve"> And finality, despite its age-old and repeatedly delineated boundaries, is especially fertile ground for prudential resourcefulness.</w:t>
      </w:r>
      <w:r w:rsidRPr="002866AC">
        <w:rPr>
          <w:rStyle w:val="FootnoteReference"/>
        </w:rPr>
        <w:footnoteReference w:id="198"/>
      </w:r>
      <w:r w:rsidRPr="002866AC">
        <w:t xml:space="preserve"> </w:t>
      </w:r>
    </w:p>
    <w:p w14:paraId="6CE13D73" w14:textId="77777777" w:rsidR="008A045A" w:rsidRPr="002866AC" w:rsidRDefault="008A045A" w:rsidP="00092031"/>
    <w:p w14:paraId="7C108F8B" w14:textId="77777777" w:rsidR="00092031" w:rsidRDefault="00092031" w:rsidP="00092031">
      <w:r w:rsidRPr="002866AC">
        <w:t>There are other, perhaps less obvious reasons. One might be judicial discomfort over the “asymmetry” between parties who traditionally can appeal remands (agencies) and those who cannot (everyone else).</w:t>
      </w:r>
      <w:r w:rsidRPr="002866AC">
        <w:rPr>
          <w:rStyle w:val="FootnoteReference"/>
        </w:rPr>
        <w:footnoteReference w:id="199"/>
      </w:r>
      <w:r w:rsidRPr="002866AC">
        <w:t xml:space="preserve"> More likely, the courts oscillate between intense skepticism of, and intense deference to, administrative-agency decision-making. There was, and there remains, an epic game of tug-of-war between the judiciary and the administrative state.</w:t>
      </w:r>
      <w:bookmarkStart w:id="67" w:name="_Ref211360791"/>
      <w:r w:rsidRPr="002866AC">
        <w:rPr>
          <w:rStyle w:val="FootnoteReference"/>
        </w:rPr>
        <w:footnoteReference w:id="200"/>
      </w:r>
      <w:bookmarkEnd w:id="67"/>
      <w:r w:rsidRPr="002866AC">
        <w:t xml:space="preserve"> </w:t>
      </w:r>
    </w:p>
    <w:p w14:paraId="3A565401" w14:textId="77777777" w:rsidR="008A045A" w:rsidRPr="002866AC" w:rsidRDefault="008A045A" w:rsidP="00092031"/>
    <w:p w14:paraId="225FBA23" w14:textId="77777777" w:rsidR="00092031" w:rsidRPr="002866AC" w:rsidRDefault="00092031" w:rsidP="00092031">
      <w:r w:rsidRPr="002866AC">
        <w:t>A final reason might reflect a more consistent relationship between the judiciary and agencies. While many scholars—and judges—“question the constitutionality of today’s administrative state, they are also aware that it is here to stay.”</w:t>
      </w:r>
      <w:r w:rsidRPr="002866AC">
        <w:rPr>
          <w:rStyle w:val="FootnoteReference"/>
        </w:rPr>
        <w:footnoteReference w:id="201"/>
      </w:r>
      <w:r w:rsidRPr="002866AC">
        <w:t xml:space="preserve"> The same can be said of most of the public and most judges (if not </w:t>
      </w:r>
      <w:r w:rsidRPr="002866AC">
        <w:lastRenderedPageBreak/>
        <w:t>the conservative majority of the current Supreme Court and the second Trump administration</w:t>
      </w:r>
      <w:r w:rsidRPr="002866AC">
        <w:rPr>
          <w:rStyle w:val="FootnoteReference"/>
        </w:rPr>
        <w:footnoteReference w:id="202"/>
      </w:r>
      <w:r w:rsidRPr="002866AC">
        <w:t>). Yet even among those who support a robust fourth branch of government, there is unease at the thought of giving administrative agencies too much unchecked discretion. As Rachel E. Barkow writes:</w:t>
      </w:r>
    </w:p>
    <w:p w14:paraId="4D74A71B" w14:textId="77777777" w:rsidR="00092031" w:rsidRPr="002866AC" w:rsidRDefault="00092031" w:rsidP="00092031"/>
    <w:p w14:paraId="0F3BA136" w14:textId="77777777" w:rsidR="00092031" w:rsidRPr="002866AC" w:rsidRDefault="00092031" w:rsidP="008A045A">
      <w:pPr>
        <w:pStyle w:val="BlockQuote"/>
      </w:pPr>
      <w:r w:rsidRPr="002866AC">
        <w:t>The puzzle for the law has been how to keep this potential Leviathan [the administrative state] in check. If the officials at these agencies could exercise their authority without oversight, citizens would become subjects to unelected bureaucrats and democracy would be compromised. This dilemma is familiar to anyone with a basic understanding of administrative law, as the overriding purpose behind almost every doctrine in administrative law is to control the exercise of agency discretion. Indeed, that is why most legal scholars writing in administrative law are preoccupied with the central question of whether agencies are accountable for their exercises of discretion and are therefore legitimate.</w:t>
      </w:r>
      <w:bookmarkStart w:id="68" w:name="_Ref211360422"/>
      <w:r w:rsidRPr="002866AC">
        <w:rPr>
          <w:rStyle w:val="FootnoteReference"/>
        </w:rPr>
        <w:footnoteReference w:id="203"/>
      </w:r>
      <w:bookmarkEnd w:id="68"/>
    </w:p>
    <w:p w14:paraId="7DA44564" w14:textId="77777777" w:rsidR="00092031" w:rsidRPr="002866AC" w:rsidRDefault="00092031" w:rsidP="00092031"/>
    <w:p w14:paraId="2207170C" w14:textId="77777777" w:rsidR="00092031" w:rsidRPr="002866AC" w:rsidRDefault="00092031" w:rsidP="00092031">
      <w:r w:rsidRPr="002866AC">
        <w:t>Viewed in this light, the circuit courts’ decisions to allow appeals of remands—first by agencies and increasingly by parties other than agencies—are not an exercise of indulgence or justice but one of control. Combined with the nature of administrative law—the centrality of governing statutes, the APA’s judicial-review provisions, longstanding conceptions of administrative law with adjudication at its center</w:t>
      </w:r>
      <w:bookmarkStart w:id="69" w:name="_Ref211360808"/>
      <w:r w:rsidRPr="002866AC">
        <w:rPr>
          <w:rStyle w:val="FootnoteReference"/>
        </w:rPr>
        <w:footnoteReference w:id="204"/>
      </w:r>
      <w:bookmarkEnd w:id="69"/>
      <w:r w:rsidRPr="002866AC">
        <w:t>—and a persistent “legal culture [that] looks to judges as uniquely qualified to solve inequities in a law’s application,” the administrative-remand rule’s squishiness and porousness are just another example of the “primacy of judges” in our legal system.</w:t>
      </w:r>
      <w:r w:rsidRPr="002866AC">
        <w:rPr>
          <w:rStyle w:val="FootnoteReference"/>
        </w:rPr>
        <w:footnoteReference w:id="205"/>
      </w:r>
      <w:r w:rsidRPr="002866AC">
        <w:t xml:space="preserve"> </w:t>
      </w:r>
    </w:p>
    <w:p w14:paraId="050BFBA8" w14:textId="77777777" w:rsidR="00092031" w:rsidRPr="002866AC" w:rsidRDefault="00092031" w:rsidP="00092031">
      <w:r w:rsidRPr="002866AC">
        <w:lastRenderedPageBreak/>
        <w:t xml:space="preserve">Whatever its explanation, the expansion of appellate review under the administrative-remand rule was arguably inevitable. Absent intervention by Congress or the Supreme Court, the administrative-remand rule as we know it today—with all its variability and unpredictability—is here to stay. But should it, and what exactly should it look like? Those are the questions Parts II and III ask and try to answer. </w:t>
      </w:r>
    </w:p>
    <w:p w14:paraId="37C21CC5" w14:textId="77777777" w:rsidR="00092031" w:rsidRPr="002866AC" w:rsidRDefault="00092031" w:rsidP="00092031"/>
    <w:p w14:paraId="2CD68902" w14:textId="77777777" w:rsidR="00092031" w:rsidRPr="002866AC" w:rsidRDefault="00092031" w:rsidP="008A045A">
      <w:pPr>
        <w:pStyle w:val="Heading2"/>
      </w:pPr>
      <w:bookmarkStart w:id="70" w:name="_Toc212214162"/>
      <w:r w:rsidRPr="002866AC">
        <w:t>Does the Administrative-Remand Rule Make Sense?</w:t>
      </w:r>
      <w:bookmarkEnd w:id="70"/>
    </w:p>
    <w:p w14:paraId="3D52EA98" w14:textId="77777777" w:rsidR="00092031" w:rsidRPr="002866AC" w:rsidRDefault="00092031" w:rsidP="00092031">
      <w:pPr>
        <w:rPr>
          <w:rFonts w:cs="Times New Roman"/>
          <w:b/>
          <w:bCs/>
        </w:rPr>
      </w:pPr>
    </w:p>
    <w:p w14:paraId="30FE8D08" w14:textId="77777777" w:rsidR="00092031" w:rsidRPr="002866AC" w:rsidRDefault="00092031" w:rsidP="00092031">
      <w:r w:rsidRPr="002866AC">
        <w:t xml:space="preserve">The administrative-remand rule is little known and yet controls which remands to agencies under the APA are final and appealable and by whom. That gatekeeping function yields profound consequences for courts, agencies, and other litigants. This Part explores those consequences using specific cases, including </w:t>
      </w:r>
      <w:r w:rsidRPr="002866AC">
        <w:rPr>
          <w:i/>
          <w:iCs/>
        </w:rPr>
        <w:t>Friends of Hope Valley</w:t>
      </w:r>
      <w:r w:rsidRPr="002866AC">
        <w:t xml:space="preserve">, and broader issues with an eye towards Part III, which considers what the administrative-remand rule should be. </w:t>
      </w:r>
    </w:p>
    <w:p w14:paraId="30752E25" w14:textId="77777777" w:rsidR="00092031" w:rsidRPr="002866AC" w:rsidRDefault="00092031" w:rsidP="00092031"/>
    <w:p w14:paraId="1A780ACC" w14:textId="77777777" w:rsidR="00092031" w:rsidRPr="002866AC" w:rsidRDefault="00092031" w:rsidP="008A045A">
      <w:pPr>
        <w:pStyle w:val="Heading3"/>
      </w:pPr>
      <w:bookmarkStart w:id="71" w:name="_Toc212214163"/>
      <w:r w:rsidRPr="002866AC">
        <w:t>What’s to Like (Friends of Hope Valley)</w:t>
      </w:r>
      <w:bookmarkEnd w:id="71"/>
    </w:p>
    <w:p w14:paraId="0A430749" w14:textId="77777777" w:rsidR="00092031" w:rsidRPr="002866AC" w:rsidRDefault="00092031" w:rsidP="00092031"/>
    <w:p w14:paraId="487B2076" w14:textId="77777777" w:rsidR="00092031" w:rsidRDefault="00092031" w:rsidP="00092031">
      <w:r w:rsidRPr="002866AC">
        <w:t xml:space="preserve">By now you know a little about </w:t>
      </w:r>
      <w:r w:rsidRPr="002866AC">
        <w:rPr>
          <w:i/>
          <w:iCs/>
        </w:rPr>
        <w:t>Friends of Hope Valley</w:t>
      </w:r>
      <w:r w:rsidRPr="002866AC">
        <w:t xml:space="preserve">. The case involved a dispute over how the U.S. Forest Service managed conflicts between cross-country skiers and snowmobilers; the skiers (sort of) won in the district court; the Forest Service accepted the remand and the skiers appealed; and the Ninth Circuit relied on its administrative-remand rule to dismiss the skiers’ appeal. Those are the highlights, but as with any contest, we understand and care only if we really know the players and their stories. </w:t>
      </w:r>
    </w:p>
    <w:p w14:paraId="41883B71" w14:textId="77777777" w:rsidR="008A045A" w:rsidRPr="002866AC" w:rsidRDefault="008A045A" w:rsidP="00092031"/>
    <w:p w14:paraId="36991766" w14:textId="77777777" w:rsidR="00092031" w:rsidRDefault="00092031" w:rsidP="00092031">
      <w:pPr>
        <w:rPr>
          <w:lang w:val="en-CA"/>
        </w:rPr>
      </w:pPr>
      <w:r w:rsidRPr="002866AC">
        <w:t xml:space="preserve">The controversy in </w:t>
      </w:r>
      <w:r w:rsidRPr="002866AC">
        <w:rPr>
          <w:i/>
          <w:iCs/>
        </w:rPr>
        <w:t>Friends of Hope Valley</w:t>
      </w:r>
      <w:r w:rsidRPr="002866AC">
        <w:t xml:space="preserve"> began in the 1980s and 90s. Snowmobiling had become increasingly popular nationally, especially on public lands, including Hope Valley, that were remote but still accessible by </w:t>
      </w:r>
      <w:proofErr w:type="spellStart"/>
      <w:r w:rsidRPr="002866AC">
        <w:t>oversnow</w:t>
      </w:r>
      <w:proofErr w:type="spellEnd"/>
      <w:r w:rsidRPr="002866AC">
        <w:t xml:space="preserve"> vehicles.</w:t>
      </w:r>
      <w:r w:rsidRPr="002866AC">
        <w:rPr>
          <w:rStyle w:val="FootnoteReference"/>
        </w:rPr>
        <w:footnoteReference w:id="206"/>
      </w:r>
      <w:r w:rsidRPr="002866AC">
        <w:t xml:space="preserve"> So, to account for the growing snowmobile use in the valley, in 1992 the Forest Service issued a “travel map” for the Carson Ranger District, of which the valley is part.</w:t>
      </w:r>
      <w:r w:rsidRPr="002866AC">
        <w:rPr>
          <w:rStyle w:val="FootnoteReference"/>
        </w:rPr>
        <w:footnoteReference w:id="207"/>
      </w:r>
      <w:r w:rsidRPr="002866AC">
        <w:t xml:space="preserve"> </w:t>
      </w:r>
      <w:r w:rsidRPr="002866AC">
        <w:rPr>
          <w:lang w:val="en-CA"/>
        </w:rPr>
        <w:t xml:space="preserve">The 1992 travel map barred snowmobiles from only a portion </w:t>
      </w:r>
      <w:r w:rsidRPr="002866AC">
        <w:rPr>
          <w:lang w:val="en-CA"/>
        </w:rPr>
        <w:lastRenderedPageBreak/>
        <w:t>of Hope Valley.</w:t>
      </w:r>
      <w:r w:rsidRPr="002866AC">
        <w:rPr>
          <w:rStyle w:val="FootnoteReference"/>
          <w:lang w:val="en-CA"/>
        </w:rPr>
        <w:footnoteReference w:id="208"/>
      </w:r>
      <w:r w:rsidRPr="002866AC">
        <w:rPr>
          <w:lang w:val="en-CA"/>
        </w:rPr>
        <w:t xml:space="preserve"> T</w:t>
      </w:r>
      <w:r w:rsidRPr="002866AC">
        <w:t>he Friends of Hope Valley (“the Friends”), a group of cross-country skiers, successfully challenged the 1992 travel map in the U.S. District Court for the Eastern District of California, forcing the agency back to the drawing board under a stipulated judgment.</w:t>
      </w:r>
      <w:r w:rsidRPr="002866AC">
        <w:rPr>
          <w:rStyle w:val="FootnoteReference"/>
        </w:rPr>
        <w:footnoteReference w:id="209"/>
      </w:r>
      <w:r w:rsidRPr="002866AC">
        <w:t xml:space="preserve"> In 1998, the Forest Service issued a </w:t>
      </w:r>
      <w:r w:rsidRPr="002866AC">
        <w:rPr>
          <w:lang w:val="en-CA"/>
        </w:rPr>
        <w:t>revised travel map.</w:t>
      </w:r>
      <w:r w:rsidRPr="002866AC">
        <w:rPr>
          <w:rStyle w:val="FootnoteReference"/>
          <w:lang w:val="en-CA"/>
        </w:rPr>
        <w:footnoteReference w:id="210"/>
      </w:r>
      <w:r w:rsidRPr="002866AC">
        <w:rPr>
          <w:lang w:val="en-CA"/>
        </w:rPr>
        <w:t xml:space="preserve"> As part of this revision, the Forest Service decided against limiting snowmobiles on Forestdale Creek Road, which runs through part of Hope Valley and provides especially good access for snowmobiles into and throughout the valley, including in areas prized by the Friends and other non-motorized recreationists.</w:t>
      </w:r>
      <w:r w:rsidRPr="002866AC">
        <w:rPr>
          <w:rStyle w:val="FootnoteReference"/>
          <w:lang w:val="en-CA"/>
        </w:rPr>
        <w:footnoteReference w:id="211"/>
      </w:r>
      <w:r w:rsidRPr="002866AC">
        <w:rPr>
          <w:lang w:val="en-CA"/>
        </w:rPr>
        <w:t xml:space="preserve"> </w:t>
      </w:r>
    </w:p>
    <w:p w14:paraId="6E38ABDC" w14:textId="77777777" w:rsidR="008A045A" w:rsidRPr="002866AC" w:rsidRDefault="008A045A" w:rsidP="00092031">
      <w:pPr>
        <w:rPr>
          <w:lang w:val="en-CA"/>
        </w:rPr>
      </w:pPr>
    </w:p>
    <w:p w14:paraId="2A23774D" w14:textId="77777777" w:rsidR="00092031" w:rsidRDefault="00092031" w:rsidP="00092031">
      <w:pPr>
        <w:rPr>
          <w:lang w:val="en-CA"/>
        </w:rPr>
      </w:pPr>
      <w:r w:rsidRPr="002866AC">
        <w:rPr>
          <w:lang w:val="en-CA"/>
        </w:rPr>
        <w:t>On cross-motions for summary judgment, the district court agreed with the Friends that the 1998 travel map was flawed, but not because of anything concerning Forestdale Creek Road. Instead, the court concluded that the Forest Service had violated the National Environmental Policy Act</w:t>
      </w:r>
      <w:bookmarkStart w:id="72" w:name="_Ref211360702"/>
      <w:r w:rsidRPr="002866AC">
        <w:rPr>
          <w:rStyle w:val="FootnoteReference"/>
          <w:lang w:val="en-CA"/>
        </w:rPr>
        <w:footnoteReference w:id="212"/>
      </w:r>
      <w:bookmarkEnd w:id="72"/>
      <w:r w:rsidRPr="002866AC">
        <w:rPr>
          <w:lang w:val="en-CA"/>
        </w:rPr>
        <w:t xml:space="preserve"> in relying on “unscientific and unreliable” surveys to assess conflicts between cross-country skiers, snowmobilers, and other users.</w:t>
      </w:r>
      <w:r w:rsidRPr="002866AC">
        <w:rPr>
          <w:rStyle w:val="FootnoteReference"/>
          <w:lang w:val="en-CA"/>
        </w:rPr>
        <w:footnoteReference w:id="213"/>
      </w:r>
      <w:r w:rsidRPr="002866AC">
        <w:rPr>
          <w:lang w:val="en-CA"/>
        </w:rPr>
        <w:t xml:space="preserve"> The Friends had not made this argument, although it fit vaguely within their claim that the Forest Service had relied on inadequate information about user conflicts, and the Forest Service had defended its user-conflicts assessment using the surveys.</w:t>
      </w:r>
      <w:r w:rsidRPr="002866AC">
        <w:rPr>
          <w:rStyle w:val="FootnoteReference"/>
          <w:lang w:val="en-CA"/>
        </w:rPr>
        <w:footnoteReference w:id="214"/>
      </w:r>
      <w:r w:rsidRPr="002866AC">
        <w:rPr>
          <w:lang w:val="en-CA"/>
        </w:rPr>
        <w:t xml:space="preserve"> Thus, the district court vacated the 1998 travel map and supporting environmental review and remanded them for further administrative proceedings.</w:t>
      </w:r>
      <w:bookmarkStart w:id="73" w:name="_Ref211360710"/>
      <w:r w:rsidRPr="002866AC">
        <w:rPr>
          <w:rStyle w:val="FootnoteReference"/>
          <w:lang w:val="en-CA"/>
        </w:rPr>
        <w:footnoteReference w:id="215"/>
      </w:r>
      <w:bookmarkEnd w:id="73"/>
      <w:r w:rsidRPr="002866AC">
        <w:rPr>
          <w:lang w:val="en-CA"/>
        </w:rPr>
        <w:t xml:space="preserve"> </w:t>
      </w:r>
    </w:p>
    <w:p w14:paraId="3F69A561" w14:textId="77777777" w:rsidR="008A045A" w:rsidRPr="002866AC" w:rsidRDefault="008A045A" w:rsidP="00092031">
      <w:pPr>
        <w:rPr>
          <w:lang w:val="en-CA"/>
        </w:rPr>
      </w:pPr>
    </w:p>
    <w:p w14:paraId="2DA4973F" w14:textId="77777777" w:rsidR="00092031" w:rsidRDefault="00092031" w:rsidP="00092031">
      <w:pPr>
        <w:rPr>
          <w:lang w:val="en-CA"/>
        </w:rPr>
      </w:pPr>
      <w:r w:rsidRPr="002866AC">
        <w:rPr>
          <w:lang w:val="en-CA"/>
        </w:rPr>
        <w:t xml:space="preserve">The Friends, but not the Forest Service, appealed. The Forest Service, represented by the U.S. Department of Justice (i.e., me), defended against the </w:t>
      </w:r>
      <w:r w:rsidRPr="002866AC">
        <w:rPr>
          <w:lang w:val="en-CA"/>
        </w:rPr>
        <w:lastRenderedPageBreak/>
        <w:t>appeal on many grounds, including that the Ninth Circuit lacked jurisdiction over the appeal under the administrative-remand rule.</w:t>
      </w:r>
      <w:r w:rsidRPr="002866AC">
        <w:rPr>
          <w:rStyle w:val="FootnoteReference"/>
          <w:lang w:val="en-CA"/>
        </w:rPr>
        <w:footnoteReference w:id="216"/>
      </w:r>
      <w:r w:rsidRPr="002866AC">
        <w:rPr>
          <w:lang w:val="en-CA"/>
        </w:rPr>
        <w:t xml:space="preserve"> Specifically, under the Ninth Circuit’s three-part test, later review of the district court’s judgment vacating and remanding the Forest Service’s 1998 travel map was precluded only as to the agency, and the agency had chosen not to appeal.</w:t>
      </w:r>
      <w:r w:rsidRPr="002866AC">
        <w:rPr>
          <w:rStyle w:val="FootnoteReference"/>
          <w:lang w:val="en-CA"/>
        </w:rPr>
        <w:footnoteReference w:id="217"/>
      </w:r>
      <w:r w:rsidRPr="002866AC">
        <w:rPr>
          <w:lang w:val="en-CA"/>
        </w:rPr>
        <w:t xml:space="preserve"> After a spirited oral argument, the Ninth Circuit agreed in an unpublished decision dismissing the Friends’ appeal.</w:t>
      </w:r>
      <w:r w:rsidRPr="002866AC">
        <w:rPr>
          <w:rStyle w:val="FootnoteReference"/>
          <w:lang w:val="en-CA"/>
        </w:rPr>
        <w:footnoteReference w:id="218"/>
      </w:r>
      <w:r w:rsidRPr="002866AC">
        <w:rPr>
          <w:lang w:val="en-CA"/>
        </w:rPr>
        <w:t xml:space="preserve"> The court explained that the district court’s decision was not final as to the Friends, in large part because the Friends could participate in the remand process and/or seek further judicial review once the Forest Service issued a new decision.</w:t>
      </w:r>
      <w:r w:rsidRPr="002866AC">
        <w:rPr>
          <w:rStyle w:val="FootnoteReference"/>
          <w:lang w:val="en-CA"/>
        </w:rPr>
        <w:footnoteReference w:id="219"/>
      </w:r>
      <w:r w:rsidRPr="002866AC">
        <w:rPr>
          <w:lang w:val="en-CA"/>
        </w:rPr>
        <w:t xml:space="preserve"> </w:t>
      </w:r>
    </w:p>
    <w:p w14:paraId="65E6128D" w14:textId="77777777" w:rsidR="008A045A" w:rsidRPr="002866AC" w:rsidRDefault="008A045A" w:rsidP="00092031">
      <w:pPr>
        <w:rPr>
          <w:lang w:val="en-CA"/>
        </w:rPr>
      </w:pPr>
    </w:p>
    <w:p w14:paraId="1E4B104C" w14:textId="77777777" w:rsidR="00092031" w:rsidRPr="002866AC" w:rsidRDefault="00092031" w:rsidP="00092031">
      <w:pPr>
        <w:rPr>
          <w:lang w:val="en-CA"/>
        </w:rPr>
      </w:pPr>
      <w:r w:rsidRPr="002866AC">
        <w:rPr>
          <w:lang w:val="en-CA"/>
        </w:rPr>
        <w:t>And indeed, that is exactly what happened. The Forest Service, rather than simply conduct new user surveys and update its environmental review accordingly (the only actions the district court’s remand required), decided to more comprehensively review winter recreation in Hope Valley to arrive at a “plan which would provide quality opportunities for all users and would provide broader acceptance.”</w:t>
      </w:r>
      <w:bookmarkStart w:id="74" w:name="_Ref211360612"/>
      <w:r w:rsidRPr="002866AC">
        <w:rPr>
          <w:rStyle w:val="FootnoteReference"/>
          <w:lang w:val="en-CA"/>
        </w:rPr>
        <w:footnoteReference w:id="220"/>
      </w:r>
      <w:bookmarkEnd w:id="74"/>
      <w:r w:rsidRPr="002866AC">
        <w:rPr>
          <w:lang w:val="en-CA"/>
        </w:rPr>
        <w:t xml:space="preserve"> That 2007 plan significantly restricted snowmobile use in the Forestdale Creek Area, just as the Friends had wanted.</w:t>
      </w:r>
      <w:r w:rsidRPr="002866AC">
        <w:rPr>
          <w:rStyle w:val="FootnoteReference"/>
          <w:lang w:val="en-CA"/>
        </w:rPr>
        <w:footnoteReference w:id="221"/>
      </w:r>
      <w:r w:rsidRPr="002866AC">
        <w:rPr>
          <w:lang w:val="en-CA"/>
        </w:rPr>
        <w:t xml:space="preserve"> In 2008, the Forest Service closed Forestdale Creek Road as part of that decision.</w:t>
      </w:r>
      <w:r w:rsidRPr="002866AC">
        <w:rPr>
          <w:rStyle w:val="FootnoteReference"/>
          <w:lang w:val="en-CA"/>
        </w:rPr>
        <w:footnoteReference w:id="222"/>
      </w:r>
      <w:r w:rsidRPr="002866AC">
        <w:rPr>
          <w:lang w:val="en-CA"/>
        </w:rPr>
        <w:t xml:space="preserve"> The Friends of Hope Valley supported both outcomes,</w:t>
      </w:r>
      <w:r w:rsidRPr="002866AC">
        <w:rPr>
          <w:rStyle w:val="FootnoteReference"/>
          <w:lang w:val="en-CA"/>
        </w:rPr>
        <w:footnoteReference w:id="223"/>
      </w:r>
      <w:r w:rsidRPr="002866AC">
        <w:rPr>
          <w:lang w:val="en-CA"/>
        </w:rPr>
        <w:t xml:space="preserve"> and the 2007 travel map remains in effect today.</w:t>
      </w:r>
      <w:bookmarkStart w:id="75" w:name="_Ref211360621"/>
      <w:r w:rsidRPr="002866AC">
        <w:rPr>
          <w:rStyle w:val="FootnoteReference"/>
          <w:lang w:val="en-CA"/>
        </w:rPr>
        <w:footnoteReference w:id="224"/>
      </w:r>
      <w:bookmarkEnd w:id="75"/>
      <w:r w:rsidRPr="002866AC">
        <w:rPr>
          <w:lang w:val="en-CA"/>
        </w:rPr>
        <w:t xml:space="preserve"> </w:t>
      </w:r>
    </w:p>
    <w:p w14:paraId="4FF8C18E" w14:textId="77777777" w:rsidR="008A045A" w:rsidRDefault="008A045A" w:rsidP="00092031">
      <w:pPr>
        <w:rPr>
          <w:lang w:val="en-CA"/>
        </w:rPr>
      </w:pPr>
    </w:p>
    <w:p w14:paraId="40BD073B" w14:textId="46629B9D" w:rsidR="00092031" w:rsidRDefault="00092031" w:rsidP="00092031">
      <w:pPr>
        <w:rPr>
          <w:lang w:val="en-CA"/>
        </w:rPr>
      </w:pPr>
      <w:r w:rsidRPr="002866AC">
        <w:rPr>
          <w:lang w:val="en-CA"/>
        </w:rPr>
        <w:lastRenderedPageBreak/>
        <w:t xml:space="preserve">In short, at the time of the Ninth Circuit’s decision in </w:t>
      </w:r>
      <w:r w:rsidRPr="002866AC">
        <w:rPr>
          <w:i/>
          <w:iCs/>
          <w:lang w:val="en-CA"/>
        </w:rPr>
        <w:t>Friends of Hope Valley</w:t>
      </w:r>
      <w:r w:rsidRPr="002866AC">
        <w:rPr>
          <w:lang w:val="en-CA"/>
        </w:rPr>
        <w:t xml:space="preserve">, the administrative-remand rule seemed senseless; it sanctioned a narrow agency remand that barely addressed the plaintiffs’ claims. Had the Forest Service considered only the user-survey issue on remand, the agency almost certainly would have arrived at the same decision, likely leading to more litigation. But instead, the administrative-remand rule worked as intended: The district court remanded the agency’s decision; the Ninth Circuit declined review of the plaintiffs’ interlocutory appeal; and on remand the agency looked holistically at the problem before it and arrived at a decision that meaningfully addressed the plaintiffs’ concerns, even though the remand order itself did not. As a result, the costs of piecemeal judicial review were avoided. </w:t>
      </w:r>
    </w:p>
    <w:p w14:paraId="7AF8A1F1" w14:textId="77777777" w:rsidR="008A045A" w:rsidRPr="002866AC" w:rsidRDefault="008A045A" w:rsidP="00092031">
      <w:pPr>
        <w:rPr>
          <w:lang w:val="en-CA"/>
        </w:rPr>
      </w:pPr>
    </w:p>
    <w:p w14:paraId="2ECB312F" w14:textId="77777777" w:rsidR="00092031" w:rsidRPr="002866AC" w:rsidRDefault="00092031" w:rsidP="00092031">
      <w:pPr>
        <w:rPr>
          <w:lang w:val="en-CA"/>
        </w:rPr>
      </w:pPr>
      <w:r w:rsidRPr="002866AC">
        <w:rPr>
          <w:i/>
          <w:iCs/>
          <w:lang w:val="en-CA"/>
        </w:rPr>
        <w:t>Friends of Hope Valley</w:t>
      </w:r>
      <w:r w:rsidRPr="002866AC">
        <w:rPr>
          <w:lang w:val="en-CA"/>
        </w:rPr>
        <w:t xml:space="preserve"> shows that the administrative-remand rule, for all its promise of peril, can work. First, the case underscores that in most administrative-remand cases, where there is little (if any) daylight between what a plaintiff seeks and a district court grants, and there are no other problems, the rule unquestionably contributes to efficient judicial review and efficient and productive agency decision-making. Second, </w:t>
      </w:r>
      <w:r w:rsidRPr="002866AC">
        <w:rPr>
          <w:i/>
          <w:iCs/>
          <w:lang w:val="en-CA"/>
        </w:rPr>
        <w:t>Friends of Hope Valley</w:t>
      </w:r>
      <w:r w:rsidRPr="002866AC">
        <w:rPr>
          <w:lang w:val="en-CA"/>
        </w:rPr>
        <w:t xml:space="preserve"> shows that even where there is some daylight between a plaintiff’s ask and a district court’s give, the administrative-remand rule can still make good sense. </w:t>
      </w:r>
    </w:p>
    <w:p w14:paraId="442AAE3E" w14:textId="77777777" w:rsidR="00092031" w:rsidRPr="002866AC" w:rsidRDefault="00092031" w:rsidP="00092031">
      <w:pPr>
        <w:rPr>
          <w:lang w:val="en-CA"/>
        </w:rPr>
      </w:pPr>
    </w:p>
    <w:p w14:paraId="346B5605" w14:textId="77777777" w:rsidR="00092031" w:rsidRPr="002866AC" w:rsidRDefault="00092031" w:rsidP="008A045A">
      <w:pPr>
        <w:pStyle w:val="Heading3"/>
      </w:pPr>
      <w:bookmarkStart w:id="76" w:name="_Toc212214164"/>
      <w:r w:rsidRPr="002866AC">
        <w:t>What’s Not to Like (Other Scenarios and Broader Issues)</w:t>
      </w:r>
      <w:bookmarkEnd w:id="76"/>
      <w:r w:rsidRPr="002866AC">
        <w:t xml:space="preserve"> </w:t>
      </w:r>
    </w:p>
    <w:p w14:paraId="14CFBAF6" w14:textId="77777777" w:rsidR="00092031" w:rsidRPr="002866AC" w:rsidRDefault="00092031" w:rsidP="00092031"/>
    <w:p w14:paraId="00442B3D" w14:textId="77777777" w:rsidR="00092031" w:rsidRDefault="00092031" w:rsidP="00092031">
      <w:pPr>
        <w:rPr>
          <w:lang w:val="en-CA"/>
        </w:rPr>
      </w:pPr>
      <w:r w:rsidRPr="002866AC">
        <w:rPr>
          <w:lang w:val="en-CA"/>
        </w:rPr>
        <w:t xml:space="preserve">But what if things had not gone so swimmingly in </w:t>
      </w:r>
      <w:r w:rsidRPr="002866AC">
        <w:rPr>
          <w:i/>
          <w:iCs/>
          <w:lang w:val="en-CA"/>
        </w:rPr>
        <w:t>Friends of Hope Valley</w:t>
      </w:r>
      <w:r w:rsidRPr="002866AC">
        <w:rPr>
          <w:lang w:val="en-CA"/>
        </w:rPr>
        <w:t xml:space="preserve">? What if on remand the Forest Service had taken ten years to arrive at a new decision? What if the Forest Service had focused solely on the “unscientific and unreliable” user surveys that were the focus of the district court’s decision—an issue that distracted from the deeper problems the plaintiffs were concerned about? What if the snowmobilers had intervened to defend the Forest Service’s decision and, troubled by the district court’s order to conduct new surveys, had sought to appeal? Or what if the district court’s decision to vacate the 1998 revised travel map—which presented no problems in that case—had instead thrown winter recreation in Hope Valley into free-for-all that satisfied no one and harmed the parties or the environment? </w:t>
      </w:r>
    </w:p>
    <w:p w14:paraId="54075BC0" w14:textId="77777777" w:rsidR="008A045A" w:rsidRPr="002866AC" w:rsidRDefault="008A045A" w:rsidP="00092031">
      <w:pPr>
        <w:rPr>
          <w:lang w:val="en-CA"/>
        </w:rPr>
      </w:pPr>
    </w:p>
    <w:p w14:paraId="523B7BA8" w14:textId="77777777" w:rsidR="00092031" w:rsidRPr="002866AC" w:rsidRDefault="00092031" w:rsidP="00092031">
      <w:pPr>
        <w:rPr>
          <w:lang w:val="en-CA"/>
        </w:rPr>
      </w:pPr>
      <w:r w:rsidRPr="002866AC">
        <w:rPr>
          <w:lang w:val="en-CA"/>
        </w:rPr>
        <w:t xml:space="preserve">This Subpart discusses scenarios that, like these, better highlight where the administrative-remand rule can fall short, as well as larger concerns in the fields of federal jurisdiction and administrative law to which the rule can contribute. In practice, I think that some scenarios and issues are more problematic than others, so I’ve organized the discussion from, in my view, least to most problematic. </w:t>
      </w:r>
    </w:p>
    <w:p w14:paraId="4F03B439" w14:textId="77777777" w:rsidR="00092031" w:rsidRPr="002866AC" w:rsidRDefault="00092031" w:rsidP="00092031"/>
    <w:p w14:paraId="5C25CEEA" w14:textId="77777777" w:rsidR="00092031" w:rsidRPr="002866AC" w:rsidRDefault="00092031" w:rsidP="008A045A">
      <w:pPr>
        <w:pStyle w:val="Heading4"/>
      </w:pPr>
      <w:bookmarkStart w:id="77" w:name="_Toc212214165"/>
      <w:r w:rsidRPr="002866AC">
        <w:t>Specific Scenarios</w:t>
      </w:r>
      <w:bookmarkEnd w:id="77"/>
    </w:p>
    <w:p w14:paraId="317FC98A" w14:textId="77777777" w:rsidR="00092031" w:rsidRPr="002866AC" w:rsidRDefault="00092031" w:rsidP="00092031"/>
    <w:p w14:paraId="0E638781" w14:textId="77777777" w:rsidR="00092031" w:rsidRDefault="00092031" w:rsidP="00092031">
      <w:pPr>
        <w:rPr>
          <w:rFonts w:eastAsia="Quattrocento"/>
        </w:rPr>
      </w:pPr>
      <w:r w:rsidRPr="002866AC">
        <w:rPr>
          <w:rFonts w:eastAsia="Quattrocento"/>
          <w:i/>
          <w:iCs/>
        </w:rPr>
        <w:lastRenderedPageBreak/>
        <w:t>Remands in cases with intervenors</w:t>
      </w:r>
      <w:r w:rsidRPr="002866AC">
        <w:rPr>
          <w:rFonts w:eastAsia="Quattrocento"/>
        </w:rPr>
        <w:t>. Under the administrative-remand rule, intervenor-defendants—private parties and NGOs who intervene to defend an agency’s decision—cannot appeal unless the agency does.</w:t>
      </w:r>
      <w:r w:rsidRPr="002866AC">
        <w:rPr>
          <w:rStyle w:val="FootnoteReference"/>
          <w:rFonts w:eastAsia="Quattrocento"/>
        </w:rPr>
        <w:footnoteReference w:id="225"/>
      </w:r>
      <w:r w:rsidRPr="002866AC">
        <w:rPr>
          <w:rFonts w:eastAsia="Quattrocento"/>
        </w:rPr>
        <w:t xml:space="preserve"> This is true even though the </w:t>
      </w:r>
      <w:r w:rsidRPr="002866AC">
        <w:t xml:space="preserve">agency may grant (and sometimes does grant) the plaintiff the relief it seeks on remand. </w:t>
      </w:r>
      <w:r w:rsidRPr="002866AC">
        <w:rPr>
          <w:rFonts w:eastAsia="Quattrocento"/>
          <w:highlight w:val="yellow"/>
        </w:rPr>
        <w:t>[There was a comment included here: “AA: Please add a citation here.”  Oy.  I get why, but this is the kind of real-world fact that’s very difficult to support, even though it’s indisputably true.  Could you suggest a way I might feasibly support the fact that agencies can grant the relief a plaintiff seeks on remand, and that they sometimes do?]</w:t>
      </w:r>
      <w:r w:rsidRPr="002866AC">
        <w:rPr>
          <w:rFonts w:eastAsia="Quattrocento"/>
        </w:rPr>
        <w:t xml:space="preserve"> </w:t>
      </w:r>
    </w:p>
    <w:p w14:paraId="606865DE" w14:textId="77777777" w:rsidR="008A045A" w:rsidRPr="002866AC" w:rsidRDefault="008A045A" w:rsidP="00092031"/>
    <w:p w14:paraId="1B522792" w14:textId="77777777" w:rsidR="00092031" w:rsidRDefault="00092031" w:rsidP="00092031">
      <w:r w:rsidRPr="002866AC">
        <w:t>This scenario is not especially concerning, in part because it is likely rare. I have principally my own anecdotal experience (representing and challenging agencies in federal court) to rely on, and I have found that many agencies make the same policy choice on remand.</w:t>
      </w:r>
      <w:r w:rsidRPr="002866AC">
        <w:rPr>
          <w:rStyle w:val="FootnoteReference"/>
        </w:rPr>
        <w:footnoteReference w:id="226"/>
      </w:r>
      <w:r w:rsidRPr="002866AC">
        <w:t xml:space="preserve"> That’s especially true where the remand directs the agency to provide a better explanation or better factual findings (as opposed to fix a legal error).</w:t>
      </w:r>
      <w:r w:rsidRPr="002866AC">
        <w:rPr>
          <w:rStyle w:val="FootnoteReference"/>
        </w:rPr>
        <w:footnoteReference w:id="227"/>
      </w:r>
      <w:r w:rsidRPr="002866AC">
        <w:t xml:space="preserve"> The risk of an intervenor-defendant being deprived of review is therefore low, especially since it can participate in the remand proceedings. </w:t>
      </w:r>
    </w:p>
    <w:p w14:paraId="77438D62" w14:textId="77777777" w:rsidR="008A045A" w:rsidRPr="002866AC" w:rsidRDefault="008A045A" w:rsidP="00092031"/>
    <w:p w14:paraId="39C4DF5C" w14:textId="58AF61E1" w:rsidR="00092031" w:rsidRPr="002866AC" w:rsidRDefault="00092031" w:rsidP="00092031">
      <w:r w:rsidRPr="002866AC">
        <w:t xml:space="preserve"> Further mitigating any concern is that an intervenor-defendant can, of course, appeal following a final judgment. So, for example, a remand requiring an agency to prepare a new environmental review that causes an agency to deny a permit it had previously granted would be reviewable by the permittee following a final judgment (though the associated delay would be a sunk (i.e., unreviewable) cost).</w:t>
      </w:r>
      <w:bookmarkStart w:id="78" w:name="_Ref211360217"/>
      <w:r w:rsidRPr="002866AC">
        <w:rPr>
          <w:rStyle w:val="FootnoteReference"/>
        </w:rPr>
        <w:footnoteReference w:id="228"/>
      </w:r>
      <w:bookmarkEnd w:id="78"/>
      <w:r w:rsidRPr="002866AC">
        <w:t xml:space="preserve"> Moreover, where the agency also appeals</w:t>
      </w:r>
      <w:r w:rsidRPr="002866AC">
        <w:rPr>
          <w:rStyle w:val="FootnoteReference"/>
        </w:rPr>
        <w:footnoteReference w:id="229"/>
      </w:r>
      <w:r w:rsidRPr="002866AC">
        <w:t xml:space="preserve"> or where there is a real risk an issue will escape later appellate review,</w:t>
      </w:r>
      <w:r w:rsidRPr="002866AC">
        <w:rPr>
          <w:rStyle w:val="FootnoteReference"/>
        </w:rPr>
        <w:t xml:space="preserve"> </w:t>
      </w:r>
      <w:r w:rsidRPr="002866AC">
        <w:rPr>
          <w:rStyle w:val="FootnoteReference"/>
        </w:rPr>
        <w:footnoteReference w:id="230"/>
      </w:r>
      <w:r w:rsidRPr="002866AC">
        <w:t xml:space="preserve"> the circuits generally allow the appeal. For these reasons, in most instances intervenor-</w:t>
      </w:r>
      <w:r w:rsidRPr="002866AC">
        <w:lastRenderedPageBreak/>
        <w:t xml:space="preserve">defendants are not unfairly denied appellate review under the administrative-remand rule. </w:t>
      </w:r>
    </w:p>
    <w:p w14:paraId="50B9A5A9" w14:textId="77777777" w:rsidR="00092031" w:rsidRPr="002866AC" w:rsidRDefault="00092031" w:rsidP="00092031">
      <w:pPr>
        <w:rPr>
          <w:rFonts w:eastAsia="Quattrocento"/>
        </w:rPr>
      </w:pPr>
    </w:p>
    <w:p w14:paraId="7D152B0B" w14:textId="77777777" w:rsidR="00092031" w:rsidRDefault="00092031" w:rsidP="00092031">
      <w:pPr>
        <w:rPr>
          <w:rFonts w:eastAsia="Quattrocento"/>
        </w:rPr>
      </w:pPr>
      <w:r w:rsidRPr="002866AC">
        <w:rPr>
          <w:rFonts w:eastAsia="Quattrocento"/>
          <w:i/>
          <w:iCs/>
        </w:rPr>
        <w:t>Meaningless remands</w:t>
      </w:r>
      <w:r w:rsidRPr="002866AC">
        <w:rPr>
          <w:rFonts w:eastAsia="Quattrocento"/>
        </w:rPr>
        <w:t xml:space="preserve">. A remand may grant a plaintiff incomplete relief, relief it didn’t ask for, or, as in </w:t>
      </w:r>
      <w:r w:rsidRPr="002866AC">
        <w:rPr>
          <w:rFonts w:eastAsia="Quattrocento"/>
          <w:i/>
          <w:iCs/>
        </w:rPr>
        <w:t>Friends of Hope Valley</w:t>
      </w:r>
      <w:r w:rsidRPr="002866AC">
        <w:rPr>
          <w:rFonts w:eastAsia="Quattrocento"/>
        </w:rPr>
        <w:t xml:space="preserve">, relief on grounds the plaintiff didn’t really raise. Yet, under the administrative-remand rule, the plaintiff typically cannot appeal unless the agency does, too. These scenarios can result in a wasted remand proceeding or more litigation down the line. The same is true for an intervenor-defendant, but the difference is that a plaintiff is, by nature, the putatively aggrieved party at the point a remand is issued. </w:t>
      </w:r>
    </w:p>
    <w:p w14:paraId="45A4C09A" w14:textId="77777777" w:rsidR="008A045A" w:rsidRPr="002866AC" w:rsidRDefault="008A045A" w:rsidP="00092031">
      <w:pPr>
        <w:rPr>
          <w:rFonts w:eastAsia="Quattrocento"/>
        </w:rPr>
      </w:pPr>
    </w:p>
    <w:p w14:paraId="30213F5B" w14:textId="77777777" w:rsidR="00092031" w:rsidRPr="002866AC" w:rsidRDefault="00092031" w:rsidP="00092031">
      <w:pPr>
        <w:rPr>
          <w:rFonts w:eastAsia="Quattrocento"/>
        </w:rPr>
      </w:pPr>
      <w:r w:rsidRPr="002866AC">
        <w:rPr>
          <w:rFonts w:eastAsia="Quattrocento"/>
        </w:rPr>
        <w:t>The Ninth Circuit has allowed plaintiffs to appeal “meaningless” remands.</w:t>
      </w:r>
      <w:bookmarkStart w:id="79" w:name="_Ref211360755"/>
      <w:r w:rsidRPr="002866AC">
        <w:rPr>
          <w:rStyle w:val="FootnoteReference"/>
          <w:rFonts w:eastAsia="Quattrocento"/>
        </w:rPr>
        <w:footnoteReference w:id="231"/>
      </w:r>
      <w:bookmarkEnd w:id="79"/>
      <w:r w:rsidRPr="002866AC">
        <w:rPr>
          <w:rFonts w:eastAsia="Quattrocento"/>
        </w:rPr>
        <w:t xml:space="preserve"> These have included, in </w:t>
      </w:r>
      <w:r w:rsidRPr="002866AC">
        <w:rPr>
          <w:rFonts w:eastAsia="Quattrocento"/>
          <w:i/>
          <w:iCs/>
        </w:rPr>
        <w:t xml:space="preserve">Skagit County Public Hospital District No. 2 v. Shalala </w:t>
      </w:r>
      <w:r w:rsidRPr="002866AC">
        <w:rPr>
          <w:rFonts w:eastAsia="Quattrocento"/>
        </w:rPr>
        <w:t>(“</w:t>
      </w:r>
      <w:r w:rsidRPr="002866AC">
        <w:rPr>
          <w:rFonts w:eastAsia="Quattrocento"/>
          <w:i/>
          <w:iCs/>
        </w:rPr>
        <w:t>Skagit County</w:t>
      </w:r>
      <w:r w:rsidRPr="002866AC">
        <w:rPr>
          <w:rFonts w:eastAsia="Quattrocento"/>
        </w:rPr>
        <w:t>”), a remand directing a health-care reimbursement review board to engage in proceedings a hospital never sought (which was like “inviting [the appellant hospital] to a party with no cake”);</w:t>
      </w:r>
      <w:r w:rsidRPr="002866AC">
        <w:rPr>
          <w:rStyle w:val="FootnoteReference"/>
          <w:rFonts w:eastAsia="Quattrocento"/>
        </w:rPr>
        <w:footnoteReference w:id="232"/>
      </w:r>
      <w:r w:rsidRPr="002866AC">
        <w:rPr>
          <w:rFonts w:eastAsia="Quattrocento"/>
        </w:rPr>
        <w:t xml:space="preserve"> in </w:t>
      </w:r>
      <w:r w:rsidRPr="002866AC">
        <w:rPr>
          <w:rFonts w:eastAsia="Quattrocento"/>
          <w:i/>
          <w:iCs/>
        </w:rPr>
        <w:t>Chang v. United States</w:t>
      </w:r>
      <w:r w:rsidRPr="002866AC">
        <w:rPr>
          <w:rFonts w:eastAsia="Quattrocento"/>
        </w:rPr>
        <w:t>, a remand to the Immigration and Nationalization Service to conduct an analysis the agency said it could not and would not do;</w:t>
      </w:r>
      <w:r w:rsidRPr="002866AC">
        <w:rPr>
          <w:rStyle w:val="FootnoteReference"/>
          <w:rFonts w:eastAsia="Quattrocento"/>
        </w:rPr>
        <w:footnoteReference w:id="233"/>
      </w:r>
      <w:r w:rsidRPr="002866AC">
        <w:rPr>
          <w:rFonts w:eastAsia="Quattrocento"/>
        </w:rPr>
        <w:t xml:space="preserve"> in </w:t>
      </w:r>
      <w:r w:rsidRPr="002866AC">
        <w:rPr>
          <w:rFonts w:eastAsia="Quattrocento"/>
          <w:i/>
          <w:iCs/>
        </w:rPr>
        <w:t>United States v. U.S. Board of Water Commissioners</w:t>
      </w:r>
      <w:r w:rsidRPr="002866AC">
        <w:rPr>
          <w:rFonts w:eastAsia="Quattrocento"/>
        </w:rPr>
        <w:t>, a remand “where the relief sought by appellants cannot possibly be achieved through the district court’s directions;”</w:t>
      </w:r>
      <w:r w:rsidRPr="002866AC">
        <w:rPr>
          <w:rStyle w:val="FootnoteReference"/>
          <w:rFonts w:eastAsia="Quattrocento"/>
        </w:rPr>
        <w:footnoteReference w:id="234"/>
      </w:r>
      <w:r w:rsidRPr="002866AC">
        <w:rPr>
          <w:rFonts w:eastAsia="Quattrocento"/>
        </w:rPr>
        <w:t xml:space="preserve"> and, in </w:t>
      </w:r>
      <w:r w:rsidRPr="002866AC">
        <w:rPr>
          <w:rFonts w:eastAsia="Quattrocento"/>
          <w:i/>
          <w:iCs/>
        </w:rPr>
        <w:t>Sierra Forest Legacy v. Sherman</w:t>
      </w:r>
      <w:r w:rsidRPr="002866AC">
        <w:rPr>
          <w:rFonts w:eastAsia="Quattrocento"/>
        </w:rPr>
        <w:t>, a “narrow” remand to the Forest Service to prepare an updated environmental review to study alternative courses of action.</w:t>
      </w:r>
      <w:r w:rsidRPr="002866AC">
        <w:rPr>
          <w:rStyle w:val="FootnoteReference"/>
          <w:rFonts w:eastAsia="Quattrocento"/>
        </w:rPr>
        <w:footnoteReference w:id="235"/>
      </w:r>
      <w:r w:rsidRPr="002866AC">
        <w:rPr>
          <w:rFonts w:eastAsia="Quattrocento"/>
        </w:rPr>
        <w:t xml:space="preserve"> As in </w:t>
      </w:r>
      <w:r w:rsidRPr="002866AC">
        <w:rPr>
          <w:rFonts w:eastAsia="Quattrocento"/>
          <w:i/>
          <w:iCs/>
        </w:rPr>
        <w:t>Friends of Hope Valley</w:t>
      </w:r>
      <w:r w:rsidRPr="002866AC">
        <w:rPr>
          <w:rFonts w:eastAsia="Quattrocento"/>
        </w:rPr>
        <w:t xml:space="preserve">, the remand at issue in </w:t>
      </w:r>
      <w:r w:rsidRPr="002866AC">
        <w:rPr>
          <w:rFonts w:eastAsia="Quattrocento"/>
          <w:i/>
          <w:iCs/>
        </w:rPr>
        <w:t>Sierra Forest Legacy</w:t>
      </w:r>
      <w:r w:rsidRPr="002866AC">
        <w:rPr>
          <w:rFonts w:eastAsia="Quattrocento"/>
        </w:rPr>
        <w:t xml:space="preserve"> left in place a critical decision-making framework that the plaintiffs challenged and “placed a judicial imprimatur on the vast majority of the” agency’s original analysis.</w:t>
      </w:r>
      <w:r w:rsidRPr="002866AC">
        <w:rPr>
          <w:rStyle w:val="FootnoteReference"/>
          <w:rFonts w:eastAsia="Quattrocento"/>
        </w:rPr>
        <w:footnoteReference w:id="236"/>
      </w:r>
      <w:r w:rsidRPr="002866AC">
        <w:rPr>
          <w:rFonts w:eastAsia="Quattrocento"/>
        </w:rPr>
        <w:t xml:space="preserve"> The D.C. Circuit has also cited the notion of a “meaningless” remand to allow a plaintiff to appeal a remand.</w:t>
      </w:r>
      <w:r w:rsidRPr="002866AC">
        <w:rPr>
          <w:rStyle w:val="FootnoteReference"/>
          <w:rFonts w:eastAsia="Quattrocento"/>
        </w:rPr>
        <w:footnoteReference w:id="237"/>
      </w:r>
      <w:r w:rsidRPr="002866AC">
        <w:rPr>
          <w:rFonts w:eastAsia="Quattrocento"/>
        </w:rPr>
        <w:t xml:space="preserve"> </w:t>
      </w:r>
    </w:p>
    <w:p w14:paraId="0688515E" w14:textId="77777777" w:rsidR="00092031" w:rsidRDefault="00092031" w:rsidP="00092031">
      <w:pPr>
        <w:rPr>
          <w:rFonts w:eastAsia="Quattrocento"/>
        </w:rPr>
      </w:pPr>
      <w:r w:rsidRPr="002866AC">
        <w:rPr>
          <w:rFonts w:eastAsia="Quattrocento"/>
        </w:rPr>
        <w:t xml:space="preserve">There is much to be said for these decisions. The Ninth and D.C. Circuits, by allowing plaintiffs to appeal remands that were only technically favorable to </w:t>
      </w:r>
      <w:r w:rsidRPr="002866AC">
        <w:rPr>
          <w:rFonts w:eastAsia="Quattrocento"/>
        </w:rPr>
        <w:lastRenderedPageBreak/>
        <w:t xml:space="preserve">plaintiffs, circumvented the possibility of “wasted proceedings” and associated delays and thereby enhanced administrative and judicial economy, despite the added interlocutory appeals. In the right cases, the same approach would (or at least could) lead to the same benefits. </w:t>
      </w:r>
    </w:p>
    <w:p w14:paraId="5B8994D0" w14:textId="77777777" w:rsidR="008A045A" w:rsidRPr="002866AC" w:rsidRDefault="008A045A" w:rsidP="00092031">
      <w:pPr>
        <w:rPr>
          <w:rFonts w:eastAsia="Quattrocento"/>
        </w:rPr>
      </w:pPr>
    </w:p>
    <w:p w14:paraId="36A62551" w14:textId="77777777" w:rsidR="00092031" w:rsidRDefault="00092031" w:rsidP="00092031">
      <w:pPr>
        <w:rPr>
          <w:rFonts w:eastAsia="Quattrocento"/>
        </w:rPr>
      </w:pPr>
      <w:r w:rsidRPr="002866AC">
        <w:rPr>
          <w:rFonts w:eastAsia="Quattrocento"/>
        </w:rPr>
        <w:t xml:space="preserve">There are two problems, though. First, how do we know which cases are the “right” ones? In </w:t>
      </w:r>
      <w:r w:rsidRPr="002866AC">
        <w:rPr>
          <w:rFonts w:eastAsia="Quattrocento"/>
          <w:i/>
          <w:iCs/>
        </w:rPr>
        <w:t>Skagit County</w:t>
      </w:r>
      <w:r w:rsidRPr="002866AC">
        <w:rPr>
          <w:rFonts w:eastAsia="Quattrocento"/>
        </w:rPr>
        <w:t>, the remand offered relief the plaintiff never sought.</w:t>
      </w:r>
      <w:r w:rsidRPr="002866AC">
        <w:rPr>
          <w:rStyle w:val="FootnoteReference"/>
          <w:rFonts w:eastAsia="Quattrocento"/>
        </w:rPr>
        <w:footnoteReference w:id="238"/>
      </w:r>
      <w:r w:rsidRPr="002866AC">
        <w:rPr>
          <w:rFonts w:eastAsia="Quattrocento"/>
        </w:rPr>
        <w:t xml:space="preserve"> In </w:t>
      </w:r>
      <w:r w:rsidRPr="002866AC">
        <w:rPr>
          <w:rFonts w:eastAsia="Quattrocento"/>
          <w:i/>
          <w:iCs/>
        </w:rPr>
        <w:t>Chang</w:t>
      </w:r>
      <w:r w:rsidRPr="002866AC">
        <w:rPr>
          <w:rFonts w:eastAsia="Quattrocento"/>
        </w:rPr>
        <w:t>, even the agency agreed the district court’s remand was an abuse of discretion.</w:t>
      </w:r>
      <w:r w:rsidRPr="002866AC">
        <w:rPr>
          <w:rStyle w:val="FootnoteReference"/>
          <w:rFonts w:eastAsia="Quattrocento"/>
        </w:rPr>
        <w:footnoteReference w:id="239"/>
      </w:r>
      <w:r w:rsidRPr="002866AC">
        <w:rPr>
          <w:rFonts w:eastAsia="Quattrocento"/>
        </w:rPr>
        <w:t xml:space="preserve"> In </w:t>
      </w:r>
      <w:r w:rsidRPr="002866AC">
        <w:rPr>
          <w:rFonts w:eastAsia="Quattrocento"/>
          <w:i/>
          <w:iCs/>
        </w:rPr>
        <w:t>Sierra Forest Legacy</w:t>
      </w:r>
      <w:r w:rsidRPr="002866AC">
        <w:rPr>
          <w:rFonts w:eastAsia="Quattrocento"/>
        </w:rPr>
        <w:t>, there were unusual signs the remand really would be pointless: The district court had left the agency’s decision in place during the remand, and by the time the Ninth Circuit issued its decision, the agency had already prepared a new draft environmental review that rejected the plaintiffs’ proposed alternatives.</w:t>
      </w:r>
      <w:r w:rsidRPr="002866AC">
        <w:rPr>
          <w:rStyle w:val="FootnoteReference"/>
          <w:rFonts w:eastAsia="Quattrocento"/>
        </w:rPr>
        <w:footnoteReference w:id="240"/>
      </w:r>
      <w:r w:rsidRPr="002866AC">
        <w:rPr>
          <w:rFonts w:eastAsia="Quattrocento"/>
        </w:rPr>
        <w:t xml:space="preserve"> The court observed that, “[a]s a practical matter, the work of both the district court and the agency [was] complete.”</w:t>
      </w:r>
      <w:r w:rsidRPr="002866AC">
        <w:rPr>
          <w:rStyle w:val="FootnoteReference"/>
          <w:rFonts w:eastAsia="Quattrocento"/>
        </w:rPr>
        <w:footnoteReference w:id="241"/>
      </w:r>
      <w:r w:rsidRPr="002866AC">
        <w:rPr>
          <w:rFonts w:eastAsia="Quattrocento"/>
        </w:rPr>
        <w:t xml:space="preserve"> The same was true in the D.C. Circuit’s decision.</w:t>
      </w:r>
      <w:r w:rsidRPr="002866AC">
        <w:rPr>
          <w:rStyle w:val="FootnoteReference"/>
          <w:rFonts w:eastAsia="Quattrocento"/>
        </w:rPr>
        <w:footnoteReference w:id="242"/>
      </w:r>
      <w:r w:rsidRPr="002866AC">
        <w:rPr>
          <w:rFonts w:eastAsia="Quattrocento"/>
        </w:rPr>
        <w:t xml:space="preserve"> In each of these cases, the remands came towards the end of the district-court proceedings (and sometimes the end of the agency proceedings), consistent with the vast majority of cases that allow appeals of remands by plaintiffs.</w:t>
      </w:r>
      <w:bookmarkStart w:id="80" w:name="_Ref211360763"/>
      <w:r w:rsidRPr="002866AC">
        <w:rPr>
          <w:rStyle w:val="FootnoteReference"/>
          <w:rFonts w:eastAsia="Quattrocento"/>
        </w:rPr>
        <w:footnoteReference w:id="243"/>
      </w:r>
      <w:bookmarkEnd w:id="80"/>
      <w:r w:rsidRPr="002866AC">
        <w:rPr>
          <w:rFonts w:eastAsia="Quattrocento"/>
        </w:rPr>
        <w:t xml:space="preserve"> </w:t>
      </w:r>
    </w:p>
    <w:p w14:paraId="616EB716" w14:textId="77777777" w:rsidR="008A045A" w:rsidRPr="002866AC" w:rsidRDefault="008A045A" w:rsidP="00092031">
      <w:pPr>
        <w:rPr>
          <w:rFonts w:eastAsia="Quattrocento"/>
        </w:rPr>
      </w:pPr>
    </w:p>
    <w:p w14:paraId="1EF267AC" w14:textId="77777777" w:rsidR="00092031" w:rsidRDefault="00092031" w:rsidP="00092031">
      <w:pPr>
        <w:rPr>
          <w:rFonts w:eastAsia="Quattrocento"/>
        </w:rPr>
      </w:pPr>
      <w:r w:rsidRPr="002866AC">
        <w:rPr>
          <w:rFonts w:eastAsia="Quattrocento"/>
        </w:rPr>
        <w:t xml:space="preserve">Most cases, however, do not have these clear hallmarks of finality. The Ninth Circuit might have allowed the plaintiffs’ appeal in </w:t>
      </w:r>
      <w:r w:rsidRPr="002866AC">
        <w:rPr>
          <w:rFonts w:eastAsia="Quattrocento"/>
          <w:i/>
          <w:iCs/>
        </w:rPr>
        <w:t>Friends of Hope Valley</w:t>
      </w:r>
      <w:r w:rsidRPr="002866AC">
        <w:rPr>
          <w:rFonts w:eastAsia="Quattrocento"/>
        </w:rPr>
        <w:t>, which might have avoided a meaningless remand if the Forest Service had turned out to be harder-nosed. But mid-litigation, there were few warnings of such recalcitrance, and in fact the Forest Service ended up using the remand proceeding to review and manage user conflicts in a lasting way.</w:t>
      </w:r>
      <w:r w:rsidRPr="002866AC">
        <w:rPr>
          <w:rStyle w:val="FootnoteReference"/>
          <w:rFonts w:eastAsia="Quattrocento"/>
        </w:rPr>
        <w:footnoteReference w:id="244"/>
      </w:r>
      <w:r w:rsidRPr="002866AC">
        <w:rPr>
          <w:rFonts w:eastAsia="Quattrocento"/>
        </w:rPr>
        <w:t xml:space="preserve"> Without more evidence that the remand would have been pointless, it would have been a mistake to find appellate jurisdiction. The signs of a pointless remand must be plain. </w:t>
      </w:r>
    </w:p>
    <w:p w14:paraId="1E98FA23" w14:textId="77777777" w:rsidR="008A045A" w:rsidRPr="002866AC" w:rsidRDefault="008A045A" w:rsidP="00092031">
      <w:pPr>
        <w:rPr>
          <w:rFonts w:eastAsia="Quattrocento"/>
        </w:rPr>
      </w:pPr>
    </w:p>
    <w:p w14:paraId="548003C1" w14:textId="77777777" w:rsidR="00092031" w:rsidRDefault="00092031" w:rsidP="00092031">
      <w:pPr>
        <w:rPr>
          <w:rFonts w:eastAsia="Quattrocento"/>
        </w:rPr>
      </w:pPr>
      <w:r w:rsidRPr="002866AC">
        <w:rPr>
          <w:rFonts w:eastAsia="Quattrocento"/>
        </w:rPr>
        <w:t>The second problem is thornier: Prevailing parties ordinarily lack standing to appeal favorable decisions.</w:t>
      </w:r>
      <w:bookmarkStart w:id="81" w:name="_Ref211360457"/>
      <w:r w:rsidRPr="002866AC">
        <w:rPr>
          <w:rStyle w:val="FootnoteReference"/>
          <w:rFonts w:eastAsia="Quattrocento"/>
        </w:rPr>
        <w:footnoteReference w:id="245"/>
      </w:r>
      <w:bookmarkEnd w:id="81"/>
      <w:r w:rsidRPr="002866AC">
        <w:rPr>
          <w:rFonts w:eastAsia="Quattrocento"/>
        </w:rPr>
        <w:t xml:space="preserve"> Not Article III standing, as a party appealing a </w:t>
      </w:r>
      <w:r w:rsidRPr="002866AC">
        <w:rPr>
          <w:rFonts w:eastAsia="Quattrocento"/>
        </w:rPr>
        <w:lastRenderedPageBreak/>
        <w:t>remand still retains a stake in the ultimate disposition of the case. Instead, it is prudential standing to appeal that may be missing,</w:t>
      </w:r>
      <w:r w:rsidRPr="002866AC">
        <w:rPr>
          <w:rStyle w:val="FootnoteReference"/>
          <w:rFonts w:eastAsia="Quattrocento"/>
        </w:rPr>
        <w:footnoteReference w:id="246"/>
      </w:r>
      <w:r w:rsidRPr="002866AC">
        <w:rPr>
          <w:rFonts w:eastAsia="Quattrocento"/>
        </w:rPr>
        <w:t xml:space="preserve"> given the general rule that appellate courts review “judgments, not statements in opinions.”</w:t>
      </w:r>
      <w:r w:rsidRPr="002866AC">
        <w:rPr>
          <w:rStyle w:val="FootnoteReference"/>
          <w:rFonts w:eastAsia="Quattrocento"/>
        </w:rPr>
        <w:footnoteReference w:id="247"/>
      </w:r>
      <w:r w:rsidRPr="002866AC">
        <w:rPr>
          <w:rFonts w:eastAsia="Quattrocento"/>
        </w:rPr>
        <w:t xml:space="preserve"> Nuances exist, but how capacious should they be when it comes to appeals by plaintiffs of administrative remands? The Supreme Court tells us that an appeal may lie from a decision “granting in part and denying in part the remedy requested.”</w:t>
      </w:r>
      <w:r w:rsidRPr="002866AC">
        <w:rPr>
          <w:rStyle w:val="FootnoteReference"/>
          <w:rFonts w:eastAsia="Quattrocento"/>
        </w:rPr>
        <w:footnoteReference w:id="248"/>
      </w:r>
      <w:r w:rsidRPr="002866AC">
        <w:rPr>
          <w:rFonts w:eastAsia="Quattrocento"/>
        </w:rPr>
        <w:t xml:space="preserve"> So, a plaintiff who seeks a remand with vacatur but gets only a remand (or vice versa) can and should be able to appeal, similar to the mismatched claim and remedy at issue in </w:t>
      </w:r>
      <w:r w:rsidRPr="002866AC">
        <w:rPr>
          <w:rFonts w:eastAsia="Quattrocento"/>
          <w:i/>
          <w:iCs/>
        </w:rPr>
        <w:t>Skagit County</w:t>
      </w:r>
      <w:r w:rsidRPr="002866AC">
        <w:rPr>
          <w:rFonts w:eastAsia="Quattrocento"/>
        </w:rPr>
        <w:t>.</w:t>
      </w:r>
      <w:r w:rsidRPr="002866AC">
        <w:rPr>
          <w:rStyle w:val="FootnoteReference"/>
          <w:rFonts w:eastAsia="Quattrocento"/>
        </w:rPr>
        <w:footnoteReference w:id="249"/>
      </w:r>
      <w:r w:rsidRPr="002866AC">
        <w:rPr>
          <w:rFonts w:eastAsia="Quattrocento"/>
        </w:rPr>
        <w:t xml:space="preserve"> </w:t>
      </w:r>
    </w:p>
    <w:p w14:paraId="171C5E83" w14:textId="77777777" w:rsidR="008A045A" w:rsidRPr="002866AC" w:rsidRDefault="008A045A" w:rsidP="00092031">
      <w:pPr>
        <w:rPr>
          <w:rFonts w:eastAsia="Quattrocento"/>
        </w:rPr>
      </w:pPr>
    </w:p>
    <w:p w14:paraId="4E1CEDE3" w14:textId="77777777" w:rsidR="00092031" w:rsidRDefault="00092031" w:rsidP="00092031">
      <w:pPr>
        <w:rPr>
          <w:rFonts w:eastAsia="Quattrocento"/>
        </w:rPr>
      </w:pPr>
      <w:r w:rsidRPr="002866AC">
        <w:rPr>
          <w:rFonts w:eastAsia="Quattrocento"/>
        </w:rPr>
        <w:t xml:space="preserve">More difficult is a case in which a party seeks to challenge on appeal the </w:t>
      </w:r>
      <w:r w:rsidRPr="002866AC">
        <w:rPr>
          <w:rFonts w:eastAsia="Quattrocento"/>
          <w:i/>
          <w:iCs/>
        </w:rPr>
        <w:t>grounds</w:t>
      </w:r>
      <w:r w:rsidRPr="002866AC">
        <w:rPr>
          <w:rFonts w:eastAsia="Quattrocento"/>
        </w:rPr>
        <w:t xml:space="preserve"> for a district court’s remand, as the plaintiffs did in </w:t>
      </w:r>
      <w:r w:rsidRPr="002866AC">
        <w:rPr>
          <w:rFonts w:eastAsia="Quattrocento"/>
          <w:i/>
          <w:iCs/>
        </w:rPr>
        <w:t>Sierra Forest Legacy</w:t>
      </w:r>
      <w:r w:rsidRPr="002866AC">
        <w:rPr>
          <w:rFonts w:eastAsia="Quattrocento"/>
        </w:rPr>
        <w:t xml:space="preserve"> and </w:t>
      </w:r>
      <w:r w:rsidRPr="002866AC">
        <w:rPr>
          <w:rFonts w:eastAsia="Quattrocento"/>
          <w:i/>
          <w:iCs/>
        </w:rPr>
        <w:t>Friends of Hope Valley</w:t>
      </w:r>
      <w:r w:rsidRPr="002866AC">
        <w:rPr>
          <w:rFonts w:eastAsia="Quattrocento"/>
        </w:rPr>
        <w:t>.</w:t>
      </w:r>
      <w:r w:rsidRPr="002866AC">
        <w:rPr>
          <w:rStyle w:val="FootnoteReference"/>
          <w:rFonts w:eastAsia="Quattrocento"/>
        </w:rPr>
        <w:footnoteReference w:id="250"/>
      </w:r>
      <w:r w:rsidRPr="002866AC">
        <w:rPr>
          <w:rFonts w:eastAsia="Quattrocento"/>
        </w:rPr>
        <w:t xml:space="preserve"> Appellate courts’ “resources are not well spent superintending each word a lower court utters </w:t>
      </w:r>
      <w:proofErr w:type="spellStart"/>
      <w:r w:rsidRPr="002866AC">
        <w:rPr>
          <w:rFonts w:eastAsia="Quattrocento"/>
        </w:rPr>
        <w:t>en</w:t>
      </w:r>
      <w:proofErr w:type="spellEnd"/>
      <w:r w:rsidRPr="002866AC">
        <w:rPr>
          <w:rFonts w:eastAsia="Quattrocento"/>
        </w:rPr>
        <w:t xml:space="preserve"> route to a final judgment in the [appealing] party’s favor.”</w:t>
      </w:r>
      <w:bookmarkStart w:id="82" w:name="_Ref211360472"/>
      <w:r w:rsidRPr="002866AC">
        <w:rPr>
          <w:rStyle w:val="FootnoteReference"/>
          <w:rFonts w:eastAsia="Quattrocento"/>
        </w:rPr>
        <w:footnoteReference w:id="251"/>
      </w:r>
      <w:bookmarkEnd w:id="82"/>
      <w:r w:rsidRPr="002866AC">
        <w:rPr>
          <w:rFonts w:eastAsia="Quattrocento"/>
        </w:rPr>
        <w:t xml:space="preserve"> And if there’s any time and place we want the least appellate interference, it’s in the temporal and substantive middle of a case. That’s especially true when we multiply one such case over the tens, scores, or hundreds of such cases a circuit court might see in a year. </w:t>
      </w:r>
    </w:p>
    <w:p w14:paraId="7A37D6EF" w14:textId="77777777" w:rsidR="008A045A" w:rsidRPr="002866AC" w:rsidRDefault="008A045A" w:rsidP="00092031">
      <w:pPr>
        <w:rPr>
          <w:rFonts w:eastAsia="Quattrocento"/>
        </w:rPr>
      </w:pPr>
    </w:p>
    <w:p w14:paraId="46DEF116" w14:textId="77777777" w:rsidR="00092031" w:rsidRPr="002866AC" w:rsidRDefault="00092031" w:rsidP="00092031">
      <w:pPr>
        <w:rPr>
          <w:rFonts w:eastAsia="Quattrocento"/>
        </w:rPr>
      </w:pPr>
      <w:r w:rsidRPr="002866AC">
        <w:rPr>
          <w:rFonts w:eastAsia="Quattrocento"/>
        </w:rPr>
        <w:t>In short, it seems to make sense to allow plaintiffs to appeal remands that are truly meaningless—i.e., a remand that grants incomplete or wrong relief, or a remand for which there is no practicable chance the agency’s new decision will address the plaintiff’s core claim.</w:t>
      </w:r>
      <w:bookmarkStart w:id="83" w:name="_Ref211360226"/>
      <w:r w:rsidRPr="002866AC">
        <w:rPr>
          <w:rStyle w:val="FootnoteReference"/>
          <w:rFonts w:eastAsia="Quattrocento"/>
        </w:rPr>
        <w:footnoteReference w:id="252"/>
      </w:r>
      <w:bookmarkEnd w:id="83"/>
      <w:r w:rsidRPr="002866AC">
        <w:rPr>
          <w:rFonts w:eastAsia="Quattrocento"/>
        </w:rPr>
        <w:t xml:space="preserve"> Outside these narrow circumstances, it is </w:t>
      </w:r>
      <w:r w:rsidRPr="002866AC">
        <w:rPr>
          <w:rFonts w:eastAsia="Quattrocento"/>
        </w:rPr>
        <w:lastRenderedPageBreak/>
        <w:t xml:space="preserve">wise to decline a plaintiff’s invitation to fly-speck an otherwise favorable district-court remand. </w:t>
      </w:r>
    </w:p>
    <w:p w14:paraId="71D3A7BD" w14:textId="77777777" w:rsidR="00092031" w:rsidRPr="002866AC" w:rsidRDefault="00092031" w:rsidP="00092031">
      <w:pPr>
        <w:rPr>
          <w:rFonts w:eastAsia="Quattrocento"/>
        </w:rPr>
      </w:pPr>
    </w:p>
    <w:p w14:paraId="5FD6FA30" w14:textId="77777777" w:rsidR="00092031" w:rsidRPr="002866AC" w:rsidRDefault="00092031" w:rsidP="00092031">
      <w:pPr>
        <w:rPr>
          <w:rFonts w:eastAsia="Quattrocento"/>
        </w:rPr>
      </w:pPr>
      <w:r w:rsidRPr="002866AC">
        <w:rPr>
          <w:i/>
          <w:iCs/>
          <w:lang w:val="en-CA"/>
        </w:rPr>
        <w:t>Protracted remands</w:t>
      </w:r>
      <w:r w:rsidRPr="002866AC">
        <w:rPr>
          <w:lang w:val="en-CA"/>
        </w:rPr>
        <w:t>. Justified or not, administrative agencies can take a long time to issue decisions, even when compelled to do so by statute or court order.</w:t>
      </w:r>
      <w:r w:rsidRPr="002866AC">
        <w:rPr>
          <w:rStyle w:val="FootnoteReference"/>
          <w:lang w:val="en-CA"/>
        </w:rPr>
        <w:footnoteReference w:id="253"/>
      </w:r>
      <w:r w:rsidRPr="002866AC">
        <w:rPr>
          <w:lang w:val="en-CA"/>
        </w:rPr>
        <w:t xml:space="preserve"> An agency can buy even more time, leading to extra delay, under the administrative-remand rule. For example, in </w:t>
      </w:r>
      <w:proofErr w:type="gramStart"/>
      <w:r w:rsidRPr="002866AC">
        <w:rPr>
          <w:rFonts w:eastAsia="Quattrocento"/>
          <w:i/>
          <w:iCs/>
        </w:rPr>
        <w:t>In</w:t>
      </w:r>
      <w:proofErr w:type="gramEnd"/>
      <w:r w:rsidRPr="002866AC">
        <w:rPr>
          <w:rFonts w:eastAsia="Quattrocento"/>
          <w:i/>
          <w:iCs/>
        </w:rPr>
        <w:t xml:space="preserve"> re Center for Biological Diversity</w:t>
      </w:r>
      <w:r w:rsidRPr="002866AC">
        <w:rPr>
          <w:rFonts w:eastAsia="Quattrocento"/>
        </w:rPr>
        <w:t>,</w:t>
      </w:r>
      <w:r w:rsidRPr="002866AC">
        <w:rPr>
          <w:rStyle w:val="FootnoteReference"/>
          <w:rFonts w:eastAsia="Quattrocento"/>
        </w:rPr>
        <w:footnoteReference w:id="254"/>
      </w:r>
      <w:r w:rsidRPr="002866AC">
        <w:rPr>
          <w:rFonts w:eastAsia="Quattrocento"/>
        </w:rPr>
        <w:t xml:space="preserve"> the D.C. Circuit granted a writ of mandamus to compel the U.S. Environmental Protection Agency (“EPA”) to comply with a remand issued five years earlier. The remand had directed EPA to evaluate the effects of a pesticide on an endangered species, but five years later, the agency had made no progress in doing so.</w:t>
      </w:r>
      <w:r w:rsidRPr="002866AC">
        <w:rPr>
          <w:rStyle w:val="FootnoteReference"/>
          <w:rFonts w:eastAsia="Quattrocento"/>
        </w:rPr>
        <w:footnoteReference w:id="255"/>
      </w:r>
      <w:r w:rsidRPr="002866AC">
        <w:rPr>
          <w:rFonts w:eastAsia="Quattrocento"/>
        </w:rPr>
        <w:t xml:space="preserve"> Though no party had tried to appeal the remand, the administrative-remand rule likely would have blocked them if they had.</w:t>
      </w:r>
      <w:r w:rsidRPr="002866AC">
        <w:rPr>
          <w:rStyle w:val="FootnoteReference"/>
          <w:rFonts w:eastAsia="Quattrocento"/>
        </w:rPr>
        <w:footnoteReference w:id="256"/>
      </w:r>
      <w:r w:rsidRPr="002866AC">
        <w:rPr>
          <w:rFonts w:eastAsia="Quattrocento"/>
        </w:rPr>
        <w:t xml:space="preserve"> The D.C. Circuit had reached a similar decision nearly twenty years earlier.</w:t>
      </w:r>
      <w:r w:rsidRPr="002866AC">
        <w:rPr>
          <w:rStyle w:val="FootnoteReference"/>
          <w:rFonts w:eastAsia="Quattrocento"/>
        </w:rPr>
        <w:footnoteReference w:id="257"/>
      </w:r>
      <w:r w:rsidRPr="002866AC">
        <w:rPr>
          <w:rFonts w:eastAsia="Quattrocento"/>
        </w:rPr>
        <w:t xml:space="preserve"> These cases of extreme foot-dragging may be unusual, but they happen in part because the administrative-remand rule allows them to. </w:t>
      </w:r>
    </w:p>
    <w:p w14:paraId="5548FF4B" w14:textId="77777777" w:rsidR="00092031" w:rsidRPr="002866AC" w:rsidRDefault="00092031" w:rsidP="00092031">
      <w:pPr>
        <w:rPr>
          <w:rFonts w:eastAsia="Quattrocento"/>
        </w:rPr>
      </w:pPr>
    </w:p>
    <w:p w14:paraId="6C76C3C0" w14:textId="77777777" w:rsidR="00092031" w:rsidRPr="002866AC" w:rsidRDefault="00092031" w:rsidP="00092031">
      <w:pPr>
        <w:rPr>
          <w:lang w:val="en-CA"/>
        </w:rPr>
      </w:pPr>
      <w:r w:rsidRPr="002866AC">
        <w:rPr>
          <w:i/>
          <w:iCs/>
          <w:lang w:val="en-CA"/>
        </w:rPr>
        <w:t>Remands with vacatur</w:t>
      </w:r>
      <w:r w:rsidRPr="002866AC">
        <w:rPr>
          <w:lang w:val="en-CA"/>
        </w:rPr>
        <w:t>. In every circuit the administrative-remand rule has evolved to treat remands with and without vacatur the same. But, as two Ninth Circuit judges recently observed, they’re not. “In a case in which a district court remands but does not vacate a challenged regulation,” the judges explain, “the remand itself merely returns jurisdiction to the agency where the proceedings continue.”</w:t>
      </w:r>
      <w:bookmarkStart w:id="84" w:name="_Ref211359304"/>
      <w:r w:rsidRPr="002866AC">
        <w:rPr>
          <w:rStyle w:val="FootnoteReference"/>
          <w:lang w:val="en-CA"/>
        </w:rPr>
        <w:footnoteReference w:id="258"/>
      </w:r>
      <w:bookmarkEnd w:id="84"/>
      <w:r w:rsidRPr="002866AC">
        <w:rPr>
          <w:lang w:val="en-CA"/>
        </w:rPr>
        <w:t xml:space="preserve"> And during the remand, the regulation (or other agency decision) remains in effect and enforceable.</w:t>
      </w:r>
      <w:r w:rsidRPr="002866AC">
        <w:rPr>
          <w:rStyle w:val="FootnoteReference"/>
          <w:lang w:val="en-CA"/>
        </w:rPr>
        <w:footnoteReference w:id="259"/>
      </w:r>
      <w:r w:rsidRPr="002866AC">
        <w:rPr>
          <w:lang w:val="en-CA"/>
        </w:rPr>
        <w:t xml:space="preserve"> However,</w:t>
      </w:r>
    </w:p>
    <w:p w14:paraId="23407EFC" w14:textId="77777777" w:rsidR="00092031" w:rsidRPr="002866AC" w:rsidRDefault="00092031" w:rsidP="00092031">
      <w:pPr>
        <w:rPr>
          <w:lang w:val="en-CA"/>
        </w:rPr>
      </w:pPr>
    </w:p>
    <w:p w14:paraId="7C54421D" w14:textId="77777777" w:rsidR="00092031" w:rsidRPr="002866AC" w:rsidRDefault="00092031" w:rsidP="00092031">
      <w:pPr>
        <w:rPr>
          <w:lang w:val="en-CA"/>
        </w:rPr>
      </w:pPr>
      <w:r w:rsidRPr="002866AC">
        <w:rPr>
          <w:lang w:val="en-CA"/>
        </w:rPr>
        <w:t xml:space="preserve">when the district court also vacates an agency rule, that order is fundamentally a final judgment. A remand </w:t>
      </w:r>
      <w:r w:rsidRPr="002866AC">
        <w:rPr>
          <w:i/>
          <w:iCs/>
          <w:lang w:val="en-CA"/>
        </w:rPr>
        <w:t>with vacatur</w:t>
      </w:r>
      <w:r w:rsidRPr="002866AC">
        <w:rPr>
          <w:lang w:val="en-CA"/>
        </w:rPr>
        <w:t xml:space="preserve"> terminates the parties’ ‘core dispute’ over whether the challenged agency action will remain in effect. The remand-with-vacatur grants relief to the plaintiff and restores the state of the law to the status quo before the challenged agency action, ushering in real-world consequences—at least for the time that it takes for the agency to make a new decision and potentially indefinitely.</w:t>
      </w:r>
      <w:r w:rsidRPr="002866AC">
        <w:rPr>
          <w:rStyle w:val="FootnoteReference"/>
          <w:lang w:val="en-CA"/>
        </w:rPr>
        <w:footnoteReference w:id="260"/>
      </w:r>
      <w:r w:rsidRPr="002866AC">
        <w:rPr>
          <w:lang w:val="en-CA"/>
        </w:rPr>
        <w:t xml:space="preserve"> </w:t>
      </w:r>
    </w:p>
    <w:p w14:paraId="4779580F" w14:textId="77777777" w:rsidR="00092031" w:rsidRPr="002866AC" w:rsidRDefault="00092031" w:rsidP="00092031">
      <w:pPr>
        <w:rPr>
          <w:lang w:val="en-CA"/>
        </w:rPr>
      </w:pPr>
    </w:p>
    <w:p w14:paraId="15340527" w14:textId="77777777" w:rsidR="00092031" w:rsidRPr="002866AC" w:rsidRDefault="00092031" w:rsidP="00092031">
      <w:pPr>
        <w:rPr>
          <w:rFonts w:eastAsia="Quattrocento"/>
        </w:rPr>
      </w:pPr>
      <w:r w:rsidRPr="002866AC">
        <w:rPr>
          <w:rFonts w:eastAsia="Quattrocento"/>
        </w:rPr>
        <w:t>It is therefore “critical to the finality analysis that an agency may take years to reevaluate its rule (and may not issue a new rule at all), causing vacatur of the agency action to have consequences in the meantime at least as severe and as final as other ‘final’ judgments.”</w:t>
      </w:r>
      <w:r w:rsidRPr="002866AC">
        <w:rPr>
          <w:rStyle w:val="FootnoteReference"/>
          <w:rFonts w:eastAsia="Quattrocento"/>
        </w:rPr>
        <w:footnoteReference w:id="261"/>
      </w:r>
      <w:r w:rsidRPr="002866AC">
        <w:rPr>
          <w:rFonts w:eastAsia="Quattrocento"/>
        </w:rPr>
        <w:t xml:space="preserve"> The administrative-remand rule, these two judges urge, should be modified to account for this reality.</w:t>
      </w:r>
      <w:bookmarkStart w:id="85" w:name="_Ref211359314"/>
      <w:r w:rsidRPr="002866AC">
        <w:rPr>
          <w:rStyle w:val="FootnoteReference"/>
          <w:rFonts w:eastAsia="Quattrocento"/>
        </w:rPr>
        <w:footnoteReference w:id="262"/>
      </w:r>
      <w:bookmarkEnd w:id="85"/>
      <w:r w:rsidRPr="002866AC">
        <w:rPr>
          <w:rFonts w:eastAsia="Quattrocento"/>
        </w:rPr>
        <w:t xml:space="preserve"> </w:t>
      </w:r>
    </w:p>
    <w:p w14:paraId="07B66A82" w14:textId="77777777" w:rsidR="00092031" w:rsidRPr="002866AC" w:rsidRDefault="00092031" w:rsidP="00092031">
      <w:pPr>
        <w:rPr>
          <w:rFonts w:eastAsia="Quattrocento"/>
        </w:rPr>
      </w:pPr>
    </w:p>
    <w:p w14:paraId="7C20BFAF" w14:textId="77777777" w:rsidR="00092031" w:rsidRPr="002866AC" w:rsidRDefault="00092031" w:rsidP="008A045A">
      <w:pPr>
        <w:pStyle w:val="Heading4"/>
      </w:pPr>
      <w:bookmarkStart w:id="86" w:name="_Toc212214166"/>
      <w:r w:rsidRPr="002866AC">
        <w:t>Broader Issues</w:t>
      </w:r>
      <w:bookmarkEnd w:id="86"/>
    </w:p>
    <w:p w14:paraId="0F66A133" w14:textId="77777777" w:rsidR="00092031" w:rsidRPr="002866AC" w:rsidRDefault="00092031" w:rsidP="00092031"/>
    <w:p w14:paraId="6F42E855" w14:textId="77777777" w:rsidR="00092031" w:rsidRPr="002866AC" w:rsidRDefault="00092031" w:rsidP="00092031">
      <w:r w:rsidRPr="002866AC">
        <w:t xml:space="preserve">Apart from the specific scenarios described above, the administrative-remand rule ties into, and arguably contributes to, larger concerns within the fields of federal jurisdiction and administrative law. As with the specific scenarios above, I’ve organized the discussion below from, in my view, the least to most problematic. </w:t>
      </w:r>
    </w:p>
    <w:p w14:paraId="74D7F7AB" w14:textId="77777777" w:rsidR="00092031" w:rsidRPr="002866AC" w:rsidRDefault="00092031" w:rsidP="00092031"/>
    <w:p w14:paraId="1C453F74" w14:textId="77777777" w:rsidR="00092031" w:rsidRDefault="00092031" w:rsidP="00092031">
      <w:pPr>
        <w:rPr>
          <w:lang w:val="en-CA"/>
        </w:rPr>
      </w:pPr>
      <w:r w:rsidRPr="002866AC">
        <w:rPr>
          <w:i/>
          <w:iCs/>
          <w:lang w:val="en-CA"/>
        </w:rPr>
        <w:t>Inconsistent/unpredictable results</w:t>
      </w:r>
      <w:r w:rsidRPr="002866AC">
        <w:rPr>
          <w:lang w:val="en-CA"/>
        </w:rPr>
        <w:t xml:space="preserve">. Part I.D, </w:t>
      </w:r>
      <w:r w:rsidRPr="002866AC">
        <w:rPr>
          <w:i/>
          <w:iCs/>
          <w:lang w:val="en-CA"/>
        </w:rPr>
        <w:t>supra</w:t>
      </w:r>
      <w:r w:rsidRPr="002866AC">
        <w:rPr>
          <w:lang w:val="en-CA"/>
        </w:rPr>
        <w:t xml:space="preserve">, explains that non-agency appellants fare differently among the circuits. It also notes that non-agency appellants fare differently </w:t>
      </w:r>
      <w:r w:rsidRPr="002866AC">
        <w:rPr>
          <w:i/>
          <w:iCs/>
          <w:lang w:val="en-CA"/>
        </w:rPr>
        <w:t>within</w:t>
      </w:r>
      <w:r w:rsidRPr="002866AC">
        <w:rPr>
          <w:lang w:val="en-CA"/>
        </w:rPr>
        <w:t xml:space="preserve"> the same circuit. This Subpart takes a closer look. </w:t>
      </w:r>
    </w:p>
    <w:p w14:paraId="6B5AA974" w14:textId="77777777" w:rsidR="008A045A" w:rsidRPr="002866AC" w:rsidRDefault="008A045A" w:rsidP="00092031">
      <w:pPr>
        <w:rPr>
          <w:lang w:val="en-CA"/>
        </w:rPr>
      </w:pPr>
    </w:p>
    <w:p w14:paraId="27A00103" w14:textId="77777777" w:rsidR="00092031" w:rsidRDefault="00092031" w:rsidP="00092031">
      <w:pPr>
        <w:rPr>
          <w:lang w:val="en-CA"/>
        </w:rPr>
      </w:pPr>
      <w:r w:rsidRPr="002866AC">
        <w:rPr>
          <w:lang w:val="en-CA"/>
        </w:rPr>
        <w:t xml:space="preserve">Again, we know the basic problem in </w:t>
      </w:r>
      <w:r w:rsidRPr="002866AC">
        <w:rPr>
          <w:i/>
          <w:iCs/>
          <w:lang w:val="en-CA"/>
        </w:rPr>
        <w:t>Friends of Hope Valley</w:t>
      </w:r>
      <w:r w:rsidRPr="002866AC">
        <w:rPr>
          <w:lang w:val="en-CA"/>
        </w:rPr>
        <w:t>: The district court remanded the Forest Service’s decision on a narrow issue the plaintiffs barely raised.</w:t>
      </w:r>
      <w:bookmarkStart w:id="87" w:name="_Ref211359132"/>
      <w:r w:rsidRPr="002866AC">
        <w:rPr>
          <w:rStyle w:val="FootnoteReference"/>
          <w:lang w:val="en-CA"/>
        </w:rPr>
        <w:footnoteReference w:id="263"/>
      </w:r>
      <w:bookmarkEnd w:id="87"/>
      <w:r w:rsidRPr="002866AC">
        <w:rPr>
          <w:lang w:val="en-CA"/>
        </w:rPr>
        <w:t xml:space="preserve"> The plaintiffs were accordingly concerned about a “wasted proceeding” on remand. That concern did not carry the day in that case, and </w:t>
      </w:r>
      <w:r w:rsidRPr="002866AC">
        <w:rPr>
          <w:lang w:val="en-CA"/>
        </w:rPr>
        <w:lastRenderedPageBreak/>
        <w:t xml:space="preserve">things turned out well enough, but other Ninth Circuit panels have decided very similar cases very differently. </w:t>
      </w:r>
    </w:p>
    <w:p w14:paraId="4364BD9A" w14:textId="77777777" w:rsidR="008A045A" w:rsidRPr="002866AC" w:rsidRDefault="008A045A" w:rsidP="00092031">
      <w:pPr>
        <w:rPr>
          <w:lang w:val="en-CA"/>
        </w:rPr>
      </w:pPr>
    </w:p>
    <w:p w14:paraId="40538896" w14:textId="77777777" w:rsidR="00092031" w:rsidRDefault="00092031" w:rsidP="00092031">
      <w:pPr>
        <w:rPr>
          <w:lang w:val="en-CA"/>
        </w:rPr>
      </w:pPr>
      <w:r w:rsidRPr="002866AC">
        <w:rPr>
          <w:lang w:val="en-CA"/>
        </w:rPr>
        <w:t xml:space="preserve">Most on point is </w:t>
      </w:r>
      <w:r w:rsidRPr="002866AC">
        <w:rPr>
          <w:i/>
          <w:iCs/>
          <w:lang w:val="en-CA"/>
        </w:rPr>
        <w:t>Sierra Forest Legacy v. Sherman</w:t>
      </w:r>
      <w:r w:rsidRPr="002866AC">
        <w:rPr>
          <w:lang w:val="en-CA"/>
        </w:rPr>
        <w:t>.</w:t>
      </w:r>
      <w:bookmarkStart w:id="88" w:name="_Ref211360236"/>
      <w:r w:rsidRPr="002866AC">
        <w:rPr>
          <w:rStyle w:val="FootnoteReference"/>
          <w:lang w:val="en-CA"/>
        </w:rPr>
        <w:footnoteReference w:id="264"/>
      </w:r>
      <w:bookmarkEnd w:id="88"/>
      <w:r w:rsidRPr="002866AC">
        <w:rPr>
          <w:lang w:val="en-CA"/>
        </w:rPr>
        <w:t xml:space="preserve"> There the Ninth Circuit concluded that a remand was final and appealable as to the environmental NGO plaintiffs because the remand addressed a narrow issue and “placed a judicial imprimatur on the vast majority of the challenged” environmental review at issue in the case.</w:t>
      </w:r>
      <w:r w:rsidRPr="002866AC">
        <w:rPr>
          <w:rStyle w:val="FootnoteReference"/>
          <w:lang w:val="en-CA"/>
        </w:rPr>
        <w:footnoteReference w:id="265"/>
      </w:r>
      <w:r w:rsidRPr="002866AC">
        <w:rPr>
          <w:lang w:val="en-CA"/>
        </w:rPr>
        <w:t xml:space="preserve"> The remand, the court concluded, “permits adherence to rules that the plaintiffs continue to challenge and the Forest Service continues to defend on appeal,” which could “result in a wasted proceeding.”</w:t>
      </w:r>
      <w:r w:rsidRPr="002866AC">
        <w:rPr>
          <w:rStyle w:val="FootnoteReference"/>
          <w:lang w:val="en-CA"/>
        </w:rPr>
        <w:footnoteReference w:id="266"/>
      </w:r>
      <w:r w:rsidRPr="002866AC">
        <w:rPr>
          <w:lang w:val="en-CA"/>
        </w:rPr>
        <w:t xml:space="preserve"> Although later judicial review of the NGOs’ concerns was not necessarily foreclosed, the Ninth Circuit reasoned that “the final judgment rule deals in practice, not theory,” and “we have ignored this requirement in the face of a ‘</w:t>
      </w:r>
      <w:proofErr w:type="spellStart"/>
      <w:r w:rsidRPr="002866AC">
        <w:rPr>
          <w:lang w:val="en-CA"/>
        </w:rPr>
        <w:t>cakeless</w:t>
      </w:r>
      <w:proofErr w:type="spellEnd"/>
      <w:r w:rsidRPr="002866AC">
        <w:rPr>
          <w:lang w:val="en-CA"/>
        </w:rPr>
        <w:t>’ remand.”</w:t>
      </w:r>
      <w:r w:rsidRPr="002866AC">
        <w:rPr>
          <w:rStyle w:val="FootnoteReference"/>
          <w:lang w:val="en-CA"/>
        </w:rPr>
        <w:footnoteReference w:id="267"/>
      </w:r>
      <w:r w:rsidRPr="002866AC">
        <w:rPr>
          <w:lang w:val="en-CA"/>
        </w:rPr>
        <w:t xml:space="preserve"> </w:t>
      </w:r>
    </w:p>
    <w:p w14:paraId="17BCDD91" w14:textId="77777777" w:rsidR="008A045A" w:rsidRPr="002866AC" w:rsidRDefault="008A045A" w:rsidP="00092031">
      <w:pPr>
        <w:rPr>
          <w:lang w:val="en-CA"/>
        </w:rPr>
      </w:pPr>
    </w:p>
    <w:p w14:paraId="5FABBAAE" w14:textId="77777777" w:rsidR="00092031" w:rsidRDefault="00092031" w:rsidP="00092031">
      <w:pPr>
        <w:rPr>
          <w:lang w:val="en-CA"/>
        </w:rPr>
      </w:pPr>
      <w:r w:rsidRPr="002866AC">
        <w:rPr>
          <w:lang w:val="en-CA"/>
        </w:rPr>
        <w:t xml:space="preserve">Each of these statements applied to </w:t>
      </w:r>
      <w:r w:rsidRPr="002866AC">
        <w:rPr>
          <w:i/>
          <w:iCs/>
          <w:lang w:val="en-CA"/>
        </w:rPr>
        <w:t>Friends of Hope Valley</w:t>
      </w:r>
      <w:r w:rsidRPr="002866AC">
        <w:rPr>
          <w:lang w:val="en-CA"/>
        </w:rPr>
        <w:t>, yet the Ninth Circuit there employed the administrative-remand rule to opposite effect in the two cases.</w:t>
      </w:r>
      <w:r w:rsidRPr="002866AC">
        <w:rPr>
          <w:rStyle w:val="FootnoteReference"/>
          <w:lang w:val="en-CA"/>
        </w:rPr>
        <w:footnoteReference w:id="268"/>
      </w:r>
      <w:r w:rsidRPr="002866AC">
        <w:rPr>
          <w:lang w:val="en-CA"/>
        </w:rPr>
        <w:t xml:space="preserve"> The same can be said of the Ninth Circuit’s decision in </w:t>
      </w:r>
      <w:r w:rsidRPr="002866AC">
        <w:rPr>
          <w:i/>
          <w:iCs/>
          <w:lang w:val="en-CA"/>
        </w:rPr>
        <w:t>Bitterroot Ridge Runners Snowmobile Club v. U.S. Forest Service</w:t>
      </w:r>
      <w:r w:rsidRPr="002866AC">
        <w:rPr>
          <w:lang w:val="en-CA"/>
        </w:rPr>
        <w:t>, in which the court allowed an appeal by the plaintiffs simply “[b]</w:t>
      </w:r>
      <w:proofErr w:type="spellStart"/>
      <w:r w:rsidRPr="002866AC">
        <w:rPr>
          <w:lang w:val="en-CA"/>
        </w:rPr>
        <w:t>ecause</w:t>
      </w:r>
      <w:proofErr w:type="spellEnd"/>
      <w:r w:rsidRPr="002866AC">
        <w:rPr>
          <w:lang w:val="en-CA"/>
        </w:rPr>
        <w:t xml:space="preserve"> the lower court upheld the ‘vast majority’ of the agency’s challenged decision.”</w:t>
      </w:r>
      <w:r w:rsidRPr="002866AC">
        <w:rPr>
          <w:rStyle w:val="FootnoteReference"/>
          <w:lang w:val="en-CA"/>
        </w:rPr>
        <w:footnoteReference w:id="269"/>
      </w:r>
      <w:r w:rsidRPr="002866AC">
        <w:rPr>
          <w:lang w:val="en-CA"/>
        </w:rPr>
        <w:t xml:space="preserve"> </w:t>
      </w:r>
    </w:p>
    <w:p w14:paraId="0A522E36" w14:textId="77777777" w:rsidR="008A045A" w:rsidRPr="002866AC" w:rsidRDefault="008A045A" w:rsidP="00092031">
      <w:pPr>
        <w:rPr>
          <w:lang w:val="en-CA"/>
        </w:rPr>
      </w:pPr>
    </w:p>
    <w:p w14:paraId="5A259D65" w14:textId="77777777" w:rsidR="00092031" w:rsidRPr="002866AC" w:rsidRDefault="00092031" w:rsidP="00092031">
      <w:pPr>
        <w:rPr>
          <w:lang w:val="en-CA"/>
        </w:rPr>
      </w:pPr>
      <w:r w:rsidRPr="002866AC">
        <w:rPr>
          <w:lang w:val="en-CA"/>
        </w:rPr>
        <w:t xml:space="preserve">Arguably these results are inconsistent. In my view, though, they are within the range of difference we expect across cases within a circuit, and they are (mostly) unique to the Ninth Circuit. Moreover, the avenues we already have for dealing with any outliers—panel rehearing, rehearing </w:t>
      </w:r>
      <w:proofErr w:type="spellStart"/>
      <w:r w:rsidRPr="002866AC">
        <w:rPr>
          <w:lang w:val="en-CA"/>
        </w:rPr>
        <w:t>en</w:t>
      </w:r>
      <w:proofErr w:type="spellEnd"/>
      <w:r w:rsidRPr="002866AC">
        <w:rPr>
          <w:lang w:val="en-CA"/>
        </w:rPr>
        <w:t xml:space="preserve"> banc, and Supreme Court review—are likely sufficient.</w:t>
      </w:r>
      <w:bookmarkStart w:id="89" w:name="_Ref211361268"/>
      <w:r w:rsidRPr="002866AC">
        <w:rPr>
          <w:rStyle w:val="FootnoteReference"/>
          <w:lang w:val="en-CA"/>
        </w:rPr>
        <w:footnoteReference w:id="270"/>
      </w:r>
      <w:bookmarkEnd w:id="89"/>
      <w:r w:rsidRPr="002866AC">
        <w:rPr>
          <w:lang w:val="en-CA"/>
        </w:rPr>
        <w:t xml:space="preserve"> </w:t>
      </w:r>
    </w:p>
    <w:p w14:paraId="70141304" w14:textId="77777777" w:rsidR="00092031" w:rsidRPr="002866AC" w:rsidRDefault="00092031" w:rsidP="00092031">
      <w:pPr>
        <w:rPr>
          <w:lang w:val="en-CA"/>
        </w:rPr>
      </w:pPr>
      <w:r w:rsidRPr="002866AC">
        <w:rPr>
          <w:lang w:val="en-CA"/>
        </w:rPr>
        <w:lastRenderedPageBreak/>
        <w:t xml:space="preserve">The bigger concern might be that the administrative-remand rule is now sufficiently unpredictable for non-agency parties such that, in at least in the Ninth Circuit, such parties are unsure whether they may appeal a remand (or indeed whether they </w:t>
      </w:r>
      <w:r w:rsidRPr="002866AC">
        <w:rPr>
          <w:i/>
          <w:iCs/>
          <w:lang w:val="en-CA"/>
        </w:rPr>
        <w:t>must</w:t>
      </w:r>
      <w:bookmarkStart w:id="90" w:name="_Ref211359143"/>
      <w:r w:rsidRPr="002866AC">
        <w:rPr>
          <w:rStyle w:val="FootnoteReference"/>
          <w:lang w:val="en-CA"/>
        </w:rPr>
        <w:footnoteReference w:id="271"/>
      </w:r>
      <w:bookmarkEnd w:id="90"/>
      <w:r w:rsidRPr="002866AC">
        <w:rPr>
          <w:lang w:val="en-CA"/>
        </w:rPr>
        <w:t xml:space="preserve">). There just aren’t enough cases with enough explanation to know how a plaintiff will fare in any given case. (Or perhaps there are too many cases pointing in disparate directions.) A uniform, clear test would help minimize this unpredictability. </w:t>
      </w:r>
    </w:p>
    <w:p w14:paraId="4D2A6CCD" w14:textId="77777777" w:rsidR="00092031" w:rsidRPr="002866AC" w:rsidRDefault="00092031" w:rsidP="00092031">
      <w:pPr>
        <w:rPr>
          <w:lang w:val="en-CA"/>
        </w:rPr>
      </w:pPr>
    </w:p>
    <w:p w14:paraId="6F9CC0F9" w14:textId="77777777" w:rsidR="00092031" w:rsidRDefault="00092031" w:rsidP="00092031">
      <w:r w:rsidRPr="002866AC">
        <w:rPr>
          <w:i/>
          <w:iCs/>
        </w:rPr>
        <w:t>Eroding judicial deference to administrative agencies</w:t>
      </w:r>
      <w:r w:rsidRPr="002866AC">
        <w:t>. The Introduction and Part I discussed the benefits of the administrative-remand rule. Most have to do with judicial efficiency, but one does not. By generally barring appeals of remands by non-agency parties, the rule gives space to agencies to reconsider their decisions during the remand process. In this way the rule is inherently deferential to agencies.</w:t>
      </w:r>
      <w:r w:rsidRPr="002866AC">
        <w:rPr>
          <w:rStyle w:val="FootnoteReference"/>
        </w:rPr>
        <w:footnoteReference w:id="272"/>
      </w:r>
    </w:p>
    <w:p w14:paraId="21531AD9" w14:textId="77777777" w:rsidR="008A045A" w:rsidRPr="002866AC" w:rsidRDefault="008A045A" w:rsidP="00092031"/>
    <w:p w14:paraId="6BA3FBC1" w14:textId="77777777" w:rsidR="00092031" w:rsidRDefault="00092031" w:rsidP="00092031">
      <w:r w:rsidRPr="002866AC">
        <w:t>Part I also showed that there is a constant tug-of-war between agencies and the courts.</w:t>
      </w:r>
      <w:bookmarkStart w:id="91" w:name="_Ref211360914"/>
      <w:r w:rsidRPr="002866AC">
        <w:rPr>
          <w:rStyle w:val="FootnoteReference"/>
        </w:rPr>
        <w:footnoteReference w:id="273"/>
      </w:r>
      <w:bookmarkEnd w:id="91"/>
      <w:r w:rsidRPr="002866AC">
        <w:t xml:space="preserve"> In more recent years, the Supreme Court has tugged harder, broadly curtailing judicial deference to agencies (and therefore agency power itself). The Court has eliminated the </w:t>
      </w:r>
      <w:r w:rsidRPr="002866AC">
        <w:rPr>
          <w:i/>
          <w:iCs/>
        </w:rPr>
        <w:t>Chevron</w:t>
      </w:r>
      <w:r w:rsidRPr="002866AC">
        <w:t xml:space="preserve"> doctrine,</w:t>
      </w:r>
      <w:bookmarkStart w:id="92" w:name="_Ref211360356"/>
      <w:r w:rsidRPr="002866AC">
        <w:rPr>
          <w:rStyle w:val="FootnoteReference"/>
        </w:rPr>
        <w:footnoteReference w:id="274"/>
      </w:r>
      <w:bookmarkEnd w:id="92"/>
      <w:r w:rsidRPr="002866AC">
        <w:t xml:space="preserve"> weakened deference to agencies’ interpretations of their own regulations,</w:t>
      </w:r>
      <w:r w:rsidRPr="002866AC">
        <w:rPr>
          <w:rStyle w:val="FootnoteReference"/>
        </w:rPr>
        <w:footnoteReference w:id="275"/>
      </w:r>
      <w:r w:rsidRPr="002866AC">
        <w:t xml:space="preserve"> limited agencies’ administrative enforcement procedures,</w:t>
      </w:r>
      <w:r w:rsidRPr="002866AC">
        <w:rPr>
          <w:rStyle w:val="FootnoteReference"/>
        </w:rPr>
        <w:footnoteReference w:id="276"/>
      </w:r>
      <w:r w:rsidRPr="002866AC">
        <w:t xml:space="preserve"> breathed life into the murky major-questions doctrine,</w:t>
      </w:r>
      <w:r w:rsidRPr="002866AC">
        <w:rPr>
          <w:rStyle w:val="FootnoteReference"/>
        </w:rPr>
        <w:footnoteReference w:id="277"/>
      </w:r>
      <w:r w:rsidRPr="002866AC">
        <w:t xml:space="preserve"> and extended the statute of limitations for challenges to agency action </w:t>
      </w:r>
      <w:r w:rsidRPr="002866AC">
        <w:lastRenderedPageBreak/>
        <w:t>under the APA.</w:t>
      </w:r>
      <w:bookmarkStart w:id="93" w:name="_Ref211360373"/>
      <w:r w:rsidRPr="002866AC">
        <w:rPr>
          <w:rStyle w:val="FootnoteReference"/>
        </w:rPr>
        <w:footnoteReference w:id="278"/>
      </w:r>
      <w:bookmarkEnd w:id="93"/>
      <w:r w:rsidRPr="002866AC">
        <w:t xml:space="preserve"> None of these decisions directly affects administrative remands or the administrative-remand rule, but the diffidence they exhibit towards an independent administrative state might make the circuit courts less likely to rigidly enforce the rule against non-agency parties seeking appellate review of remands. </w:t>
      </w:r>
    </w:p>
    <w:p w14:paraId="1E8BE4BD" w14:textId="77777777" w:rsidR="008A045A" w:rsidRPr="002866AC" w:rsidRDefault="008A045A" w:rsidP="00092031"/>
    <w:p w14:paraId="0CFDF927" w14:textId="77777777" w:rsidR="00092031" w:rsidRDefault="00092031" w:rsidP="00092031">
      <w:r w:rsidRPr="002866AC">
        <w:t>On the other hand, there is a good chance these decisions will increase the number of actions filed in the federal courts.</w:t>
      </w:r>
      <w:r w:rsidRPr="002866AC">
        <w:rPr>
          <w:rStyle w:val="FootnoteReference"/>
        </w:rPr>
        <w:footnoteReference w:id="279"/>
      </w:r>
      <w:r w:rsidRPr="002866AC">
        <w:t xml:space="preserve"> If that happens, appellate judges may be </w:t>
      </w:r>
      <w:r w:rsidRPr="002866AC">
        <w:rPr>
          <w:i/>
          <w:iCs/>
        </w:rPr>
        <w:t>more</w:t>
      </w:r>
      <w:r w:rsidRPr="002866AC">
        <w:t xml:space="preserve"> likely to rigidly enforce the rule so as to limit the number of appeals of remands they hear. </w:t>
      </w:r>
    </w:p>
    <w:p w14:paraId="73377225" w14:textId="77777777" w:rsidR="008A045A" w:rsidRPr="002866AC" w:rsidRDefault="008A045A" w:rsidP="00092031"/>
    <w:p w14:paraId="064BFF26" w14:textId="77777777" w:rsidR="00092031" w:rsidRPr="002866AC" w:rsidRDefault="00092031" w:rsidP="00092031">
      <w:r w:rsidRPr="002866AC">
        <w:t xml:space="preserve">Finally, in the unlikely event the Supreme Court itself takes up a case concerning the administrative-remand rule, the Court’s current conservative majority might be torn between these two ends: weakening the independence of the federal administrative state versus reinforcing the Court’s strict view of what constitutes a “final” order for purposes of appellate review. My money would be on the latter: The administrative-remand rule is merely tangential to the relationship between the judiciary and the administrative state but central to finality and the courts’ operation. Indeed, Supreme Court intervention might return the administrative-remand rule to its status in 1988: strictly employing the collateral-order doctrine’s criteria, under which only agencies may appeal remands. Absent a special exception by Congress, like with the Social Security Act appeals in </w:t>
      </w:r>
      <w:r w:rsidRPr="002866AC">
        <w:rPr>
          <w:i/>
          <w:iCs/>
        </w:rPr>
        <w:t>Finkelstein</w:t>
      </w:r>
      <w:r w:rsidRPr="002866AC">
        <w:t xml:space="preserve"> and </w:t>
      </w:r>
      <w:r w:rsidRPr="002866AC">
        <w:rPr>
          <w:i/>
          <w:iCs/>
        </w:rPr>
        <w:t>Forney</w:t>
      </w:r>
      <w:r w:rsidRPr="002866AC">
        <w:t>, the plain language of 28 U.S.C. §§ 1291 and 1292 probably prevails. But who knows.</w:t>
      </w:r>
      <w:r w:rsidRPr="002866AC">
        <w:rPr>
          <w:rStyle w:val="FootnoteReference"/>
        </w:rPr>
        <w:footnoteReference w:id="280"/>
      </w:r>
      <w:r w:rsidRPr="002866AC">
        <w:t xml:space="preserve"> </w:t>
      </w:r>
    </w:p>
    <w:p w14:paraId="2C880E34" w14:textId="77777777" w:rsidR="00092031" w:rsidRPr="002866AC" w:rsidRDefault="00092031" w:rsidP="00092031"/>
    <w:p w14:paraId="7A95999C" w14:textId="77777777" w:rsidR="00092031" w:rsidRDefault="00092031" w:rsidP="00092031">
      <w:r w:rsidRPr="002866AC">
        <w:rPr>
          <w:i/>
          <w:iCs/>
        </w:rPr>
        <w:t>The spiral of shrinking appellate review</w:t>
      </w:r>
      <w:r w:rsidRPr="002866AC">
        <w:t xml:space="preserve">. The administrative-remand rule has resulted in two more consequences; neither was predictable but both are problematic. First, many circuits justify applying the administrative-remand rule to deny appellate review of a remand on the ground that the appellant could have sought certification of an order for interlocutory appeal under Federal Rule of </w:t>
      </w:r>
      <w:r w:rsidRPr="002866AC">
        <w:lastRenderedPageBreak/>
        <w:t>Civil Procedure 54(b) or 28 U.S.C. § 1292(b).</w:t>
      </w:r>
      <w:bookmarkStart w:id="94" w:name="_Ref211359230"/>
      <w:r w:rsidRPr="002866AC">
        <w:rPr>
          <w:rStyle w:val="FootnoteReference"/>
        </w:rPr>
        <w:footnoteReference w:id="281"/>
      </w:r>
      <w:bookmarkEnd w:id="94"/>
      <w:r w:rsidRPr="002866AC">
        <w:t xml:space="preserve"> Yet an increasing number of </w:t>
      </w:r>
      <w:r w:rsidRPr="002866AC">
        <w:rPr>
          <w:i/>
          <w:iCs/>
        </w:rPr>
        <w:t>district courts</w:t>
      </w:r>
      <w:r w:rsidRPr="002866AC">
        <w:t xml:space="preserve"> are using the administrative-remand rule itself to deny such certification.</w:t>
      </w:r>
      <w:bookmarkStart w:id="95" w:name="_Ref211361305"/>
      <w:r w:rsidRPr="002866AC">
        <w:rPr>
          <w:rStyle w:val="FootnoteReference"/>
        </w:rPr>
        <w:footnoteReference w:id="282"/>
      </w:r>
      <w:bookmarkEnd w:id="95"/>
      <w:r w:rsidRPr="002866AC">
        <w:t xml:space="preserve"> This puts the cart before the horse, because the administrative-remand rule should come into play only </w:t>
      </w:r>
      <w:r w:rsidRPr="002866AC">
        <w:rPr>
          <w:i/>
          <w:iCs/>
        </w:rPr>
        <w:t>after</w:t>
      </w:r>
      <w:r w:rsidRPr="002866AC">
        <w:t xml:space="preserve"> a district court has determined whether the standards in Rule 54(b) or section 1292(b) have been met. Moreover, only appellate courts (not district courts) apply and enforce the administrative-remand rule. District courts, or at least some of them, are in essence denying </w:t>
      </w:r>
      <w:proofErr w:type="gramStart"/>
      <w:r w:rsidRPr="002866AC">
        <w:t>applicants</w:t>
      </w:r>
      <w:proofErr w:type="gramEnd"/>
      <w:r w:rsidRPr="002866AC">
        <w:t xml:space="preserve"> admission to law school because they haven’t yet passed the bar exam. The administrative-remand rule was never intended to be put to such tail-chasing, self-defeating ends. </w:t>
      </w:r>
    </w:p>
    <w:p w14:paraId="24C391DD" w14:textId="77777777" w:rsidR="008A045A" w:rsidRPr="002866AC" w:rsidRDefault="008A045A" w:rsidP="00092031"/>
    <w:p w14:paraId="5832E2C4" w14:textId="77777777" w:rsidR="00092031" w:rsidRDefault="00092031" w:rsidP="00092031">
      <w:r w:rsidRPr="002866AC">
        <w:t>Second, the administrative-remand rule could be (and in fact has been) used to block an appellant from appealing a ruling that theoretically could have been raised in an earlier appeal.</w:t>
      </w:r>
      <w:bookmarkStart w:id="96" w:name="_Ref211361282"/>
      <w:r w:rsidRPr="002866AC">
        <w:rPr>
          <w:rStyle w:val="FootnoteReference"/>
        </w:rPr>
        <w:footnoteReference w:id="283"/>
      </w:r>
      <w:bookmarkEnd w:id="96"/>
      <w:r w:rsidRPr="002866AC">
        <w:t xml:space="preserve"> Specifically, where an appellant (agency or non-agency) appeals a final judgment that, through the merger doctrine,</w:t>
      </w:r>
      <w:r w:rsidRPr="002866AC">
        <w:rPr>
          <w:rStyle w:val="FootnoteReference"/>
        </w:rPr>
        <w:footnoteReference w:id="284"/>
      </w:r>
      <w:r w:rsidRPr="002866AC">
        <w:t xml:space="preserve"> includes </w:t>
      </w:r>
      <w:r w:rsidRPr="002866AC">
        <w:lastRenderedPageBreak/>
        <w:t>an issue implicated in a mid-litigation remand, and the appellant did not try to appeal the remand at the time it was issued, a creative lawyer or judge could argue that the appeal is barred. One Ninth Circuit judge has done just that. In his view, the Ninth Circuit’s porous version of the administrative-remand rule permitted a plaintiff to appeal an earlier remand, and any unfairness from the court’s refusal to consider the plaintiff’s claims after final judgment would be “a consequence of its own litigation strategy.”</w:t>
      </w:r>
      <w:r w:rsidRPr="002866AC">
        <w:rPr>
          <w:rStyle w:val="FootnoteReference"/>
        </w:rPr>
        <w:footnoteReference w:id="285"/>
      </w:r>
      <w:r w:rsidRPr="002866AC">
        <w:t xml:space="preserve"> Under this view, a “party gets one opportunity—and only one opportunity—to seek appellate review of an adverse judgment on a claim.”</w:t>
      </w:r>
      <w:r w:rsidRPr="002866AC">
        <w:rPr>
          <w:rStyle w:val="FootnoteReference"/>
        </w:rPr>
        <w:footnoteReference w:id="286"/>
      </w:r>
      <w:r w:rsidRPr="002866AC">
        <w:t xml:space="preserve"> </w:t>
      </w:r>
    </w:p>
    <w:p w14:paraId="391DD19B" w14:textId="77777777" w:rsidR="008A045A" w:rsidRPr="002866AC" w:rsidRDefault="008A045A" w:rsidP="00092031"/>
    <w:p w14:paraId="33326507" w14:textId="77777777" w:rsidR="00092031" w:rsidRPr="002866AC" w:rsidRDefault="00092031" w:rsidP="00092031">
      <w:r w:rsidRPr="002866AC">
        <w:t xml:space="preserve">This line of thinking is troubling, at least if it becomes law somewhere. Under it, agency and non-agency parties alike would have to appeal a remand at the time a district court issues the remand or risk being barred from doing so later. In many cases this problem would not arise, simply because later review would be foreclosed anyway. But it is not always predictable when that will be the case, and, as discussed, that test is often </w:t>
      </w:r>
      <w:r w:rsidRPr="002866AC">
        <w:rPr>
          <w:i/>
          <w:iCs/>
        </w:rPr>
        <w:t>not</w:t>
      </w:r>
      <w:r w:rsidRPr="002866AC">
        <w:t xml:space="preserve"> met for non-agency parties. In this world, the administrative-remand rule could operate to bar entirely appellate review of an issue, and it would encourage exactly what the rule is designed to prevent in the first instance: lots of interlocutory appeals and all the costs that come with them.</w:t>
      </w:r>
      <w:r w:rsidRPr="002866AC">
        <w:rPr>
          <w:rStyle w:val="FootnoteReference"/>
        </w:rPr>
        <w:footnoteReference w:id="287"/>
      </w:r>
      <w:r w:rsidRPr="002866AC">
        <w:t xml:space="preserve"> As </w:t>
      </w:r>
      <w:r w:rsidRPr="002866AC">
        <w:rPr>
          <w:i/>
          <w:iCs/>
        </w:rPr>
        <w:t>Federal Practice &amp; Procedure</w:t>
      </w:r>
      <w:r w:rsidRPr="002866AC">
        <w:t xml:space="preserve"> observes about the collateral-order doctrine, “the theory should not be used to defeat appeal from a subsequent final judgment on the ground that appeal could have been taken earlier. [The c]</w:t>
      </w:r>
      <w:proofErr w:type="spellStart"/>
      <w:r w:rsidRPr="002866AC">
        <w:t>ollateral</w:t>
      </w:r>
      <w:proofErr w:type="spellEnd"/>
      <w:r w:rsidRPr="002866AC">
        <w:t>-order doctrine creates an opportunity, not a trap.”</w:t>
      </w:r>
      <w:bookmarkStart w:id="97" w:name="_Ref211361289"/>
      <w:r w:rsidRPr="002866AC">
        <w:rPr>
          <w:rStyle w:val="FootnoteReference"/>
        </w:rPr>
        <w:footnoteReference w:id="288"/>
      </w:r>
      <w:bookmarkEnd w:id="97"/>
      <w:r w:rsidRPr="002866AC">
        <w:t xml:space="preserve"> So it should be for the administrative-remand rule.</w:t>
      </w:r>
    </w:p>
    <w:p w14:paraId="2F5A7FA2" w14:textId="77777777" w:rsidR="00092031" w:rsidRPr="002866AC" w:rsidRDefault="00092031" w:rsidP="00092031"/>
    <w:p w14:paraId="18EDCDBE" w14:textId="77777777" w:rsidR="008A045A" w:rsidRDefault="00092031" w:rsidP="00092031">
      <w:r w:rsidRPr="002866AC">
        <w:rPr>
          <w:i/>
          <w:iCs/>
        </w:rPr>
        <w:t>Temporal forum-shopping and politicized agency decision-making</w:t>
      </w:r>
      <w:r w:rsidRPr="002866AC">
        <w:t>. Administrative agencies theoretically derive their direction from acts of Congress, and yet they are housed within, and take substantial direction from, the Executive.</w:t>
      </w:r>
      <w:r w:rsidRPr="002866AC">
        <w:rPr>
          <w:rStyle w:val="FootnoteReference"/>
        </w:rPr>
        <w:footnoteReference w:id="289"/>
      </w:r>
      <w:r w:rsidRPr="002866AC">
        <w:t xml:space="preserve"> Administrative lawyers therefore know that an agency acting under one presidential administration will not necessarily reach the same </w:t>
      </w:r>
      <w:r w:rsidRPr="002866AC">
        <w:lastRenderedPageBreak/>
        <w:t>decision under a different one.</w:t>
      </w:r>
      <w:r w:rsidRPr="002866AC">
        <w:rPr>
          <w:rStyle w:val="FootnoteReference"/>
        </w:rPr>
        <w:footnoteReference w:id="290"/>
      </w:r>
      <w:r w:rsidRPr="002866AC">
        <w:t xml:space="preserve"> Litigants exploit that fact by engaging in temporal forum-shopping: “the practice of choosing the most favorable jurisdiction or court in which a claim might be heard </w:t>
      </w:r>
      <w:r w:rsidRPr="002866AC">
        <w:rPr>
          <w:i/>
          <w:iCs/>
        </w:rPr>
        <w:t>across time</w:t>
      </w:r>
      <w:r w:rsidRPr="002866AC">
        <w:t>.”</w:t>
      </w:r>
      <w:r w:rsidRPr="002866AC">
        <w:rPr>
          <w:rStyle w:val="FootnoteReference"/>
        </w:rPr>
        <w:footnoteReference w:id="291"/>
      </w:r>
      <w:r w:rsidRPr="002866AC">
        <w:t xml:space="preserve"> The administrative-remand rule can be an important factor in this calculus.</w:t>
      </w:r>
    </w:p>
    <w:p w14:paraId="3DDF2545" w14:textId="47FEE6EC" w:rsidR="00092031" w:rsidRPr="002866AC" w:rsidRDefault="00092031" w:rsidP="00092031">
      <w:r w:rsidRPr="002866AC">
        <w:t xml:space="preserve"> </w:t>
      </w:r>
    </w:p>
    <w:p w14:paraId="34A5A37B" w14:textId="77777777" w:rsidR="00092031" w:rsidRDefault="00092031" w:rsidP="00092031">
      <w:pPr>
        <w:rPr>
          <w:rFonts w:eastAsia="Quattrocento"/>
        </w:rPr>
      </w:pPr>
      <w:r w:rsidRPr="002866AC">
        <w:t xml:space="preserve">Agencies have even more control (and thus more incentive to temporally forum-shop). </w:t>
      </w:r>
      <w:r w:rsidRPr="002866AC">
        <w:rPr>
          <w:rFonts w:eastAsia="Quattrocento"/>
        </w:rPr>
        <w:t>The administrative-remand rule allows new presidential administrations to abandon their predecessors’ administrative decisions and insulate them behind a wall of judicial deference, with no political accountability. How? Instead of appealing a remand, an agency acting under a new administration may choose to accept the remand (or request a voluntary remand). The agency can then issue a new decision on remand that is more in line with the new administration’s direction.</w:t>
      </w:r>
      <w:r w:rsidRPr="002866AC">
        <w:rPr>
          <w:rStyle w:val="FootnoteReference"/>
          <w:rFonts w:eastAsia="Quattrocento"/>
        </w:rPr>
        <w:footnoteReference w:id="292"/>
      </w:r>
      <w:r w:rsidRPr="002866AC">
        <w:rPr>
          <w:rFonts w:eastAsia="Quattrocento"/>
        </w:rPr>
        <w:t xml:space="preserve"> Carefully timed settlements can have the same effect,</w:t>
      </w:r>
      <w:r w:rsidRPr="002866AC">
        <w:rPr>
          <w:rStyle w:val="FootnoteReference"/>
          <w:rFonts w:eastAsia="Quattrocento"/>
        </w:rPr>
        <w:footnoteReference w:id="293"/>
      </w:r>
      <w:r w:rsidRPr="002866AC">
        <w:rPr>
          <w:rFonts w:eastAsia="Quattrocento"/>
        </w:rPr>
        <w:t xml:space="preserve"> but they require the buy-in of multiple parties; administrative remands are manipulable by agencies acting alone, without the assent of other litigants.</w:t>
      </w:r>
    </w:p>
    <w:p w14:paraId="2F0A4A60" w14:textId="77777777" w:rsidR="008A045A" w:rsidRPr="002866AC" w:rsidRDefault="008A045A" w:rsidP="00092031"/>
    <w:p w14:paraId="517D703D" w14:textId="77777777" w:rsidR="00092031" w:rsidRPr="002866AC" w:rsidRDefault="00092031" w:rsidP="00092031">
      <w:r w:rsidRPr="002866AC">
        <w:t>The administrative-remand rule therefore provides a potentially powerful maneuver for parties, especially agencies, to engage in temporal forum-shopping.</w:t>
      </w:r>
      <w:r w:rsidRPr="002866AC">
        <w:rPr>
          <w:rStyle w:val="FootnoteReference"/>
        </w:rPr>
        <w:footnoteReference w:id="294"/>
      </w:r>
      <w:r w:rsidRPr="002866AC">
        <w:t xml:space="preserve"> To the extent this problem exists (or could come to exist), it favors not only uniformity among the circuits but also decoupling, in at least some circumstances, a non-agency party’s ability to appeal a remand from whether the agency appeals. That could go in either direction—towards what the rule used to </w:t>
      </w:r>
      <w:r w:rsidRPr="002866AC">
        <w:lastRenderedPageBreak/>
        <w:t>be (only agencies may appeal remands) or towards a rule that gives non-agency parties a more consistent opportunity to appeal remands.</w:t>
      </w:r>
      <w:r w:rsidRPr="002866AC">
        <w:rPr>
          <w:rStyle w:val="FootnoteReference"/>
        </w:rPr>
        <w:footnoteReference w:id="295"/>
      </w:r>
      <w:r w:rsidRPr="002866AC">
        <w:t xml:space="preserve"> </w:t>
      </w:r>
    </w:p>
    <w:p w14:paraId="5447A3BC" w14:textId="77777777" w:rsidR="00092031" w:rsidRPr="002866AC" w:rsidRDefault="00092031" w:rsidP="00092031"/>
    <w:p w14:paraId="5B613963" w14:textId="77777777" w:rsidR="00092031" w:rsidRPr="002866AC" w:rsidRDefault="00092031" w:rsidP="008A045A">
      <w:pPr>
        <w:pStyle w:val="Heading2"/>
      </w:pPr>
      <w:r w:rsidRPr="002866AC">
        <w:t xml:space="preserve"> </w:t>
      </w:r>
      <w:bookmarkStart w:id="98" w:name="_Toc212214167"/>
      <w:r w:rsidRPr="002866AC">
        <w:t>Towards a Better Administrative-Remand Rule</w:t>
      </w:r>
      <w:bookmarkEnd w:id="98"/>
    </w:p>
    <w:p w14:paraId="3BE37FDB" w14:textId="77777777" w:rsidR="00092031" w:rsidRPr="002866AC" w:rsidRDefault="00092031" w:rsidP="00092031">
      <w:pPr>
        <w:rPr>
          <w:rFonts w:cs="Times New Roman"/>
          <w:smallCaps/>
        </w:rPr>
      </w:pPr>
    </w:p>
    <w:p w14:paraId="21ACB5D3" w14:textId="77777777" w:rsidR="00092031" w:rsidRDefault="00092031" w:rsidP="00092031">
      <w:r w:rsidRPr="002866AC">
        <w:t>In 1892, the Supreme Court lamented: “Probably no question of equity practice has been the subject of more frequent discussion in this court than the finality of decrees.”</w:t>
      </w:r>
      <w:r w:rsidRPr="002866AC">
        <w:rPr>
          <w:rStyle w:val="FootnoteReference"/>
        </w:rPr>
        <w:footnoteReference w:id="296"/>
      </w:r>
      <w:r w:rsidRPr="002866AC">
        <w:t xml:space="preserve"> The Court’s finality decisions, “it must be conceded, are not altogether harmonious.”</w:t>
      </w:r>
      <w:r w:rsidRPr="002866AC">
        <w:rPr>
          <w:rStyle w:val="FootnoteReference"/>
        </w:rPr>
        <w:footnoteReference w:id="297"/>
      </w:r>
      <w:r w:rsidRPr="002866AC">
        <w:t xml:space="preserve"> </w:t>
      </w:r>
    </w:p>
    <w:p w14:paraId="016C0EC2" w14:textId="77777777" w:rsidR="008A045A" w:rsidRPr="002866AC" w:rsidRDefault="008A045A" w:rsidP="00092031"/>
    <w:p w14:paraId="79C81B24" w14:textId="77777777" w:rsidR="00092031" w:rsidRDefault="00092031" w:rsidP="00092031">
      <w:r w:rsidRPr="002866AC">
        <w:t xml:space="preserve">So it is with the administrative-remand rule. Ever do appellate judges try to craft and apply a rule that balances efficiency and justice, and ever do they get it right and wrong. There is much to be said for the circuits’ current approach: Adopt a rule that fits a particular circuit’s judicial philosophy and caseload; apply that rule as best it can in any given case; and accept that, in some cases, efficiency and justice are in fact zero-sum. From </w:t>
      </w:r>
      <w:r w:rsidRPr="002866AC">
        <w:rPr>
          <w:i/>
          <w:iCs/>
        </w:rPr>
        <w:t>Friends of Hope Valley</w:t>
      </w:r>
      <w:r w:rsidRPr="002866AC">
        <w:t xml:space="preserve"> and Part I, we see that this approach generally yields sensible outcomes.</w:t>
      </w:r>
    </w:p>
    <w:p w14:paraId="00FFE5E1" w14:textId="77777777" w:rsidR="008A045A" w:rsidRPr="002866AC" w:rsidRDefault="008A045A" w:rsidP="00092031"/>
    <w:p w14:paraId="0CC63CD3" w14:textId="77777777" w:rsidR="00092031" w:rsidRDefault="00092031" w:rsidP="00092031">
      <w:r w:rsidRPr="002866AC">
        <w:t>Still, the courts can do better than “generally.” How the circuits conceive of and fashion the administrative-remand rule is inconsistent and confusing. For non-agency parties, in many circuits the rule serves as a total or likely bar to appeal, even of a remand that is likely to be truly meaningless or cause concrete harm. Even in those circuits that sometimes allow appeals by non-agency parties, the general rule against them is either still too tight or too unpredictable. Allowing appeals by non-agency parties in selected circumstances would reduce any geographic and temporal forum-shopping, both by agencies and non-agency parties. And while they are important, alternative avenues for appealing district-court orders (e.g., certification under Federal Rule of Civil Procedure 54(b) or 28 U.S.C. § 1292(b)) are not replacements.</w:t>
      </w:r>
      <w:bookmarkStart w:id="99" w:name="_Ref211359240"/>
      <w:r w:rsidRPr="002866AC">
        <w:rPr>
          <w:rStyle w:val="FootnoteReference"/>
        </w:rPr>
        <w:footnoteReference w:id="298"/>
      </w:r>
      <w:bookmarkEnd w:id="99"/>
      <w:r w:rsidRPr="002866AC">
        <w:t xml:space="preserve"> </w:t>
      </w:r>
    </w:p>
    <w:p w14:paraId="70ED9346" w14:textId="77777777" w:rsidR="008A045A" w:rsidRPr="002866AC" w:rsidRDefault="008A045A" w:rsidP="00092031"/>
    <w:p w14:paraId="2C183129" w14:textId="77777777" w:rsidR="00092031" w:rsidRDefault="00092031" w:rsidP="00092031">
      <w:r w:rsidRPr="002866AC">
        <w:t xml:space="preserve">The following modifications would preserve the administrative-remand rule’s benefits while ensuring and regularizing fairness in more cases where the rule should give way. </w:t>
      </w:r>
    </w:p>
    <w:p w14:paraId="29A48B1F" w14:textId="77777777" w:rsidR="008A045A" w:rsidRPr="002866AC" w:rsidRDefault="008A045A" w:rsidP="00092031"/>
    <w:p w14:paraId="3722C8D0" w14:textId="77777777" w:rsidR="00092031" w:rsidRPr="002866AC" w:rsidRDefault="00092031" w:rsidP="00092031"/>
    <w:p w14:paraId="4C7EA203" w14:textId="77777777" w:rsidR="00092031" w:rsidRPr="002866AC" w:rsidRDefault="00092031" w:rsidP="00092031">
      <w:r w:rsidRPr="002866AC">
        <w:rPr>
          <w:i/>
          <w:iCs/>
        </w:rPr>
        <w:lastRenderedPageBreak/>
        <w:t>Greater uniformity among the circuits</w:t>
      </w:r>
      <w:r w:rsidRPr="002866AC">
        <w:t>. Above I show that the circuits have different tests for determining the appealability of remands.</w:t>
      </w:r>
      <w:bookmarkStart w:id="100" w:name="_Ref211360943"/>
      <w:r w:rsidRPr="002866AC">
        <w:rPr>
          <w:rStyle w:val="FootnoteReference"/>
        </w:rPr>
        <w:footnoteReference w:id="299"/>
      </w:r>
      <w:bookmarkEnd w:id="100"/>
      <w:r w:rsidRPr="002866AC">
        <w:t xml:space="preserve"> Indeed, the circuits are not even consistent in whether they conceive of the administrative-remand rule and “exceptions” to it as an extension of the final-judgment rule, as a product of “practical finality,” or as a straightforward application of the collateral-order doctrine.</w:t>
      </w:r>
      <w:r w:rsidRPr="002866AC">
        <w:rPr>
          <w:rStyle w:val="FootnoteReference"/>
        </w:rPr>
        <w:footnoteReference w:id="300"/>
      </w:r>
      <w:r w:rsidRPr="002866AC">
        <w:t xml:space="preserve"> Yes, the circuits arrive at similar outcomes most of the time, but it took me (and, more unfortunately, you) plodding through Part I to understand that. Furthermore, the differences are confusing for courts and parties, and the differences do sometimes matter, especially for non-agency parties. Bryan Lammon helpfully advises that the courts should “more candidly distinguish the different contexts in which they interpret § 1291” in order to bring clarity and transparency to their finality decisions.</w:t>
      </w:r>
      <w:bookmarkStart w:id="101" w:name="_Ref211360954"/>
      <w:r w:rsidRPr="002866AC">
        <w:rPr>
          <w:rStyle w:val="FootnoteReference"/>
        </w:rPr>
        <w:footnoteReference w:id="301"/>
      </w:r>
      <w:bookmarkEnd w:id="101"/>
      <w:r w:rsidRPr="002866AC">
        <w:t xml:space="preserve"> In the administrative-remand context, I would go a step further and advocate for a single rule, grounded in a clear and single basis, across all the circuits:</w:t>
      </w:r>
    </w:p>
    <w:p w14:paraId="311A2DC0" w14:textId="77777777" w:rsidR="00092031" w:rsidRPr="002866AC" w:rsidRDefault="00092031" w:rsidP="00092031"/>
    <w:p w14:paraId="5459DE5D" w14:textId="77777777" w:rsidR="00092031" w:rsidRDefault="00092031" w:rsidP="00092031">
      <w:r w:rsidRPr="002866AC">
        <w:rPr>
          <w:i/>
          <w:iCs/>
        </w:rPr>
        <w:t>A better rule would be one that always allows appeals by agencies and generally prohibits appeals of remands by non-agency parties, but permits appeals by non-agency parties when necessary to reach “important” legal questions, avoid “wasted proceedings,” and avoid harm during the remand process</w:t>
      </w:r>
      <w:r w:rsidRPr="002866AC">
        <w:t xml:space="preserve">. There is something to be said for each of the circuits’ versions of the administrative-remand rule (or at least for the versions that are clearly articulated). Some are simple and clear, some find firm footing in Supreme Court case law, some get at key criteria, and some are appropriately flexible. </w:t>
      </w:r>
    </w:p>
    <w:p w14:paraId="6855BCCD" w14:textId="77777777" w:rsidR="008A045A" w:rsidRPr="002866AC" w:rsidRDefault="008A045A" w:rsidP="00092031"/>
    <w:p w14:paraId="16B477CB" w14:textId="77777777" w:rsidR="00092031" w:rsidRDefault="00092031" w:rsidP="00092031">
      <w:r w:rsidRPr="002866AC">
        <w:t xml:space="preserve">In my view, the D.C., Ninth, and Tenth Circuits’ tests all have positive attributes worth carrying forward but tinkering with. The Ninth Circuit’s test is (mostly) rooted in a practical conception of the </w:t>
      </w:r>
      <w:r w:rsidRPr="002866AC">
        <w:rPr>
          <w:i/>
          <w:iCs/>
        </w:rPr>
        <w:t>collateral-order doctrine</w:t>
      </w:r>
      <w:r w:rsidRPr="002866AC">
        <w:t xml:space="preserve"> (conclusive determination, separability, and later review precluded) but adds an important criterion: whether, without appellate review, the remand might result in a </w:t>
      </w:r>
      <w:r w:rsidRPr="002866AC">
        <w:rPr>
          <w:i/>
          <w:iCs/>
        </w:rPr>
        <w:t>wasted proceeding</w:t>
      </w:r>
      <w:r w:rsidRPr="002866AC">
        <w:t>.</w:t>
      </w:r>
      <w:r w:rsidRPr="002866AC">
        <w:rPr>
          <w:rStyle w:val="FootnoteReference"/>
        </w:rPr>
        <w:footnoteReference w:id="302"/>
      </w:r>
      <w:r w:rsidRPr="002866AC">
        <w:t xml:space="preserve"> The D.C. Circuit’s test (as well as other circuits’) helpfully asks </w:t>
      </w:r>
      <w:r w:rsidRPr="002866AC">
        <w:rPr>
          <w:i/>
          <w:iCs/>
        </w:rPr>
        <w:t>when</w:t>
      </w:r>
      <w:r w:rsidRPr="002866AC">
        <w:t xml:space="preserve"> the remand comes in the litigation.</w:t>
      </w:r>
      <w:r w:rsidRPr="002866AC">
        <w:rPr>
          <w:rStyle w:val="FootnoteReference"/>
        </w:rPr>
        <w:footnoteReference w:id="303"/>
      </w:r>
      <w:r w:rsidRPr="002866AC">
        <w:t xml:space="preserve"> A remand that leaves little for the agency or the court to do would support review, while one that leaves significant further proceedings would weigh against it.</w:t>
      </w:r>
      <w:r w:rsidRPr="002866AC">
        <w:rPr>
          <w:rStyle w:val="FootnoteReference"/>
        </w:rPr>
        <w:footnoteReference w:id="304"/>
      </w:r>
      <w:r w:rsidRPr="002866AC">
        <w:t xml:space="preserve"> And The Tenth Circuit’s test helpfully asks whether the remand concerns an </w:t>
      </w:r>
      <w:r w:rsidRPr="002866AC">
        <w:rPr>
          <w:i/>
          <w:iCs/>
        </w:rPr>
        <w:t xml:space="preserve">important legal </w:t>
      </w:r>
      <w:r w:rsidRPr="002866AC">
        <w:rPr>
          <w:i/>
          <w:iCs/>
        </w:rPr>
        <w:lastRenderedPageBreak/>
        <w:t>issue</w:t>
      </w:r>
      <w:r w:rsidRPr="002866AC">
        <w:t xml:space="preserve"> and whether appellate review is</w:t>
      </w:r>
      <w:r w:rsidRPr="002866AC">
        <w:rPr>
          <w:i/>
          <w:iCs/>
        </w:rPr>
        <w:t xml:space="preserve"> urgent</w:t>
      </w:r>
      <w:r w:rsidRPr="002866AC">
        <w:t>.</w:t>
      </w:r>
      <w:r w:rsidRPr="002866AC">
        <w:rPr>
          <w:rStyle w:val="FootnoteReference"/>
        </w:rPr>
        <w:footnoteReference w:id="305"/>
      </w:r>
      <w:r w:rsidRPr="002866AC">
        <w:t xml:space="preserve"> One basis for finding urgency would be a </w:t>
      </w:r>
      <w:r w:rsidRPr="002866AC">
        <w:rPr>
          <w:i/>
          <w:iCs/>
        </w:rPr>
        <w:t>substantial risk of</w:t>
      </w:r>
      <w:r w:rsidRPr="002866AC">
        <w:t xml:space="preserve"> </w:t>
      </w:r>
      <w:r w:rsidRPr="002866AC">
        <w:rPr>
          <w:i/>
          <w:iCs/>
        </w:rPr>
        <w:t>irreparable harm</w:t>
      </w:r>
      <w:r w:rsidRPr="002866AC">
        <w:t>, such as through vacatur of the agency’s decision during the remand.</w:t>
      </w:r>
      <w:r w:rsidRPr="002866AC">
        <w:rPr>
          <w:rStyle w:val="FootnoteReference"/>
        </w:rPr>
        <w:footnoteReference w:id="306"/>
      </w:r>
      <w:r w:rsidRPr="002866AC">
        <w:t xml:space="preserve"> </w:t>
      </w:r>
    </w:p>
    <w:p w14:paraId="6E78C06D" w14:textId="77777777" w:rsidR="008A045A" w:rsidRPr="002866AC" w:rsidRDefault="008A045A" w:rsidP="00092031"/>
    <w:p w14:paraId="246470B4" w14:textId="77777777" w:rsidR="00092031" w:rsidRPr="002866AC" w:rsidRDefault="00092031" w:rsidP="00092031">
      <w:r w:rsidRPr="002866AC">
        <w:t xml:space="preserve">Under the test I propose, a district-court order or decision remanding an agency’s decision under the APA would </w:t>
      </w:r>
      <w:r w:rsidRPr="002866AC">
        <w:rPr>
          <w:i/>
          <w:iCs/>
        </w:rPr>
        <w:t>not</w:t>
      </w:r>
      <w:r w:rsidRPr="002866AC">
        <w:t xml:space="preserve"> be final and appealable under 28 U.S.C. § 1291 unless:</w:t>
      </w:r>
    </w:p>
    <w:p w14:paraId="3C446795" w14:textId="77777777" w:rsidR="00092031" w:rsidRPr="002866AC" w:rsidRDefault="00092031" w:rsidP="00092031"/>
    <w:p w14:paraId="27468FD4" w14:textId="77777777" w:rsidR="00092031" w:rsidRPr="002866AC" w:rsidRDefault="00092031" w:rsidP="008A045A">
      <w:pPr>
        <w:pStyle w:val="BlockQuote"/>
      </w:pPr>
      <w:r w:rsidRPr="002866AC">
        <w:t xml:space="preserve">The appellant is the agency; </w:t>
      </w:r>
      <w:r w:rsidRPr="002866AC">
        <w:rPr>
          <w:i/>
          <w:iCs/>
        </w:rPr>
        <w:t>or</w:t>
      </w:r>
    </w:p>
    <w:p w14:paraId="5908838B" w14:textId="77777777" w:rsidR="00092031" w:rsidRPr="002866AC" w:rsidRDefault="00092031" w:rsidP="008A045A">
      <w:pPr>
        <w:pStyle w:val="BlockQuote"/>
      </w:pPr>
      <w:r w:rsidRPr="002866AC">
        <w:t>The appellant is a non-agency party, the remand conclusively resolves a separable</w:t>
      </w:r>
      <w:r w:rsidRPr="002866AC">
        <w:rPr>
          <w:rStyle w:val="FootnoteReference"/>
          <w:rFonts w:cs="Times New Roman"/>
        </w:rPr>
        <w:footnoteReference w:id="307"/>
      </w:r>
      <w:r w:rsidRPr="002866AC">
        <w:t xml:space="preserve"> and important legal issue, and any of the following is true:</w:t>
      </w:r>
    </w:p>
    <w:p w14:paraId="36AB48EF" w14:textId="77777777" w:rsidR="00092031" w:rsidRPr="002866AC" w:rsidRDefault="00092031" w:rsidP="008A045A">
      <w:pPr>
        <w:pStyle w:val="BlockQuote"/>
      </w:pPr>
      <w:r w:rsidRPr="002866AC">
        <w:t>The remand is effectively a final decision because it leaves little for the court and agency to do;</w:t>
      </w:r>
    </w:p>
    <w:p w14:paraId="6419BFB4" w14:textId="77777777" w:rsidR="00092031" w:rsidRPr="002866AC" w:rsidRDefault="00092031" w:rsidP="008A045A">
      <w:pPr>
        <w:pStyle w:val="BlockQuote"/>
      </w:pPr>
      <w:r w:rsidRPr="002866AC">
        <w:t>Later review would be precluded without immediate appeal;</w:t>
      </w:r>
    </w:p>
    <w:p w14:paraId="4ADC5626" w14:textId="77777777" w:rsidR="00092031" w:rsidRPr="002866AC" w:rsidRDefault="00092031" w:rsidP="008A045A">
      <w:pPr>
        <w:pStyle w:val="BlockQuote"/>
      </w:pPr>
      <w:r w:rsidRPr="002866AC">
        <w:t xml:space="preserve">The remand is likely to result in a wasted proceeding, such as by forcing the agency to apply a potentially erroneous rule or engage in proceedings that are not relevant to the plaintiff’s claims or sought-after relief; </w:t>
      </w:r>
      <w:r w:rsidRPr="002866AC">
        <w:rPr>
          <w:i/>
          <w:iCs/>
        </w:rPr>
        <w:t>or</w:t>
      </w:r>
    </w:p>
    <w:p w14:paraId="01E1D004" w14:textId="77777777" w:rsidR="00092031" w:rsidRPr="002866AC" w:rsidRDefault="00092031" w:rsidP="008A045A">
      <w:pPr>
        <w:pStyle w:val="BlockQuote"/>
      </w:pPr>
      <w:r w:rsidRPr="002866AC">
        <w:t>Immediate appellate review is urgent, e.g., because the remand creates a substantial risk of irreparable harm during the remand proceedings.</w:t>
      </w:r>
    </w:p>
    <w:p w14:paraId="4EF5E59F" w14:textId="77777777" w:rsidR="00092031" w:rsidRPr="002866AC" w:rsidRDefault="00092031" w:rsidP="00092031">
      <w:pPr>
        <w:rPr>
          <w:rFonts w:cs="Times New Roman"/>
        </w:rPr>
      </w:pPr>
    </w:p>
    <w:p w14:paraId="4A76D922" w14:textId="77777777" w:rsidR="00092031" w:rsidRDefault="00092031" w:rsidP="00092031">
      <w:r w:rsidRPr="002866AC">
        <w:t xml:space="preserve">For the sake of clarity, I would propose that district courts </w:t>
      </w:r>
      <w:proofErr w:type="gramStart"/>
      <w:r w:rsidRPr="002866AC">
        <w:rPr>
          <w:i/>
          <w:iCs/>
        </w:rPr>
        <w:t>not</w:t>
      </w:r>
      <w:r w:rsidRPr="002866AC">
        <w:t xml:space="preserve"> retain</w:t>
      </w:r>
      <w:proofErr w:type="gramEnd"/>
      <w:r w:rsidRPr="002866AC">
        <w:t xml:space="preserve"> jurisdiction over cases while agencies comply with remand orders absent special circumstances (e.g., evidence of unusual agency recalcitrance). </w:t>
      </w:r>
    </w:p>
    <w:p w14:paraId="13B614B0" w14:textId="77777777" w:rsidR="008A045A" w:rsidRPr="002866AC" w:rsidRDefault="008A045A" w:rsidP="00092031"/>
    <w:p w14:paraId="4C74CC0F" w14:textId="77777777" w:rsidR="00092031" w:rsidRDefault="00092031" w:rsidP="00092031">
      <w:r w:rsidRPr="002866AC">
        <w:t>Almost needless to say, while I advocate for greater uniformity and a single test, I am not endorsing a bright-line rule.</w:t>
      </w:r>
      <w:r w:rsidRPr="002866AC">
        <w:rPr>
          <w:rStyle w:val="FootnoteReference"/>
        </w:rPr>
        <w:footnoteReference w:id="308"/>
      </w:r>
      <w:r w:rsidRPr="002866AC">
        <w:t xml:space="preserve"> Absent codification by Congress or the Supreme Court, my proposal therefore would not satisfy the Supreme Court’s prohibition against new judge-made appealability doctrines and its mandate to </w:t>
      </w:r>
      <w:r w:rsidRPr="002866AC">
        <w:lastRenderedPageBreak/>
        <w:t>categorically apply the ones that already exist.</w:t>
      </w:r>
      <w:r w:rsidRPr="002866AC">
        <w:rPr>
          <w:rStyle w:val="FootnoteReference"/>
        </w:rPr>
        <w:footnoteReference w:id="309"/>
      </w:r>
      <w:r w:rsidRPr="002866AC">
        <w:t xml:space="preserve"> But my proposal wouldn’t violate the Supreme Court’s prohibition any more than any existing circuit tests, either. In the end, I think the tradeoffs that come with a squishier, more porous rule are worth it. In the administrative-remand context, a bright-line, categorical approach isn’t necessary; the number of appeals by non-agency parties the circuits currently allow is low, and my proposed rule would likely not meaningfully change that.</w:t>
      </w:r>
      <w:r w:rsidRPr="002866AC">
        <w:rPr>
          <w:rStyle w:val="FootnoteReference"/>
        </w:rPr>
        <w:footnoteReference w:id="310"/>
      </w:r>
    </w:p>
    <w:p w14:paraId="4FA3B779" w14:textId="77777777" w:rsidR="008A045A" w:rsidRPr="002866AC" w:rsidRDefault="008A045A" w:rsidP="00092031"/>
    <w:p w14:paraId="37C54C11" w14:textId="77777777" w:rsidR="00092031" w:rsidRPr="002866AC" w:rsidRDefault="00092031" w:rsidP="00092031">
      <w:r w:rsidRPr="002866AC">
        <w:t>In any event, it’s not clear that the Supreme Court’s categorical approach is even possible. The Federal Circuit recognized thirty years ago that “remands are not all of the same nature. Some are final; some are not.”</w:t>
      </w:r>
      <w:r w:rsidRPr="002866AC">
        <w:rPr>
          <w:rStyle w:val="FootnoteReference"/>
        </w:rPr>
        <w:footnoteReference w:id="311"/>
      </w:r>
      <w:r w:rsidRPr="002866AC">
        <w:t xml:space="preserve"> The administrative-remand rule must be squishy because remands themselves are. And judges, like all of us, do not think in terms of rigid categories but rather rely on fuzzier “radial conceptual thinking”—we can identify clear prototypes at the center of a category but, as we move towards the periphery, we rely on “intuitive understandings based on perceived similarity.”</w:t>
      </w:r>
      <w:r w:rsidRPr="002866AC">
        <w:rPr>
          <w:rStyle w:val="FootnoteReference"/>
        </w:rPr>
        <w:footnoteReference w:id="312"/>
      </w:r>
      <w:r w:rsidRPr="002866AC">
        <w:t xml:space="preserve"> Many administrative-remand cases lie at the edges of any rule we might craft, and it is there that “judges have reshaped, and will continue to reshape, the categories of orders deemed final for appeal.”</w:t>
      </w:r>
      <w:r w:rsidRPr="002866AC">
        <w:rPr>
          <w:rStyle w:val="FootnoteReference"/>
        </w:rPr>
        <w:footnoteReference w:id="313"/>
      </w:r>
      <w:r w:rsidRPr="002866AC">
        <w:t xml:space="preserve"> As I suggest earlier, the Ninth Circuit arguably has been doing just that.</w:t>
      </w:r>
      <w:r w:rsidRPr="002866AC">
        <w:rPr>
          <w:rStyle w:val="FootnoteReference"/>
        </w:rPr>
        <w:footnoteReference w:id="314"/>
      </w:r>
      <w:r w:rsidRPr="002866AC">
        <w:t xml:space="preserve"> Some variance, even under my rule, is inevitable.</w:t>
      </w:r>
    </w:p>
    <w:p w14:paraId="2704023E" w14:textId="77777777" w:rsidR="00092031" w:rsidRPr="002866AC" w:rsidRDefault="00092031" w:rsidP="00092031"/>
    <w:p w14:paraId="5FD6C4BC" w14:textId="7DBEC8EA" w:rsidR="00092031" w:rsidRPr="002866AC" w:rsidRDefault="00092031" w:rsidP="00092031">
      <w:r w:rsidRPr="002866AC">
        <w:rPr>
          <w:i/>
          <w:iCs/>
        </w:rPr>
        <w:t>Clear direction that failure to appeal a remand will not preclude later review or foreclose alternative avenues for appellate review</w:t>
      </w:r>
      <w:r w:rsidRPr="002866AC">
        <w:t>. A party’s failure to appeal a remand when it is issued should not preclude it from doing so following a final judgment. Where the administrative-remand rule gives way to appealability, it must create “an opportunity, not a trap.”</w:t>
      </w:r>
      <w:r w:rsidRPr="002866AC">
        <w:rPr>
          <w:rStyle w:val="FootnoteReference"/>
        </w:rPr>
        <w:footnoteReference w:id="315"/>
      </w:r>
      <w:r w:rsidRPr="002866AC">
        <w:t xml:space="preserve"> Similarly, the </w:t>
      </w:r>
      <w:r w:rsidRPr="002866AC">
        <w:lastRenderedPageBreak/>
        <w:t>administrative-remand rule should not itself be used to deny certification under Federal Rule of Civil Procedure 54(b) and 29 U.S.C. § 1292(b).</w:t>
      </w:r>
      <w:r w:rsidRPr="002866AC">
        <w:rPr>
          <w:rStyle w:val="FootnoteReference"/>
        </w:rPr>
        <w:footnoteReference w:id="316"/>
      </w:r>
      <w:r w:rsidRPr="002866AC">
        <w:t xml:space="preserve"> </w:t>
      </w:r>
    </w:p>
    <w:p w14:paraId="4D4653B0" w14:textId="77777777" w:rsidR="00092031" w:rsidRPr="002866AC" w:rsidRDefault="00092031" w:rsidP="00092031"/>
    <w:p w14:paraId="1E05564A" w14:textId="77777777" w:rsidR="00092031" w:rsidRDefault="00092031" w:rsidP="00092031">
      <w:r w:rsidRPr="002866AC">
        <w:rPr>
          <w:i/>
          <w:iCs/>
        </w:rPr>
        <w:t>The vehicle(s) for these reforms</w:t>
      </w:r>
      <w:r w:rsidRPr="002866AC">
        <w:t>. These reforms could be implemented at least in part through the normal process of judicial decision-making. Such a case-by-case approach would arguably “undermine the certainty, predictability, and ease of application of any categorical rules” the courts might otherwise try to follow, though even categorical rules are ultimately implemented through iteration.</w:t>
      </w:r>
      <w:r w:rsidRPr="002866AC">
        <w:rPr>
          <w:rStyle w:val="FootnoteReference"/>
        </w:rPr>
        <w:footnoteReference w:id="317"/>
      </w:r>
      <w:r w:rsidRPr="002866AC">
        <w:t xml:space="preserve"> If a more categorical-</w:t>
      </w:r>
      <w:proofErr w:type="spellStart"/>
      <w:r w:rsidRPr="002866AC">
        <w:t>esque</w:t>
      </w:r>
      <w:proofErr w:type="spellEnd"/>
      <w:r w:rsidRPr="002866AC">
        <w:t xml:space="preserve"> rule would be better, Professor Bryan Lammon suggests one for finality generally: a codified rule with a “discretionary catchall.”</w:t>
      </w:r>
      <w:r w:rsidRPr="002866AC">
        <w:rPr>
          <w:rStyle w:val="FootnoteReference"/>
        </w:rPr>
        <w:footnoteReference w:id="318"/>
      </w:r>
      <w:r w:rsidRPr="002866AC">
        <w:t xml:space="preserve"> To create such a rule, Congress could of course amend the APA or 28 U.S.C. § 1291 or § 1292, but that seems unlikely.</w:t>
      </w:r>
      <w:r w:rsidRPr="002866AC">
        <w:rPr>
          <w:rStyle w:val="FootnoteReference"/>
        </w:rPr>
        <w:footnoteReference w:id="319"/>
      </w:r>
      <w:r w:rsidRPr="002866AC">
        <w:t xml:space="preserve"> The better bet, also as Professor Lammon suggests, might be to get the Supreme Court to exercise its power under 28 U.S.C. § 2072(c) to issue rules regarding when a district court’s decision is final under section 1291.</w:t>
      </w:r>
      <w:r w:rsidRPr="002866AC">
        <w:rPr>
          <w:rStyle w:val="FootnoteReference"/>
        </w:rPr>
        <w:footnoteReference w:id="320"/>
      </w:r>
      <w:r w:rsidRPr="002866AC">
        <w:t xml:space="preserve"> A companion authority, 28 U.S.C. § 1292(e), allows the Supreme Court to issue rules that permit immediate appeal of district-court orders.</w:t>
      </w:r>
      <w:r w:rsidRPr="002866AC">
        <w:rPr>
          <w:rStyle w:val="FootnoteReference"/>
        </w:rPr>
        <w:footnoteReference w:id="321"/>
      </w:r>
      <w:r w:rsidRPr="002866AC">
        <w:t xml:space="preserve"> Perhaps the “discretionary catchall” could account for what I propose above; if not, a separate, remand-specific rule and catchall might be required. </w:t>
      </w:r>
    </w:p>
    <w:p w14:paraId="7DB03DA4" w14:textId="77777777" w:rsidR="008A045A" w:rsidRPr="002866AC" w:rsidRDefault="008A045A" w:rsidP="00092031"/>
    <w:p w14:paraId="4DCC1612" w14:textId="77777777" w:rsidR="00092031" w:rsidRPr="002866AC" w:rsidRDefault="00092031" w:rsidP="00092031">
      <w:r w:rsidRPr="002866AC">
        <w:t xml:space="preserve">In addition, or as an alternative minimum, district courts could craft better remands in the first place. The appeal in </w:t>
      </w:r>
      <w:r w:rsidRPr="002866AC">
        <w:rPr>
          <w:i/>
          <w:iCs/>
        </w:rPr>
        <w:t>Friends of Hope Valley</w:t>
      </w:r>
      <w:r w:rsidRPr="002866AC">
        <w:t xml:space="preserve"> (and your time reading this Article) might have been saved had the district court been more thoughtful about what the Friends’ concerns were and what the Forest Service might have done on remand to address them. A rule, a Supreme Court decision, or even judicial training that requires or encourages district courts to, for example, utilize the “judicial toolbox for agency dialogue” proposed by Christopher J. Walker and James R. Saywell could go a long way towards </w:t>
      </w:r>
      <w:r w:rsidRPr="002866AC">
        <w:lastRenderedPageBreak/>
        <w:t>improving remands and their outcomes.</w:t>
      </w:r>
      <w:r w:rsidRPr="002866AC">
        <w:rPr>
          <w:rStyle w:val="FootnoteReference"/>
        </w:rPr>
        <w:footnoteReference w:id="322"/>
      </w:r>
      <w:r w:rsidRPr="002866AC">
        <w:t xml:space="preserve"> Such commonsense changes in APA adjudication would do nothing to clear up inconsistences between the circuits, but they would minimize appeals and provide greater fairness in some number of cases. And by encouraging district courts to think more carefully about the purpose and terms of their remands, these or similar changes might minimize the number of remands that are not warranted in the first place, thereby promoting Nick Bagley’s aim of facilitating “remedial restraint” in appropriate cases.</w:t>
      </w:r>
      <w:r w:rsidRPr="002866AC">
        <w:rPr>
          <w:rStyle w:val="FootnoteReference"/>
        </w:rPr>
        <w:footnoteReference w:id="323"/>
      </w:r>
    </w:p>
    <w:p w14:paraId="29778B6E" w14:textId="77777777" w:rsidR="00092031" w:rsidRPr="002866AC" w:rsidRDefault="00092031" w:rsidP="00092031"/>
    <w:p w14:paraId="6A2CBB19" w14:textId="5EFA4C11" w:rsidR="00092031" w:rsidRPr="002866AC" w:rsidRDefault="00092031" w:rsidP="008A045A">
      <w:pPr>
        <w:pStyle w:val="Heading2"/>
      </w:pPr>
      <w:bookmarkStart w:id="102" w:name="_Toc212214168"/>
      <w:r w:rsidRPr="002866AC">
        <w:t>Considerations for Practitioners</w:t>
      </w:r>
      <w:bookmarkEnd w:id="102"/>
    </w:p>
    <w:p w14:paraId="51129A81" w14:textId="77777777" w:rsidR="00092031" w:rsidRPr="002866AC" w:rsidRDefault="00092031" w:rsidP="00092031"/>
    <w:p w14:paraId="51BE1A55" w14:textId="77777777" w:rsidR="00092031" w:rsidRDefault="00092031" w:rsidP="00092031">
      <w:r w:rsidRPr="002866AC">
        <w:t>As a clinician, I care about what the administrative-remand rule means for lawyers who practice administrative law. Afterall, it was one of my own cases that led me to write this Article.</w:t>
      </w:r>
    </w:p>
    <w:p w14:paraId="4DFD107D" w14:textId="77777777" w:rsidR="008A045A" w:rsidRPr="002866AC" w:rsidRDefault="008A045A" w:rsidP="00092031"/>
    <w:p w14:paraId="0505160F" w14:textId="77777777" w:rsidR="00092031" w:rsidRDefault="00092031" w:rsidP="00092031">
      <w:r w:rsidRPr="002866AC">
        <w:t xml:space="preserve">I’ll start with the obvious. First, because the administrative-remand rule takes different or unknown forms and is variously rigid or porous across the circuits, it takes real work to understand the rule and predict its effect in any given case. That’s good for lawyers who work by the billable hour but bad for everyone else. Second, predictability is now gone in many circuits. If you represent federal agencies, you can no longer count on the administrative-remand rule to uniformly bar an appeal of a remand if your agency client does not appeal, at least in some circuits. If you represent plaintiffs or non-agency defendants, the inverse is true, but there’s great uncertainty, and the factors and rationales you must grasp vary from circuit to circuit. </w:t>
      </w:r>
    </w:p>
    <w:p w14:paraId="27B8E835" w14:textId="77777777" w:rsidR="008A045A" w:rsidRPr="002866AC" w:rsidRDefault="008A045A" w:rsidP="00092031"/>
    <w:p w14:paraId="2F2BF57F" w14:textId="77777777" w:rsidR="00092031" w:rsidRPr="002866AC" w:rsidRDefault="00092031" w:rsidP="00092031">
      <w:r w:rsidRPr="002866AC">
        <w:t xml:space="preserve">Less obvious are the challenges associated with client counseling, especially for plaintiffs’ lawyers. Under the federal-venue provisions, plaintiffs suing federal agencies typically have a choice as to where to file suit. Should a plaintiff factor into their choice whether it could appeal a remand? In the average case probably not, but what about one in which the plaintiff stands a better chance on appeal than in the trial court? Once a remand issues, how does a lawyer advise a client about whether to try to appeal the remand? Appeals are costly. On the other hand, might the circuit have expected you to try if you later appeal the agency’s decision following the remand? And once a remand issues, should a non-agency party who wants to appeal ask the district court </w:t>
      </w:r>
      <w:r w:rsidRPr="002866AC">
        <w:rPr>
          <w:i/>
          <w:iCs/>
        </w:rPr>
        <w:t>not</w:t>
      </w:r>
      <w:r w:rsidRPr="002866AC">
        <w:t xml:space="preserve"> to retain jurisdiction, on the theory that the remand is effectively a final decision? Conversely, should an agency argue in favor of retained jurisdiction to try to oppose a non-agency appeal, to buttress the interlocutory nature of the appeal? </w:t>
      </w:r>
    </w:p>
    <w:p w14:paraId="4F062D21" w14:textId="77777777" w:rsidR="008A045A" w:rsidRDefault="008A045A" w:rsidP="00092031"/>
    <w:p w14:paraId="4475DDE1" w14:textId="7BB0F724" w:rsidR="00092031" w:rsidRPr="002866AC" w:rsidRDefault="00092031" w:rsidP="00092031">
      <w:r w:rsidRPr="002866AC">
        <w:lastRenderedPageBreak/>
        <w:t>There are no clear answers to these questions, at least in circuits where there is an opening, however slight, for a non-agency party to appeal a remand. This ambiguity favors a more uniform, clearer rule.</w:t>
      </w:r>
      <w:r w:rsidRPr="002866AC">
        <w:rPr>
          <w:rStyle w:val="FootnoteReference"/>
        </w:rPr>
        <w:footnoteReference w:id="324"/>
      </w:r>
      <w:r w:rsidRPr="002866AC">
        <w:t xml:space="preserve"> Until one exists, the best prescription I can offer my fellow practitioners is increased awareness of the rule and how it operates in a given circuit, alongside a recommendation to consider the rule early in and throughout a case. </w:t>
      </w:r>
    </w:p>
    <w:p w14:paraId="78CDEB48" w14:textId="77777777" w:rsidR="00092031" w:rsidRPr="002866AC" w:rsidRDefault="00092031" w:rsidP="00092031"/>
    <w:p w14:paraId="0EC8349A" w14:textId="77777777" w:rsidR="00092031" w:rsidRPr="002866AC" w:rsidRDefault="00092031" w:rsidP="008A045A">
      <w:pPr>
        <w:pStyle w:val="Heading1"/>
      </w:pPr>
      <w:bookmarkStart w:id="103" w:name="_Toc212214169"/>
      <w:r w:rsidRPr="002866AC">
        <w:t>Conclusion</w:t>
      </w:r>
      <w:bookmarkEnd w:id="103"/>
    </w:p>
    <w:p w14:paraId="3196ACC5" w14:textId="77777777" w:rsidR="00092031" w:rsidRPr="002866AC" w:rsidRDefault="00092031" w:rsidP="00092031">
      <w:pPr>
        <w:rPr>
          <w:rFonts w:cs="Times New Roman"/>
          <w:b/>
          <w:bCs/>
        </w:rPr>
      </w:pPr>
    </w:p>
    <w:p w14:paraId="7C6EDD93" w14:textId="77777777" w:rsidR="00092031" w:rsidRDefault="00092031" w:rsidP="00092031">
      <w:r w:rsidRPr="002866AC">
        <w:t xml:space="preserve">Skiers and snowmobilers seem an unlikely genesis for a law-review article about a remote solar system in the galaxy of federal appellate jurisdiction and administrative law. But, as I said at the beginning, every lawyer is haunted by a case, and, even though I won it, </w:t>
      </w:r>
      <w:r w:rsidRPr="002866AC">
        <w:rPr>
          <w:i/>
          <w:iCs/>
        </w:rPr>
        <w:t>Friends of</w:t>
      </w:r>
      <w:r w:rsidRPr="002866AC">
        <w:t xml:space="preserve"> </w:t>
      </w:r>
      <w:r w:rsidRPr="002866AC">
        <w:rPr>
          <w:i/>
          <w:iCs/>
        </w:rPr>
        <w:t>Hope Valley</w:t>
      </w:r>
      <w:r w:rsidRPr="002866AC">
        <w:t xml:space="preserve"> has haunted me for the last eighteen years. I have seen in so many new cases the specter of this old one, a murky shadow that just won’t quit. </w:t>
      </w:r>
    </w:p>
    <w:p w14:paraId="08CD55F7" w14:textId="77777777" w:rsidR="008A045A" w:rsidRPr="002866AC" w:rsidRDefault="008A045A" w:rsidP="00092031"/>
    <w:p w14:paraId="443752B4" w14:textId="77777777" w:rsidR="00092031" w:rsidRDefault="00092031" w:rsidP="00092031">
      <w:r w:rsidRPr="002866AC">
        <w:rPr>
          <w:i/>
          <w:iCs/>
        </w:rPr>
        <w:t>Friends of Hope Valley</w:t>
      </w:r>
      <w:r w:rsidRPr="002866AC">
        <w:t xml:space="preserve"> turned out okay. Indeed, the case emerged a reason to support, rather than critique, the administrative-remand rule. But my research led me to other cases and contexts, in the farther reaches of the administrative-remand cosmos, where the rule still controls but its light is dimmer, its consequences far less comforting.</w:t>
      </w:r>
    </w:p>
    <w:p w14:paraId="47DCE237" w14:textId="77777777" w:rsidR="008A045A" w:rsidRPr="002866AC" w:rsidRDefault="008A045A" w:rsidP="00092031"/>
    <w:p w14:paraId="196C9870" w14:textId="77777777" w:rsidR="00092031" w:rsidRDefault="00092031" w:rsidP="00092031">
      <w:r w:rsidRPr="002866AC">
        <w:t xml:space="preserve">That’s the thing about rules. They’re good, until they aren’t, and then they leave us wondering whether there might be something better. The administrative-remand rule makes sense and does what it is designed to do in many, maybe even most, cases. But where that isn’t true—where the rule is too hard to discern, or too harsh in its consequences, or it is too unpredictable or used for questionable ends—those instances counsel in favor of modest change. Sure, the administrative-remand rule could be </w:t>
      </w:r>
      <w:r w:rsidRPr="002866AC">
        <w:rPr>
          <w:i/>
          <w:iCs/>
        </w:rPr>
        <w:t>stricter</w:t>
      </w:r>
      <w:r w:rsidRPr="002866AC">
        <w:t>—a return to 1988, before any federal appellate court had complicated it by allowing non-agency parties to appeal a remand.</w:t>
      </w:r>
      <w:bookmarkStart w:id="104" w:name="_Ref211359580"/>
      <w:r w:rsidRPr="002866AC">
        <w:rPr>
          <w:rStyle w:val="FootnoteReference"/>
        </w:rPr>
        <w:footnoteReference w:id="325"/>
      </w:r>
      <w:bookmarkEnd w:id="104"/>
      <w:r w:rsidRPr="002866AC">
        <w:t xml:space="preserve"> But I think the rule should be standardized in the opposite direction: to allow appeals by non-agency parties in cases where fairness and efficiency warrant it. </w:t>
      </w:r>
    </w:p>
    <w:p w14:paraId="2FE33E55" w14:textId="77777777" w:rsidR="008A045A" w:rsidRPr="002866AC" w:rsidRDefault="008A045A" w:rsidP="00092031"/>
    <w:p w14:paraId="7620BA61" w14:textId="77777777" w:rsidR="00092031" w:rsidRPr="002866AC" w:rsidRDefault="00092031" w:rsidP="00092031">
      <w:r w:rsidRPr="002866AC">
        <w:t xml:space="preserve">The reforms I propose are not the only ones that could be made to improve the administrative-remand rule. Some readers will find them too meek; others, too brash. I welcome these critiques and the important debate to which they will contribute. </w:t>
      </w:r>
    </w:p>
    <w:p w14:paraId="609B1632" w14:textId="77777777" w:rsidR="00092031" w:rsidRPr="002866AC" w:rsidRDefault="00092031" w:rsidP="00092031"/>
    <w:p w14:paraId="587CDCBE" w14:textId="7BE6051A" w:rsidR="00BC7C65" w:rsidRPr="0035248D" w:rsidRDefault="00BC7C65" w:rsidP="00092031">
      <w:pPr>
        <w:ind w:firstLine="0"/>
      </w:pPr>
    </w:p>
    <w:sectPr w:rsidR="00BC7C65" w:rsidRPr="0035248D" w:rsidSect="008111D9">
      <w:headerReference w:type="default" r:id="rId9"/>
      <w:footerReference w:type="even" r:id="rId10"/>
      <w:footerReference w:type="default" r:id="rId11"/>
      <w:pgSz w:w="12240" w:h="15840"/>
      <w:pgMar w:top="2160" w:right="2765" w:bottom="2520" w:left="2765" w:header="1296" w:footer="19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24019" w14:textId="77777777" w:rsidR="00461118" w:rsidRDefault="00461118" w:rsidP="009C7212">
      <w:r>
        <w:separator/>
      </w:r>
    </w:p>
  </w:endnote>
  <w:endnote w:type="continuationSeparator" w:id="0">
    <w:p w14:paraId="1BC1C27F" w14:textId="77777777" w:rsidR="00461118" w:rsidRDefault="00461118" w:rsidP="009C7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CG Times">
    <w:altName w:val="Times New Roman"/>
    <w:panose1 w:val="020B0604020202020204"/>
    <w:charset w:val="00"/>
    <w:family w:val="roman"/>
    <w:pitch w:val="variable"/>
    <w:sig w:usb0="00000003" w:usb1="00000000" w:usb2="00000000" w:usb3="00000000" w:csb0="00000001" w:csb1="00000000"/>
  </w:font>
  <w:font w:name="Quattrocento">
    <w:panose1 w:val="02020502030000000404"/>
    <w:charset w:val="00"/>
    <w:family w:val="roman"/>
    <w:pitch w:val="variable"/>
    <w:sig w:usb0="800000BF" w:usb1="4000004B" w:usb2="00000000" w:usb3="00000000" w:csb0="00000001" w:csb1="00000000"/>
  </w:font>
  <w:font w:name="Times New Roman (Body C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069C" w14:textId="77777777" w:rsidR="00427EC5" w:rsidRDefault="00427EC5" w:rsidP="007571E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861C90E" w14:textId="77777777" w:rsidR="00427EC5" w:rsidRDefault="00427EC5" w:rsidP="00D528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00CDD" w14:textId="77777777" w:rsidR="00427EC5" w:rsidRDefault="00427EC5" w:rsidP="007571E5">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559A2165" w14:textId="77777777" w:rsidR="00427EC5" w:rsidRDefault="00427EC5" w:rsidP="00D5280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D07B7" w14:textId="77777777" w:rsidR="00461118" w:rsidRDefault="00461118" w:rsidP="009C7212">
      <w:r>
        <w:separator/>
      </w:r>
    </w:p>
  </w:footnote>
  <w:footnote w:type="continuationSeparator" w:id="0">
    <w:p w14:paraId="61DAF29F" w14:textId="77777777" w:rsidR="00461118" w:rsidRDefault="00461118" w:rsidP="009C7212">
      <w:r>
        <w:continuationSeparator/>
      </w:r>
    </w:p>
  </w:footnote>
  <w:footnote w:id="1">
    <w:p w14:paraId="19BD8D4C" w14:textId="7D2C6690" w:rsidR="00427EC5" w:rsidRPr="00092031" w:rsidRDefault="00427EC5" w:rsidP="00092031">
      <w:pPr>
        <w:pStyle w:val="FootnoteText"/>
      </w:pPr>
      <w:r w:rsidRPr="00092031">
        <w:rPr>
          <w:rStyle w:val="FootnoteReference"/>
          <w:color w:val="auto"/>
          <w:vertAlign w:val="baseline"/>
        </w:rPr>
        <w:t>†</w:t>
      </w:r>
      <w:r w:rsidRPr="00092031">
        <w:t xml:space="preserve"> </w:t>
      </w:r>
      <w:r w:rsidR="00092031" w:rsidRPr="00092031">
        <w:t>Assistant Professor of Law and Co-Director, Environmental Law Clinic, Stanford Law School. All errors are my own. Nothing worth doing is done alone, and this Article is no exception. I am grateful to Anne Joseph O’Connell, David Freeman-Engstrom, and Daniel Ho for their expertise and guidance; to my colleague Deborah Sivas for her wisdom; to Aaron Avila, Norm Dupont, Jared Fish, and Robbie Beahrs for their close review and helpful edits; and to my family, friends, and partner for their faith. Aaron, my friend and former colleague, bears special mention; he and I had originally intended to co-author this Article, but he graciously agreed to let me run with it when I asked.</w:t>
      </w:r>
    </w:p>
  </w:footnote>
  <w:footnote w:id="2">
    <w:p w14:paraId="58308881" w14:textId="1427C5B7" w:rsidR="00092031" w:rsidRPr="00FF1B50" w:rsidRDefault="00092031" w:rsidP="00092031">
      <w:pPr>
        <w:pStyle w:val="FootnoteText"/>
      </w:pPr>
      <w:r w:rsidRPr="00FF1B50">
        <w:rPr>
          <w:rStyle w:val="FootnoteReference"/>
          <w:rFonts w:cs="Times New Roman"/>
        </w:rPr>
        <w:footnoteRef/>
      </w:r>
      <w:r w:rsidRPr="00FF1B50">
        <w:t xml:space="preserve"> </w:t>
      </w:r>
      <w:proofErr w:type="spellStart"/>
      <w:r w:rsidRPr="00FF1B50">
        <w:t>Pewećeli</w:t>
      </w:r>
      <w:proofErr w:type="spellEnd"/>
      <w:r w:rsidRPr="00FF1B50">
        <w:t xml:space="preserve"> is a character in the Washoe Tribe’s creation story, and </w:t>
      </w:r>
      <w:proofErr w:type="spellStart"/>
      <w:r w:rsidRPr="00FF1B50">
        <w:t>Pewećeli</w:t>
      </w:r>
      <w:proofErr w:type="spellEnd"/>
      <w:r w:rsidRPr="00FF1B50">
        <w:t xml:space="preserve"> </w:t>
      </w:r>
      <w:proofErr w:type="spellStart"/>
      <w:r w:rsidRPr="00FF1B50">
        <w:t>Yeweš</w:t>
      </w:r>
      <w:proofErr w:type="spellEnd"/>
      <w:r w:rsidRPr="00FF1B50">
        <w:t xml:space="preserve"> means “</w:t>
      </w:r>
      <w:proofErr w:type="spellStart"/>
      <w:r w:rsidRPr="00FF1B50">
        <w:t>Pewećeli’s</w:t>
      </w:r>
      <w:proofErr w:type="spellEnd"/>
      <w:r w:rsidRPr="00FF1B50">
        <w:t xml:space="preserve"> trail” or “path” in reference to a trade route heading west. Email correspondence with Herman Miller, Culture/Language Resources Director, Washoe Tribe of Nevada and California (Oct. 16, 2024) (on file with the author); </w:t>
      </w:r>
      <w:r w:rsidRPr="00FF1B50">
        <w:rPr>
          <w:i/>
          <w:iCs/>
        </w:rPr>
        <w:t>see also</w:t>
      </w:r>
      <w:r w:rsidRPr="00FF1B50">
        <w:t xml:space="preserve"> Claire Cudahy, “Washoe youth follow ancestors’ footsteps in Hope Valley,” </w:t>
      </w:r>
      <w:r w:rsidRPr="00FF1B50">
        <w:rPr>
          <w:i/>
          <w:iCs/>
        </w:rPr>
        <w:t>Tahoe Daily Tribune</w:t>
      </w:r>
      <w:r w:rsidRPr="00FF1B50">
        <w:t xml:space="preserve"> (Jan. 25, 2018), </w:t>
      </w:r>
      <w:r w:rsidRPr="00092031">
        <w:rPr>
          <w:rFonts w:cs="Times New Roman"/>
        </w:rPr>
        <w:t>https://www.tahoedailytribune.com/news/local/washoe-youth-follow-ancestors-footsteps-in-hope-valley-video/</w:t>
      </w:r>
      <w:r w:rsidRPr="00FF1B50">
        <w:t xml:space="preserve">; U.S. Forest Service, Carson Ranger District, East Carson River Strategy, 4-5 (July 2007), </w:t>
      </w:r>
      <w:r w:rsidRPr="00092031">
        <w:rPr>
          <w:rFonts w:cs="Times New Roman"/>
        </w:rPr>
        <w:t>http://www.theanglersedge.com/downloads/East_Carson_River_Strategy_061907.pdf</w:t>
      </w:r>
      <w:r w:rsidRPr="00FF1B50">
        <w:t xml:space="preserve">. For a history of the Washoe and the lands they inhabited, </w:t>
      </w:r>
      <w:r w:rsidRPr="00FF1B50">
        <w:rPr>
          <w:i/>
          <w:iCs/>
        </w:rPr>
        <w:t>see</w:t>
      </w:r>
      <w:r w:rsidRPr="00FF1B50">
        <w:t xml:space="preserve"> The Washoe Tribe of Nevada and California, </w:t>
      </w:r>
      <w:r w:rsidRPr="00FF1B50">
        <w:rPr>
          <w:i/>
          <w:iCs/>
        </w:rPr>
        <w:t>WA SHE SHU: “The Washoe People” Past and Present</w:t>
      </w:r>
      <w:r w:rsidRPr="00FF1B50">
        <w:t xml:space="preserve"> (2009), </w:t>
      </w:r>
      <w:r w:rsidRPr="00092031">
        <w:rPr>
          <w:rFonts w:cs="Times New Roman"/>
        </w:rPr>
        <w:t>https://www.fs.usda.gov/Internet/FSE_DOCUMENTS/stelprdb5251066.pdf</w:t>
      </w:r>
      <w:r w:rsidRPr="00FF1B50">
        <w:t xml:space="preserve">; Washoe Tribe of California and Nevada, Washoe History: A Brief Summary (2020), </w:t>
      </w:r>
      <w:r w:rsidRPr="00092031">
        <w:rPr>
          <w:rFonts w:cs="Times New Roman"/>
        </w:rPr>
        <w:t>https://washoetribe.us/aboutpage/4-Page-washoe-history</w:t>
      </w:r>
      <w:r w:rsidRPr="00FF1B50">
        <w:t xml:space="preserve">. </w:t>
      </w:r>
    </w:p>
  </w:footnote>
  <w:footnote w:id="3">
    <w:p w14:paraId="58F19953" w14:textId="1AD81859" w:rsidR="00092031" w:rsidRPr="00FF1B50" w:rsidRDefault="00092031" w:rsidP="00092031">
      <w:pPr>
        <w:pStyle w:val="FootnoteText"/>
      </w:pPr>
      <w:r w:rsidRPr="00FF1B50">
        <w:rPr>
          <w:rStyle w:val="FootnoteReference"/>
          <w:rFonts w:cs="Times New Roman"/>
        </w:rPr>
        <w:footnoteRef/>
      </w:r>
      <w:r w:rsidRPr="00FF1B50">
        <w:t xml:space="preserve"> Frank Tortorich, Jr., </w:t>
      </w:r>
      <w:r w:rsidRPr="00FF1B50">
        <w:rPr>
          <w:i/>
          <w:iCs/>
        </w:rPr>
        <w:t>The Opening of the Carson River Route</w:t>
      </w:r>
      <w:r w:rsidRPr="00FF1B50">
        <w:t xml:space="preserve">, 18 Overland Journal 1, 22 (Spring 2000); Jeff Munson, “Emigrant Trail tour promises spectacular colors,” </w:t>
      </w:r>
      <w:r w:rsidRPr="00FF1B50">
        <w:rPr>
          <w:i/>
          <w:iCs/>
        </w:rPr>
        <w:t>Tahoe Daily Tribune</w:t>
      </w:r>
      <w:r w:rsidRPr="00FF1B50">
        <w:t xml:space="preserve"> (Oct. 12, 2005), </w:t>
      </w:r>
      <w:r w:rsidRPr="00092031">
        <w:rPr>
          <w:rFonts w:cs="Times New Roman"/>
        </w:rPr>
        <w:t>https://www.tahoedailytribune.com/news/emigrant-trail-tour-promises-spectacular-colors/</w:t>
      </w:r>
      <w:r w:rsidRPr="00FF1B50">
        <w:t xml:space="preserve">. </w:t>
      </w:r>
    </w:p>
  </w:footnote>
  <w:footnote w:id="4">
    <w:p w14:paraId="4793E489" w14:textId="77777777" w:rsidR="00092031" w:rsidRPr="00FF1B50" w:rsidRDefault="00092031" w:rsidP="00092031">
      <w:pPr>
        <w:pStyle w:val="FootnoteText"/>
      </w:pPr>
      <w:r w:rsidRPr="00FF1B50">
        <w:rPr>
          <w:rStyle w:val="FootnoteReference"/>
          <w:rFonts w:cs="Times New Roman"/>
        </w:rPr>
        <w:footnoteRef/>
      </w:r>
      <w:r w:rsidRPr="00FF1B50">
        <w:t xml:space="preserve"> For the Forest Service’s most current Winter Recreation Map for Hope Valley and surrounding areas, </w:t>
      </w:r>
      <w:r w:rsidRPr="00FF1B50">
        <w:rPr>
          <w:i/>
          <w:iCs/>
        </w:rPr>
        <w:t>see</w:t>
      </w:r>
      <w:r w:rsidRPr="00FF1B50">
        <w:t xml:space="preserve"> </w:t>
      </w:r>
      <w:hyperlink r:id="rId1" w:history="1">
        <w:r w:rsidRPr="00FF1B50">
          <w:rPr>
            <w:rStyle w:val="Hyperlink"/>
            <w:rFonts w:cs="Times New Roman"/>
          </w:rPr>
          <w:t>https://www.fs.usda.gov/Internet/FSE_DOCUMENTS/stelprdb5294291.pdf</w:t>
        </w:r>
      </w:hyperlink>
      <w:r w:rsidRPr="00FF1B50">
        <w:t xml:space="preserve">. </w:t>
      </w:r>
    </w:p>
  </w:footnote>
  <w:footnote w:id="5">
    <w:p w14:paraId="0FB33E61" w14:textId="77777777" w:rsidR="00092031" w:rsidRPr="00FF1B50" w:rsidRDefault="00092031" w:rsidP="00092031">
      <w:pPr>
        <w:pStyle w:val="FootnoteText"/>
      </w:pPr>
      <w:r w:rsidRPr="00FF1B50">
        <w:rPr>
          <w:rStyle w:val="FootnoteReference"/>
          <w:rFonts w:cs="Times New Roman"/>
        </w:rPr>
        <w:footnoteRef/>
      </w:r>
      <w:r w:rsidRPr="00FF1B50">
        <w:t xml:space="preserve"> Memorandum of Opinion and Order, </w:t>
      </w:r>
      <w:r w:rsidRPr="00FF1B50">
        <w:rPr>
          <w:i/>
          <w:iCs/>
        </w:rPr>
        <w:t>Friends of Hope Valley v. U.S. Forest Serv.</w:t>
      </w:r>
      <w:r w:rsidRPr="00FF1B50">
        <w:t>, No. 2:00-cv-01900-DFL-KJM, 2 (E.D. Cal. Sept. 30, 2004).</w:t>
      </w:r>
    </w:p>
  </w:footnote>
  <w:footnote w:id="6">
    <w:p w14:paraId="6A6CC436" w14:textId="77777777" w:rsidR="00092031" w:rsidRPr="00FF1B50" w:rsidRDefault="00092031" w:rsidP="00092031">
      <w:pPr>
        <w:pStyle w:val="FootnoteText"/>
      </w:pPr>
      <w:r w:rsidRPr="00FF1B50">
        <w:rPr>
          <w:rStyle w:val="FootnoteReference"/>
          <w:rFonts w:cs="Times New Roman"/>
        </w:rPr>
        <w:footnoteRef/>
      </w:r>
      <w:r w:rsidRPr="00FF1B50">
        <w:t xml:space="preserve"> Memorandum of Opinion and Order, </w:t>
      </w:r>
      <w:r w:rsidRPr="00FF1B50">
        <w:rPr>
          <w:i/>
          <w:iCs/>
        </w:rPr>
        <w:t>Friends of Hope Valley v. U.S. Forest Serv.</w:t>
      </w:r>
      <w:r w:rsidRPr="00FF1B50">
        <w:t>, No. 2:00-cv-01900-DFL-KJM, 6 (E.D. Cal. Sept. 30, 2004).</w:t>
      </w:r>
    </w:p>
  </w:footnote>
  <w:footnote w:id="7">
    <w:p w14:paraId="69B0359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Friends of Hope Valley v. U.S. Forest Service</w:t>
      </w:r>
      <w:r w:rsidRPr="00FF1B50">
        <w:t>, 203 Fed. Appx. 883 (9th Cir. 2006) (unpublished).</w:t>
      </w:r>
    </w:p>
  </w:footnote>
  <w:footnote w:id="8">
    <w:p w14:paraId="2803CF5F" w14:textId="4B5C57A2"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The APA is found at 5 U.S.C. §§ 551-553, 701-706. This Article is concerned with only APA remands. There are, of course, many other types of remands (to administrative law judges, bankruptcy courts, state courts, and so on), and in a few footnotes I have noted ways in which jurisprudence concerning such other remands is relevant to the administrative-remand rule. </w:t>
      </w:r>
      <w:r w:rsidRPr="00FF1B50">
        <w:rPr>
          <w:i/>
          <w:iCs/>
        </w:rPr>
        <w:t>See infra</w:t>
      </w:r>
      <w:r w:rsidRPr="00FF1B50">
        <w:t xml:space="preserve"> notes</w:t>
      </w:r>
      <w:r>
        <w:t xml:space="preserve"> </w:t>
      </w:r>
      <w:r>
        <w:fldChar w:fldCharType="begin"/>
      </w:r>
      <w:r>
        <w:instrText xml:space="preserve"> NOTEREF _Ref211358788 \h  \* MERGEFORMAT </w:instrText>
      </w:r>
      <w:r>
        <w:fldChar w:fldCharType="separate"/>
      </w:r>
      <w:r>
        <w:t>113</w:t>
      </w:r>
      <w:r>
        <w:fldChar w:fldCharType="end"/>
      </w:r>
      <w:r>
        <w:t xml:space="preserve">, </w:t>
      </w:r>
      <w:r>
        <w:fldChar w:fldCharType="begin"/>
      </w:r>
      <w:r>
        <w:instrText xml:space="preserve"> NOTEREF _Ref211358822 \h  \* MERGEFORMAT </w:instrText>
      </w:r>
      <w:r>
        <w:fldChar w:fldCharType="separate"/>
      </w:r>
      <w:r>
        <w:t>151</w:t>
      </w:r>
      <w:r>
        <w:fldChar w:fldCharType="end"/>
      </w:r>
      <w:r>
        <w:t>-</w:t>
      </w:r>
      <w:r>
        <w:fldChar w:fldCharType="begin"/>
      </w:r>
      <w:r>
        <w:instrText xml:space="preserve"> NOTEREF _Ref211358838 \h  \* MERGEFORMAT </w:instrText>
      </w:r>
      <w:r>
        <w:fldChar w:fldCharType="separate"/>
      </w:r>
      <w:r>
        <w:t>153</w:t>
      </w:r>
      <w:r>
        <w:fldChar w:fldCharType="end"/>
      </w:r>
      <w:r>
        <w:t>.</w:t>
      </w:r>
    </w:p>
  </w:footnote>
  <w:footnote w:id="9">
    <w:p w14:paraId="3537453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Friends of Hope Valley</w:t>
      </w:r>
      <w:r w:rsidRPr="00FF1B50">
        <w:t xml:space="preserve">, 203 Fed. Appx. at 883 (citing </w:t>
      </w:r>
      <w:r w:rsidRPr="00FF1B50">
        <w:rPr>
          <w:i/>
          <w:iCs/>
        </w:rPr>
        <w:t>Alsea Valley Alliance v. Dep’t of Commerce</w:t>
      </w:r>
      <w:r w:rsidRPr="00FF1B50">
        <w:t>, 358 F.3d 1181, 1184 (9th Cir. 2004)).</w:t>
      </w:r>
    </w:p>
  </w:footnote>
  <w:footnote w:id="10">
    <w:p w14:paraId="2467BA7B" w14:textId="309AC5F5"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rPr>
        <w:t>Alsea Valley Alliance</w:t>
      </w:r>
      <w:r w:rsidRPr="00FF1B50">
        <w:t xml:space="preserve">, 358 F.3d at 1184 (emphasis removed). For more detail on section 1291, </w:t>
      </w:r>
      <w:r w:rsidRPr="00355026">
        <w:t>see</w:t>
      </w:r>
      <w:r w:rsidRPr="00F353E0">
        <w:rPr>
          <w:i/>
          <w:iCs/>
        </w:rPr>
        <w:t xml:space="preserve"> </w:t>
      </w:r>
      <w:proofErr w:type="gramStart"/>
      <w:r w:rsidRPr="00F353E0">
        <w:rPr>
          <w:i/>
          <w:iCs/>
        </w:rPr>
        <w:t>infra</w:t>
      </w:r>
      <w:r>
        <w:t xml:space="preserve"> </w:t>
      </w:r>
      <w:r w:rsidRPr="00FF1B50">
        <w:t>Part</w:t>
      </w:r>
      <w:proofErr w:type="gramEnd"/>
      <w:r w:rsidRPr="00FF1B50">
        <w:t xml:space="preserve"> I.B. Also, as </w:t>
      </w:r>
      <w:r w:rsidRPr="00FF1B50">
        <w:rPr>
          <w:i/>
          <w:iCs/>
        </w:rPr>
        <w:t>infra</w:t>
      </w:r>
      <w:r w:rsidRPr="00FF1B50">
        <w:t xml:space="preserve"> n</w:t>
      </w:r>
      <w:r>
        <w:t xml:space="preserve">ote </w:t>
      </w:r>
      <w:r>
        <w:fldChar w:fldCharType="begin"/>
      </w:r>
      <w:r>
        <w:instrText xml:space="preserve"> NOTEREF _Ref211358867 \h  \* MERGEFORMAT </w:instrText>
      </w:r>
      <w:r>
        <w:fldChar w:fldCharType="separate"/>
      </w:r>
      <w:r>
        <w:t>23</w:t>
      </w:r>
      <w:r>
        <w:fldChar w:fldCharType="end"/>
      </w:r>
      <w:r>
        <w:t xml:space="preserve"> </w:t>
      </w:r>
      <w:r w:rsidRPr="00FF1B50">
        <w:t>explains, some courts and commentators conceive of the rule as being narrower: A decision remanding an agency action is not final and appealable, and an appeal by the agency is an “exception” to that rule instead of part of the rule itself.</w:t>
      </w:r>
    </w:p>
  </w:footnote>
  <w:footnote w:id="11">
    <w:p w14:paraId="3A69D68D" w14:textId="77777777" w:rsidR="00092031" w:rsidRPr="00FF1B50" w:rsidRDefault="00092031" w:rsidP="00092031">
      <w:pPr>
        <w:pStyle w:val="FootnoteText"/>
      </w:pPr>
      <w:r w:rsidRPr="00FF1B50">
        <w:rPr>
          <w:rStyle w:val="FootnoteReference"/>
          <w:rFonts w:cs="Times New Roman"/>
        </w:rPr>
        <w:footnoteRef/>
      </w:r>
      <w:r w:rsidRPr="00FF1B50">
        <w:t xml:space="preserve"> The Tenth Circuit coined the term “administrative-remand rule,” and as of 2021, it was “unique” to that circuit. </w:t>
      </w:r>
      <w:r w:rsidRPr="00FF1B50">
        <w:rPr>
          <w:i/>
          <w:iCs/>
        </w:rPr>
        <w:t>C.W. by and through B.W. v. Denver Cnty. Sch. Dist. No. 1</w:t>
      </w:r>
      <w:r w:rsidRPr="00FF1B50">
        <w:t xml:space="preserve">, 994 F.3d 1215, 1220 n.2 (10th Cir. 2021). However, at least two other courts have since started to use that term. </w:t>
      </w:r>
      <w:r w:rsidRPr="00FF1B50">
        <w:rPr>
          <w:i/>
          <w:iCs/>
        </w:rPr>
        <w:t>See Montana Env’t Info. Ctr. v. Haaland</w:t>
      </w:r>
      <w:r w:rsidRPr="00FF1B50">
        <w:t xml:space="preserve">, No. 22-36002, 2023 WL 8166779, at *1 (9th Cir. Nov. 24, 2023); </w:t>
      </w:r>
      <w:r w:rsidRPr="00FF1B50">
        <w:rPr>
          <w:i/>
          <w:iCs/>
        </w:rPr>
        <w:t>DCOR, LLC v. U.S. Dep’t of the Interior</w:t>
      </w:r>
      <w:r w:rsidRPr="00FF1B50">
        <w:t xml:space="preserve">, No. 3:21-CV-00120-N, 2023 WL 8628322, at *1 (N.D. Tex. Dec. 13, 2023). </w:t>
      </w:r>
    </w:p>
  </w:footnote>
  <w:footnote w:id="12">
    <w:p w14:paraId="0958BF36" w14:textId="77777777" w:rsidR="00092031" w:rsidRPr="00FF1B50" w:rsidRDefault="00092031" w:rsidP="00092031">
      <w:pPr>
        <w:pStyle w:val="FootnoteText"/>
      </w:pPr>
      <w:r w:rsidRPr="00FF1B50">
        <w:rPr>
          <w:rStyle w:val="FootnoteReference"/>
          <w:rFonts w:cs="Times New Roman"/>
        </w:rPr>
        <w:footnoteRef/>
      </w:r>
      <w:r w:rsidRPr="00FF1B50">
        <w:t xml:space="preserve"> Part I, </w:t>
      </w:r>
      <w:r w:rsidRPr="00FF1B50">
        <w:rPr>
          <w:i/>
          <w:iCs/>
        </w:rPr>
        <w:t>infra</w:t>
      </w:r>
      <w:r w:rsidRPr="00FF1B50">
        <w:t xml:space="preserve">, discusses this case law in detail. Notably, the rise of the administrative-remand rule coincided, unsurprisingly, with the rise of the administrative state. For more on the latter, </w:t>
      </w:r>
      <w:r w:rsidRPr="00FF1B50">
        <w:rPr>
          <w:i/>
          <w:iCs/>
        </w:rPr>
        <w:t>see, e.g.</w:t>
      </w:r>
      <w:r w:rsidRPr="00FF1B50">
        <w:t xml:space="preserve">, Jon D. Michaels, </w:t>
      </w:r>
      <w:r w:rsidRPr="00FF1B50">
        <w:rPr>
          <w:i/>
          <w:iCs/>
        </w:rPr>
        <w:t>Constitutional Coup: Privatization’s Threat to the American Republic</w:t>
      </w:r>
      <w:r w:rsidRPr="00FF1B50">
        <w:t xml:space="preserve">, 21-77 (2017); </w:t>
      </w:r>
      <w:r w:rsidRPr="00FF1B50">
        <w:rPr>
          <w:i/>
          <w:iCs/>
        </w:rPr>
        <w:t>Developments in the Law—Presidential Authority, V. Executive Appointments</w:t>
      </w:r>
      <w:r w:rsidRPr="00FF1B50">
        <w:t xml:space="preserve">, 125 </w:t>
      </w:r>
      <w:r w:rsidRPr="00FF1B50">
        <w:rPr>
          <w:smallCaps/>
        </w:rPr>
        <w:t>Harv. L. Rev.</w:t>
      </w:r>
      <w:r w:rsidRPr="00FF1B50">
        <w:t xml:space="preserve"> 2135, 2138 (2012); Daniel E. Ho &amp; Erica L. Ross, </w:t>
      </w:r>
      <w:r w:rsidRPr="00FF1B50">
        <w:rPr>
          <w:i/>
          <w:iCs/>
        </w:rPr>
        <w:t>Did Liberal Justices Invent the Standing Doctrine? An Empirical Study of the Evolution of Standing</w:t>
      </w:r>
      <w:r w:rsidRPr="00FF1B50">
        <w:t xml:space="preserve">, 1921-2006, 62 </w:t>
      </w:r>
      <w:r w:rsidRPr="00FF1B50">
        <w:rPr>
          <w:smallCaps/>
        </w:rPr>
        <w:t>Stan. L. Rev</w:t>
      </w:r>
      <w:r w:rsidRPr="00FF1B50">
        <w:t xml:space="preserve">. 591, 647 &amp; n.231 (2010); William S. Jordan, III, </w:t>
      </w:r>
      <w:r w:rsidRPr="00FF1B50">
        <w:rPr>
          <w:i/>
          <w:iCs/>
        </w:rPr>
        <w:t>Judges, Ideology, and Policy in the Administrative State: Lessons from A Decade of Hard Look Remands of EPA Rules</w:t>
      </w:r>
      <w:r w:rsidRPr="00FF1B50">
        <w:t xml:space="preserve">, 53 </w:t>
      </w:r>
      <w:r w:rsidRPr="00FF1B50">
        <w:rPr>
          <w:smallCaps/>
        </w:rPr>
        <w:t>Admin. L. Rev</w:t>
      </w:r>
      <w:r w:rsidRPr="00FF1B50">
        <w:t>. 45, 46 (2001).</w:t>
      </w:r>
    </w:p>
  </w:footnote>
  <w:footnote w:id="13">
    <w:p w14:paraId="2CAC21E2" w14:textId="3DA142DE" w:rsidR="00092031" w:rsidRPr="00FF1B50" w:rsidRDefault="00092031" w:rsidP="00092031">
      <w:pPr>
        <w:pStyle w:val="FootnoteText"/>
      </w:pPr>
      <w:r w:rsidRPr="00FF1B50">
        <w:rPr>
          <w:rStyle w:val="FootnoteReference"/>
          <w:rFonts w:cs="Times New Roman"/>
        </w:rPr>
        <w:footnoteRef/>
      </w:r>
      <w:r w:rsidRPr="00FF1B50">
        <w:t xml:space="preserve"> The Court came closest to considering the rule in </w:t>
      </w:r>
      <w:r w:rsidRPr="00FF1B50">
        <w:rPr>
          <w:i/>
          <w:iCs/>
          <w:lang w:val="en"/>
        </w:rPr>
        <w:t>Sullivan v. Finkelstein</w:t>
      </w:r>
      <w:r w:rsidRPr="00FF1B50">
        <w:rPr>
          <w:lang w:val="en"/>
        </w:rPr>
        <w:t xml:space="preserve">, 496 U.S. 617, 625 (1990), which interpreted a specific finality statute to permit appeals </w:t>
      </w:r>
      <w:r>
        <w:rPr>
          <w:lang w:val="en"/>
        </w:rPr>
        <w:t>of</w:t>
      </w:r>
      <w:r w:rsidRPr="00FF1B50">
        <w:rPr>
          <w:lang w:val="en"/>
        </w:rPr>
        <w:t xml:space="preserve"> district court remands in Social Security cases. </w:t>
      </w:r>
      <w:r w:rsidRPr="00FF1B50">
        <w:rPr>
          <w:i/>
          <w:iCs/>
          <w:lang w:val="en"/>
        </w:rPr>
        <w:t>See infra</w:t>
      </w:r>
      <w:r w:rsidRPr="00FF1B50">
        <w:rPr>
          <w:lang w:val="en"/>
        </w:rPr>
        <w:t xml:space="preserve"> </w:t>
      </w:r>
      <w:r>
        <w:rPr>
          <w:lang w:val="en"/>
        </w:rPr>
        <w:t xml:space="preserve">notes </w:t>
      </w:r>
      <w:r>
        <w:rPr>
          <w:lang w:val="en"/>
        </w:rPr>
        <w:fldChar w:fldCharType="begin"/>
      </w:r>
      <w:r>
        <w:rPr>
          <w:lang w:val="en"/>
        </w:rPr>
        <w:instrText xml:space="preserve"> NOTEREF _Ref211358904 \h  \* MERGEFORMAT </w:instrText>
      </w:r>
      <w:r>
        <w:rPr>
          <w:lang w:val="en"/>
        </w:rPr>
      </w:r>
      <w:r>
        <w:rPr>
          <w:lang w:val="en"/>
        </w:rPr>
        <w:fldChar w:fldCharType="separate"/>
      </w:r>
      <w:r>
        <w:rPr>
          <w:lang w:val="en"/>
        </w:rPr>
        <w:t>89</w:t>
      </w:r>
      <w:r>
        <w:rPr>
          <w:lang w:val="en"/>
        </w:rPr>
        <w:fldChar w:fldCharType="end"/>
      </w:r>
      <w:r>
        <w:rPr>
          <w:lang w:val="en"/>
        </w:rPr>
        <w:t>-</w:t>
      </w:r>
      <w:r>
        <w:rPr>
          <w:lang w:val="en"/>
        </w:rPr>
        <w:fldChar w:fldCharType="begin"/>
      </w:r>
      <w:r>
        <w:rPr>
          <w:lang w:val="en"/>
        </w:rPr>
        <w:instrText xml:space="preserve"> NOTEREF _Ref211358922 \h  \* MERGEFORMAT </w:instrText>
      </w:r>
      <w:r>
        <w:rPr>
          <w:lang w:val="en"/>
        </w:rPr>
      </w:r>
      <w:r>
        <w:rPr>
          <w:lang w:val="en"/>
        </w:rPr>
        <w:fldChar w:fldCharType="separate"/>
      </w:r>
      <w:r>
        <w:rPr>
          <w:lang w:val="en"/>
        </w:rPr>
        <w:t>97</w:t>
      </w:r>
      <w:r>
        <w:rPr>
          <w:lang w:val="en"/>
        </w:rPr>
        <w:fldChar w:fldCharType="end"/>
      </w:r>
      <w:r>
        <w:rPr>
          <w:lang w:val="en"/>
        </w:rPr>
        <w:t xml:space="preserve"> and accompanying text </w:t>
      </w:r>
      <w:r w:rsidRPr="00FF1B50">
        <w:rPr>
          <w:lang w:val="en"/>
        </w:rPr>
        <w:t xml:space="preserve">pp. 17-19 (discussing </w:t>
      </w:r>
      <w:r w:rsidRPr="00FF1B50">
        <w:rPr>
          <w:i/>
          <w:iCs/>
          <w:lang w:val="en"/>
        </w:rPr>
        <w:t>Finkelstein</w:t>
      </w:r>
      <w:r w:rsidRPr="00FF1B50">
        <w:rPr>
          <w:lang w:val="en"/>
        </w:rPr>
        <w:t xml:space="preserve"> in detail).</w:t>
      </w:r>
    </w:p>
  </w:footnote>
  <w:footnote w:id="14">
    <w:p w14:paraId="629C9578" w14:textId="77777777" w:rsidR="00092031" w:rsidRPr="00FF1B50" w:rsidRDefault="00092031" w:rsidP="00092031">
      <w:pPr>
        <w:pStyle w:val="FootnoteText"/>
        <w:rPr>
          <w:rFonts w:eastAsia="Quattrocento"/>
        </w:rPr>
      </w:pPr>
      <w:r w:rsidRPr="00FF1B50">
        <w:rPr>
          <w:rStyle w:val="FootnoteReference"/>
          <w:rFonts w:cs="Times New Roman"/>
        </w:rPr>
        <w:footnoteRef/>
      </w:r>
      <w:r w:rsidRPr="00FF1B50">
        <w:t xml:space="preserve"> Professor Bryan Lammon at the University of Toledo College of Law has written most extensively about the administrative-remand rule, though in the more general context of finality and appellate jurisdiction. </w:t>
      </w:r>
      <w:r w:rsidRPr="00FF1B50">
        <w:rPr>
          <w:i/>
          <w:iCs/>
        </w:rPr>
        <w:t>See</w:t>
      </w:r>
      <w:r w:rsidRPr="00FF1B50">
        <w:t xml:space="preserve"> </w:t>
      </w:r>
      <w:r w:rsidRPr="00FF1B50">
        <w:rPr>
          <w:rFonts w:eastAsia="Quattrocento"/>
        </w:rPr>
        <w:t xml:space="preserve">Bryan Lammon, </w:t>
      </w:r>
      <w:r w:rsidRPr="00FF1B50">
        <w:rPr>
          <w:rFonts w:eastAsia="Quattrocento"/>
          <w:i/>
          <w:iCs/>
        </w:rPr>
        <w:t>Finality, Appealability, and the Scope of Interlocutory Review</w:t>
      </w:r>
      <w:r w:rsidRPr="00FF1B50">
        <w:rPr>
          <w:rFonts w:eastAsia="Quattrocento"/>
        </w:rPr>
        <w:t xml:space="preserve">, 93 </w:t>
      </w:r>
      <w:r w:rsidRPr="00B47519">
        <w:rPr>
          <w:rFonts w:eastAsia="Quattrocento"/>
          <w:smallCaps/>
        </w:rPr>
        <w:t>Wash. L. Rev.</w:t>
      </w:r>
      <w:r w:rsidRPr="00FF1B50">
        <w:rPr>
          <w:rFonts w:eastAsia="Quattrocento"/>
        </w:rPr>
        <w:t xml:space="preserve"> 1809, 1834-37 (2018); Bryan Lammon, </w:t>
      </w:r>
      <w:r w:rsidRPr="00FF1B50">
        <w:rPr>
          <w:rFonts w:eastAsia="Quattrocento"/>
          <w:i/>
          <w:iCs/>
        </w:rPr>
        <w:t>Dizzying Gillespie: The Exaggerated Death of the Balancing Approach and the Inescapable Allure of Flexibility in Appellate Jurisdiction</w:t>
      </w:r>
      <w:r w:rsidRPr="00FF1B50">
        <w:rPr>
          <w:rFonts w:eastAsia="Quattrocento"/>
        </w:rPr>
        <w:t xml:space="preserve">, 51 </w:t>
      </w:r>
      <w:r w:rsidRPr="00FF1B50">
        <w:rPr>
          <w:rFonts w:eastAsia="Quattrocento"/>
          <w:smallCaps/>
        </w:rPr>
        <w:t>U. Rich. L. Rev</w:t>
      </w:r>
      <w:r w:rsidRPr="00FF1B50">
        <w:rPr>
          <w:rFonts w:eastAsia="Quattrocento"/>
        </w:rPr>
        <w:t xml:space="preserve">. 371, 386-93 (2017). The rule has received passing attention in other scholarship. </w:t>
      </w:r>
      <w:r w:rsidRPr="00FF1B50">
        <w:rPr>
          <w:rFonts w:eastAsia="Quattrocento"/>
          <w:i/>
          <w:iCs/>
        </w:rPr>
        <w:t>See, e.g.</w:t>
      </w:r>
      <w:r w:rsidRPr="00FF1B50">
        <w:rPr>
          <w:rFonts w:eastAsia="Quattrocento"/>
        </w:rPr>
        <w:t xml:space="preserve">, Harold J. Krent, </w:t>
      </w:r>
      <w:r w:rsidRPr="00FF1B50">
        <w:rPr>
          <w:rFonts w:eastAsia="Quattrocento"/>
          <w:i/>
          <w:iCs/>
        </w:rPr>
        <w:t>Situating Structural Challenges to Agency Authority Within the Framework of the Finality Principle</w:t>
      </w:r>
      <w:r w:rsidRPr="00FF1B50">
        <w:rPr>
          <w:rFonts w:eastAsia="Quattrocento"/>
        </w:rPr>
        <w:t xml:space="preserve">, 98 </w:t>
      </w:r>
      <w:r w:rsidRPr="00B47519">
        <w:rPr>
          <w:rFonts w:eastAsia="Quattrocento"/>
          <w:smallCaps/>
        </w:rPr>
        <w:t>Ind. L.J. Supplement</w:t>
      </w:r>
      <w:r w:rsidRPr="00FF1B50">
        <w:rPr>
          <w:rFonts w:eastAsia="Quattrocento"/>
        </w:rPr>
        <w:t xml:space="preserve"> 1, 10 n.73 (2023); Jennifer L. Biever &amp; Ana Maria Gutierrez, </w:t>
      </w:r>
      <w:r w:rsidRPr="00FF1B50">
        <w:rPr>
          <w:rFonts w:eastAsia="Quattrocento"/>
          <w:i/>
          <w:iCs/>
        </w:rPr>
        <w:t>The Uncertain Question of Remedies Should a Challenge Prevail</w:t>
      </w:r>
      <w:r w:rsidRPr="00FF1B50">
        <w:rPr>
          <w:rFonts w:eastAsia="Quattrocento"/>
        </w:rPr>
        <w:t xml:space="preserve">, 2016 NO. 5 RMMLF-INST PAPER NO. 13, 28-29 (2016); Michele D. Lynch, </w:t>
      </w:r>
      <w:r w:rsidRPr="00FF1B50">
        <w:rPr>
          <w:rFonts w:eastAsia="Quattrocento"/>
          <w:i/>
          <w:iCs/>
        </w:rPr>
        <w:t>Remands Are A Consequence of Administrative Law, So Why Are We All So Frustrated?</w:t>
      </w:r>
      <w:r w:rsidRPr="00FF1B50">
        <w:rPr>
          <w:rFonts w:eastAsia="Quattrocento"/>
        </w:rPr>
        <w:t xml:space="preserve">, 23 </w:t>
      </w:r>
      <w:r w:rsidRPr="00FF1B50">
        <w:rPr>
          <w:rFonts w:eastAsia="Quattrocento"/>
          <w:smallCaps/>
        </w:rPr>
        <w:t>Tul. J. Int’l &amp; Comp. L.</w:t>
      </w:r>
      <w:r w:rsidRPr="00FF1B50">
        <w:rPr>
          <w:rFonts w:eastAsia="Quattrocento"/>
        </w:rPr>
        <w:t xml:space="preserve"> 383, 392 (2015). Finally, a few treatises discuss the rule. </w:t>
      </w:r>
      <w:r w:rsidRPr="00FF1B50">
        <w:rPr>
          <w:rFonts w:eastAsia="Quattrocento"/>
          <w:i/>
          <w:iCs/>
        </w:rPr>
        <w:t>See, e.g.</w:t>
      </w:r>
      <w:r w:rsidRPr="00FF1B50">
        <w:rPr>
          <w:rFonts w:eastAsia="Quattrocento"/>
        </w:rPr>
        <w:t xml:space="preserve">, </w:t>
      </w:r>
      <w:r w:rsidRPr="00FF1B50">
        <w:rPr>
          <w:i/>
          <w:iCs/>
        </w:rPr>
        <w:t>Federal Practice &amp; Procedure</w:t>
      </w:r>
      <w:r w:rsidRPr="00FF1B50">
        <w:t xml:space="preserve">, § 3914.32 Orders Prior to Trial—Administrative Review, </w:t>
      </w:r>
      <w:r w:rsidRPr="00FF1B50">
        <w:rPr>
          <w:rFonts w:eastAsia="Quattrocento"/>
        </w:rPr>
        <w:t xml:space="preserve">15B Fed. </w:t>
      </w:r>
      <w:proofErr w:type="spellStart"/>
      <w:r w:rsidRPr="00FF1B50">
        <w:rPr>
          <w:rFonts w:eastAsia="Quattrocento"/>
        </w:rPr>
        <w:t>Prac</w:t>
      </w:r>
      <w:proofErr w:type="spellEnd"/>
      <w:r w:rsidRPr="00FF1B50">
        <w:rPr>
          <w:rFonts w:eastAsia="Quattrocento"/>
        </w:rPr>
        <w:t xml:space="preserve">. &amp; Proc. Juris. § 3914.32 (2d ed. June 2024 Update); </w:t>
      </w:r>
      <w:r w:rsidRPr="00FF1B50">
        <w:rPr>
          <w:i/>
          <w:iCs/>
        </w:rPr>
        <w:t>Federal Practice &amp; Procedure</w:t>
      </w:r>
      <w:r w:rsidRPr="00FF1B50">
        <w:rPr>
          <w:rFonts w:eastAsia="Quattrocento"/>
        </w:rPr>
        <w:t xml:space="preserve">, § 3903 Pragmatic Finality, 15A Fed. </w:t>
      </w:r>
      <w:proofErr w:type="spellStart"/>
      <w:r w:rsidRPr="00FF1B50">
        <w:rPr>
          <w:rFonts w:eastAsia="Quattrocento"/>
        </w:rPr>
        <w:t>Prac</w:t>
      </w:r>
      <w:proofErr w:type="spellEnd"/>
      <w:r w:rsidRPr="00FF1B50">
        <w:rPr>
          <w:rFonts w:eastAsia="Quattrocento"/>
        </w:rPr>
        <w:t xml:space="preserve">. &amp; Proc. Juris. § 3913 (3d ed. June 2024 Update); </w:t>
      </w:r>
      <w:r w:rsidRPr="00FF1B50">
        <w:rPr>
          <w:rFonts w:eastAsia="Quattrocento"/>
          <w:i/>
          <w:iCs/>
        </w:rPr>
        <w:t>see also, e.g.</w:t>
      </w:r>
      <w:r w:rsidRPr="00FF1B50">
        <w:rPr>
          <w:rFonts w:eastAsia="Quattrocento"/>
        </w:rPr>
        <w:t>, 73A C.J.S. Pub. Admin. Law &amp; Proc. § 561 (May 2024); Fed. Ct. App. Manual § 2:3 (7th ed. May 2024).</w:t>
      </w:r>
    </w:p>
  </w:footnote>
  <w:footnote w:id="15">
    <w:p w14:paraId="2C1F098B" w14:textId="02DF02C2" w:rsidR="00092031" w:rsidRPr="00FF1B50" w:rsidRDefault="00092031" w:rsidP="00092031">
      <w:pPr>
        <w:pStyle w:val="FootnoteText"/>
      </w:pPr>
      <w:r w:rsidRPr="00FF1B50">
        <w:rPr>
          <w:rStyle w:val="FootnoteReference"/>
          <w:rFonts w:cs="Times New Roman"/>
        </w:rPr>
        <w:footnoteRef/>
      </w:r>
      <w:r w:rsidRPr="00FF1B50">
        <w:t xml:space="preserve"> Section 1291 is Congress’ enshrinement of the final-judgment rule. </w:t>
      </w:r>
      <w:r w:rsidRPr="00FF1B50">
        <w:rPr>
          <w:i/>
          <w:iCs/>
        </w:rPr>
        <w:t>See infra</w:t>
      </w:r>
      <w:r w:rsidRPr="00FF1B50">
        <w:t xml:space="preserve"> </w:t>
      </w:r>
      <w:r>
        <w:t xml:space="preserve">notes </w:t>
      </w:r>
      <w:r>
        <w:fldChar w:fldCharType="begin"/>
      </w:r>
      <w:r>
        <w:instrText xml:space="preserve"> NOTEREF _Ref211358949 \h  \* MERGEFORMAT </w:instrText>
      </w:r>
      <w:r>
        <w:fldChar w:fldCharType="separate"/>
      </w:r>
      <w:r>
        <w:t>39</w:t>
      </w:r>
      <w:r>
        <w:fldChar w:fldCharType="end"/>
      </w:r>
      <w:r>
        <w:t>-</w:t>
      </w:r>
      <w:r>
        <w:fldChar w:fldCharType="begin"/>
      </w:r>
      <w:r>
        <w:instrText xml:space="preserve"> NOTEREF _Ref211359026 \h  \* MERGEFORMAT </w:instrText>
      </w:r>
      <w:r>
        <w:fldChar w:fldCharType="separate"/>
      </w:r>
      <w:r>
        <w:t>51</w:t>
      </w:r>
      <w:r>
        <w:fldChar w:fldCharType="end"/>
      </w:r>
      <w:r>
        <w:t xml:space="preserve"> and accompanying text </w:t>
      </w:r>
      <w:r w:rsidRPr="00FF1B50">
        <w:t>(discussing the final-judgment rule in detail).</w:t>
      </w:r>
    </w:p>
  </w:footnote>
  <w:footnote w:id="16">
    <w:p w14:paraId="3DBDD105" w14:textId="107F01B2"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_Ref211359041 \h  \* MERGEFORMAT </w:instrText>
      </w:r>
      <w:r>
        <w:fldChar w:fldCharType="separate"/>
      </w:r>
      <w:r>
        <w:t>46</w:t>
      </w:r>
      <w:r>
        <w:fldChar w:fldCharType="end"/>
      </w:r>
      <w:r>
        <w:t>-</w:t>
      </w:r>
      <w:r>
        <w:fldChar w:fldCharType="begin"/>
      </w:r>
      <w:r>
        <w:instrText xml:space="preserve"> NOTEREF _Ref211359049 \h  \* MERGEFORMAT </w:instrText>
      </w:r>
      <w:r>
        <w:fldChar w:fldCharType="separate"/>
      </w:r>
      <w:r>
        <w:t>48</w:t>
      </w:r>
      <w:r>
        <w:fldChar w:fldCharType="end"/>
      </w:r>
      <w:r>
        <w:t xml:space="preserve"> and accompanying text </w:t>
      </w:r>
      <w:r w:rsidRPr="00FF1B50">
        <w:t>(discussing the final-judgment rule’s rationales and benefits).</w:t>
      </w:r>
    </w:p>
  </w:footnote>
  <w:footnote w:id="17">
    <w:p w14:paraId="3608772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Pueblo of Sandia v. Babbitt</w:t>
      </w:r>
      <w:r w:rsidRPr="00FF1B50">
        <w:t>, 231 F.3d 878, 880 (D.C. Cir. 2000) (“Deferring review also leaves open the possibility that no appeal will be taken in the event the proceedings on remand satisfy all parties.”).</w:t>
      </w:r>
    </w:p>
  </w:footnote>
  <w:footnote w:id="18">
    <w:p w14:paraId="7DCFA778" w14:textId="77777777" w:rsidR="00092031" w:rsidRPr="00FF1B50" w:rsidRDefault="00092031" w:rsidP="00092031">
      <w:pPr>
        <w:pStyle w:val="FootnoteText"/>
      </w:pPr>
      <w:r w:rsidRPr="00FF1B50">
        <w:rPr>
          <w:rStyle w:val="FootnoteReference"/>
          <w:rFonts w:cs="Times New Roman"/>
        </w:rPr>
        <w:footnoteRef/>
      </w:r>
      <w:r w:rsidRPr="00FF1B50">
        <w:t xml:space="preserve"> </w:t>
      </w:r>
      <w:r>
        <w:t>T</w:t>
      </w:r>
      <w:r w:rsidRPr="00FF1B50">
        <w:t xml:space="preserve">wo Ninth Circuit judges recently called for reconsidering the rule </w:t>
      </w:r>
      <w:proofErr w:type="spellStart"/>
      <w:r w:rsidRPr="00FF1B50">
        <w:rPr>
          <w:i/>
          <w:iCs/>
        </w:rPr>
        <w:t>en</w:t>
      </w:r>
      <w:proofErr w:type="spellEnd"/>
      <w:r w:rsidRPr="00FF1B50">
        <w:rPr>
          <w:i/>
          <w:iCs/>
        </w:rPr>
        <w:t xml:space="preserve"> banc</w:t>
      </w:r>
      <w:r w:rsidRPr="00FF1B50">
        <w:t xml:space="preserve"> in the remand-with-vacatur context, explaining that </w:t>
      </w:r>
      <w:r w:rsidRPr="00FF1B50">
        <w:rPr>
          <w:rFonts w:eastAsia="Quattrocento"/>
        </w:rPr>
        <w:t xml:space="preserve">vacatur “operates like a final judgment or an injunction such that we should have jurisdiction over appeals of remands-with-vacatur under 28 U.S.C. § 1291, § 1292, or both.” </w:t>
      </w:r>
      <w:r w:rsidRPr="00FF1B50">
        <w:rPr>
          <w:rFonts w:eastAsia="Quattrocento"/>
          <w:i/>
          <w:iCs/>
        </w:rPr>
        <w:t>Ctr. for Biological Diversity v. Bureau of Land Mgmt.</w:t>
      </w:r>
      <w:r w:rsidRPr="00FF1B50">
        <w:rPr>
          <w:rFonts w:eastAsia="Quattrocento"/>
        </w:rPr>
        <w:t>, 69 F.4th 588, 597-98 (9th Cir. 2023) (Friedland and Bennett, JJ., concurring)</w:t>
      </w:r>
      <w:r>
        <w:rPr>
          <w:rFonts w:eastAsia="Quattrocento"/>
        </w:rPr>
        <w:t xml:space="preserve">. </w:t>
      </w:r>
      <w:r w:rsidRPr="00FF1B50">
        <w:rPr>
          <w:rFonts w:eastAsia="Quattrocento"/>
        </w:rPr>
        <w:t xml:space="preserve">A Second Circuit panel has expressed similar concerns. </w:t>
      </w:r>
      <w:r w:rsidRPr="00FF1B50">
        <w:rPr>
          <w:i/>
          <w:iCs/>
        </w:rPr>
        <w:t>See</w:t>
      </w:r>
      <w:r w:rsidRPr="00FF1B50">
        <w:t xml:space="preserve"> </w:t>
      </w:r>
      <w:r w:rsidRPr="00FF1B50">
        <w:rPr>
          <w:rFonts w:eastAsia="Quattrocento"/>
          <w:i/>
          <w:iCs/>
        </w:rPr>
        <w:t>N.Y. Legal Assistance Grp. v. Cardona</w:t>
      </w:r>
      <w:r w:rsidRPr="00FF1B50">
        <w:rPr>
          <w:rFonts w:eastAsia="Quattrocento"/>
        </w:rPr>
        <w:t>, No. 21-888-CV, 2024 WL 64220, at *3-4 (2d Cir. Jan. 5, 2024).</w:t>
      </w:r>
    </w:p>
  </w:footnote>
  <w:footnote w:id="19">
    <w:p w14:paraId="2258AF6A" w14:textId="4A6A9957" w:rsidR="00092031" w:rsidRPr="00FF1B50" w:rsidRDefault="00092031" w:rsidP="00092031">
      <w:pPr>
        <w:pStyle w:val="FootnoteText"/>
      </w:pPr>
      <w:r w:rsidRPr="00FF1B50">
        <w:rPr>
          <w:rStyle w:val="FootnoteReference"/>
          <w:rFonts w:cs="Times New Roman"/>
        </w:rPr>
        <w:footnoteRef/>
      </w:r>
      <w:r w:rsidRPr="00FF1B50">
        <w:t xml:space="preserve"> </w:t>
      </w:r>
      <w:r w:rsidRPr="005B1D38">
        <w:rPr>
          <w:i/>
          <w:iCs/>
        </w:rPr>
        <w:t>See infra</w:t>
      </w:r>
      <w:r w:rsidRPr="00FF1B50">
        <w:t xml:space="preserve"> </w:t>
      </w:r>
      <w:r>
        <w:t>notes</w:t>
      </w:r>
      <w:r w:rsidRPr="00FF1B50">
        <w:t xml:space="preserve"> </w:t>
      </w:r>
      <w:r>
        <w:fldChar w:fldCharType="begin"/>
      </w:r>
      <w:r>
        <w:instrText xml:space="preserve"> NOTEREF _Ref211359069 \h  \* MERGEFORMAT </w:instrText>
      </w:r>
      <w:r>
        <w:fldChar w:fldCharType="separate"/>
      </w:r>
      <w:r>
        <w:t>132</w:t>
      </w:r>
      <w:r>
        <w:fldChar w:fldCharType="end"/>
      </w:r>
      <w:r>
        <w:t>-</w:t>
      </w:r>
      <w:r>
        <w:fldChar w:fldCharType="begin"/>
      </w:r>
      <w:r>
        <w:instrText xml:space="preserve"> NOTEREF _Ref211359085 \h  \* MERGEFORMAT </w:instrText>
      </w:r>
      <w:r>
        <w:fldChar w:fldCharType="separate"/>
      </w:r>
      <w:r>
        <w:t>192</w:t>
      </w:r>
      <w:r>
        <w:fldChar w:fldCharType="end"/>
      </w:r>
      <w:r>
        <w:t xml:space="preserve"> </w:t>
      </w:r>
      <w:r w:rsidRPr="00FF1B50">
        <w:t>and accompanying text.</w:t>
      </w:r>
    </w:p>
  </w:footnote>
  <w:footnote w:id="20">
    <w:p w14:paraId="3F4E42E9" w14:textId="3C096EC0" w:rsidR="00092031" w:rsidRPr="00FF1B50" w:rsidRDefault="00092031" w:rsidP="00092031">
      <w:pPr>
        <w:pStyle w:val="FootnoteText"/>
      </w:pPr>
      <w:r w:rsidRPr="00FF1B50">
        <w:rPr>
          <w:rStyle w:val="FootnoteReference"/>
          <w:rFonts w:cs="Times New Roman"/>
        </w:rPr>
        <w:footnoteRef/>
      </w:r>
      <w:r w:rsidRPr="00FF1B50">
        <w:t xml:space="preserve"> </w:t>
      </w:r>
      <w:r w:rsidRPr="005B1D38">
        <w:rPr>
          <w:i/>
          <w:iCs/>
        </w:rPr>
        <w:t>See infra</w:t>
      </w:r>
      <w:r w:rsidRPr="00FF1B50">
        <w:t xml:space="preserve"> </w:t>
      </w:r>
      <w:r>
        <w:t xml:space="preserve">notes </w:t>
      </w:r>
      <w:r>
        <w:fldChar w:fldCharType="begin"/>
      </w:r>
      <w:r>
        <w:instrText xml:space="preserve"> NOTEREF _Ref211359105 \h  \* MERGEFORMAT </w:instrText>
      </w:r>
      <w:r>
        <w:fldChar w:fldCharType="separate"/>
      </w:r>
      <w:r>
        <w:t>193</w:t>
      </w:r>
      <w:r>
        <w:fldChar w:fldCharType="end"/>
      </w:r>
      <w:r>
        <w:t>-</w:t>
      </w:r>
      <w:r>
        <w:fldChar w:fldCharType="begin"/>
      </w:r>
      <w:r>
        <w:instrText xml:space="preserve"> NOTEREF _Ref211359114 \h  \* MERGEFORMAT </w:instrText>
      </w:r>
      <w:r>
        <w:fldChar w:fldCharType="separate"/>
      </w:r>
      <w:r>
        <w:t>194</w:t>
      </w:r>
      <w:r>
        <w:fldChar w:fldCharType="end"/>
      </w:r>
      <w:r>
        <w:t xml:space="preserve">, </w:t>
      </w:r>
      <w:r>
        <w:fldChar w:fldCharType="begin"/>
      </w:r>
      <w:r>
        <w:instrText xml:space="preserve"> NOTEREF _Ref211359132 \h  \* MERGEFORMAT </w:instrText>
      </w:r>
      <w:r>
        <w:fldChar w:fldCharType="separate"/>
      </w:r>
      <w:r>
        <w:t>262</w:t>
      </w:r>
      <w:r>
        <w:fldChar w:fldCharType="end"/>
      </w:r>
      <w:r>
        <w:t>-</w:t>
      </w:r>
      <w:r>
        <w:fldChar w:fldCharType="begin"/>
      </w:r>
      <w:r>
        <w:instrText xml:space="preserve"> NOTEREF _Ref211359143 \h  \* MERGEFORMAT </w:instrText>
      </w:r>
      <w:r>
        <w:fldChar w:fldCharType="separate"/>
      </w:r>
      <w:r>
        <w:t>270</w:t>
      </w:r>
      <w:r>
        <w:fldChar w:fldCharType="end"/>
      </w:r>
      <w:r>
        <w:t xml:space="preserve"> </w:t>
      </w:r>
      <w:r w:rsidRPr="00FF1B50">
        <w:t>and accompanying text.</w:t>
      </w:r>
    </w:p>
  </w:footnote>
  <w:footnote w:id="21">
    <w:p w14:paraId="3869B079" w14:textId="77777777" w:rsidR="00092031" w:rsidRPr="00FF1B50" w:rsidRDefault="00092031" w:rsidP="00092031">
      <w:pPr>
        <w:pStyle w:val="FootnoteText"/>
      </w:pPr>
      <w:r w:rsidRPr="00FF1B50">
        <w:rPr>
          <w:rStyle w:val="FootnoteReference"/>
          <w:rFonts w:cs="Times New Roman"/>
        </w:rPr>
        <w:footnoteRef/>
      </w:r>
      <w:r w:rsidRPr="00FF1B50">
        <w:t xml:space="preserve"> Temporal forum-shopping is “the practice of choosing the most favorable jurisdiction or court in which a claim might be heard </w:t>
      </w:r>
      <w:r w:rsidRPr="00FF1B50">
        <w:rPr>
          <w:i/>
          <w:iCs/>
        </w:rPr>
        <w:t>across time</w:t>
      </w:r>
      <w:r w:rsidRPr="00FF1B50">
        <w:t xml:space="preserve">.” Zachary D. Clopton &amp; Katherine Shaw, </w:t>
      </w:r>
      <w:r w:rsidRPr="00FF1B50">
        <w:rPr>
          <w:i/>
          <w:iCs/>
        </w:rPr>
        <w:t>Public Law Litigation and Electoral Time</w:t>
      </w:r>
      <w:r w:rsidRPr="00FF1B50">
        <w:t xml:space="preserve">, 2023 </w:t>
      </w:r>
      <w:r w:rsidRPr="00FF1B50">
        <w:rPr>
          <w:smallCaps/>
        </w:rPr>
        <w:t>Wis. L. Rev.</w:t>
      </w:r>
      <w:r w:rsidRPr="00FF1B50">
        <w:t xml:space="preserve"> 1513, 1521–22 (2023).</w:t>
      </w:r>
    </w:p>
  </w:footnote>
  <w:footnote w:id="22">
    <w:p w14:paraId="49A3E4E7" w14:textId="77777777" w:rsidR="00092031" w:rsidRPr="00FF1B50" w:rsidRDefault="00092031" w:rsidP="00092031">
      <w:pPr>
        <w:pStyle w:val="FootnoteText"/>
      </w:pPr>
      <w:r w:rsidRPr="00FF1B50">
        <w:rPr>
          <w:rStyle w:val="FootnoteReference"/>
          <w:rFonts w:cs="Times New Roman"/>
        </w:rPr>
        <w:footnoteRef/>
      </w:r>
      <w:r w:rsidRPr="00FF1B50">
        <w:t xml:space="preserve"> This Article focuses on review by the federal courts of appeals of remand orders issued by federal district courts under the APA. Various states have adopted their own versions of the administrative-remand rule, which a future article could examine. </w:t>
      </w:r>
      <w:r w:rsidRPr="00FF1B50">
        <w:rPr>
          <w:i/>
          <w:iCs/>
        </w:rPr>
        <w:t>See, e.g.</w:t>
      </w:r>
      <w:r w:rsidRPr="00FF1B50">
        <w:t xml:space="preserve">, </w:t>
      </w:r>
      <w:r w:rsidRPr="00FF1B50">
        <w:rPr>
          <w:i/>
          <w:iCs/>
        </w:rPr>
        <w:t>Jackson v. Bd. of Civ. Serv. Comm’rs of City of Los Angeles</w:t>
      </w:r>
      <w:r w:rsidRPr="00FF1B50">
        <w:t xml:space="preserve">, 99 Cal. App. 5th 648, 655-62, 318 Cal. </w:t>
      </w:r>
      <w:proofErr w:type="spellStart"/>
      <w:r w:rsidRPr="00FF1B50">
        <w:t>Rptr</w:t>
      </w:r>
      <w:proofErr w:type="spellEnd"/>
      <w:r w:rsidRPr="00FF1B50">
        <w:t xml:space="preserve">. 3d 79 (2024) (applying </w:t>
      </w:r>
      <w:r w:rsidRPr="00FF1B50">
        <w:rPr>
          <w:i/>
          <w:iCs/>
        </w:rPr>
        <w:t>Dhillon v. John Muir Health</w:t>
      </w:r>
      <w:r w:rsidRPr="00FF1B50">
        <w:t xml:space="preserve">, 2 Cal. 5th 1109, 1116, 394 P.3d 1048 (2017)); </w:t>
      </w:r>
      <w:r w:rsidRPr="00FF1B50">
        <w:rPr>
          <w:i/>
          <w:iCs/>
        </w:rPr>
        <w:t>Federman v. Bd. of Appeals of Marblehead</w:t>
      </w:r>
      <w:r w:rsidRPr="00FF1B50">
        <w:t xml:space="preserve">, 35 Mass. App. Ct. 727, 729-30, 626 N.E. 2d 8 (Mass. 1994); </w:t>
      </w:r>
      <w:r w:rsidRPr="00FF1B50">
        <w:rPr>
          <w:i/>
          <w:iCs/>
        </w:rPr>
        <w:t>Holton Transp., Inc. v. Kansas Corp. Comm’n</w:t>
      </w:r>
      <w:r w:rsidRPr="00FF1B50">
        <w:t xml:space="preserve">, 10 Kan. App. 2d 12, 12-13, 690 P.2d 399 (Kan. 1984); </w:t>
      </w:r>
      <w:proofErr w:type="spellStart"/>
      <w:r w:rsidRPr="00FF1B50">
        <w:rPr>
          <w:i/>
          <w:iCs/>
        </w:rPr>
        <w:t>Bearns</w:t>
      </w:r>
      <w:proofErr w:type="spellEnd"/>
      <w:r w:rsidRPr="00FF1B50">
        <w:rPr>
          <w:i/>
          <w:iCs/>
        </w:rPr>
        <w:t> v. Dep’t of Indus., Labor &amp; Human Relations</w:t>
      </w:r>
      <w:r w:rsidRPr="00FF1B50">
        <w:t>, 76-78. 306 N.W. 2d 22 (Wis. 1981).</w:t>
      </w:r>
    </w:p>
  </w:footnote>
  <w:footnote w:id="23">
    <w:p w14:paraId="2F914EAE" w14:textId="77777777" w:rsidR="00092031" w:rsidRPr="00FF1B50" w:rsidRDefault="00092031" w:rsidP="00092031">
      <w:pPr>
        <w:pStyle w:val="FootnoteText"/>
        <w:rPr>
          <w:i/>
          <w:iCs/>
        </w:rPr>
      </w:pPr>
      <w:r w:rsidRPr="00FF1B50">
        <w:rPr>
          <w:rStyle w:val="FootnoteReference"/>
          <w:rFonts w:cs="Times New Roman"/>
        </w:rPr>
        <w:footnoteRef/>
      </w:r>
      <w:r w:rsidRPr="00FF1B50">
        <w:t xml:space="preserve"> The administrative-remand rule applies to appeals to the circuit courts of district-court remand orders.</w:t>
      </w:r>
      <w:r>
        <w:t xml:space="preserve"> </w:t>
      </w:r>
      <w:r w:rsidRPr="00FF1B50">
        <w:t xml:space="preserve">There is no equivalent rule that covers appeals to the Supreme Court of circuit-court remand orders or of circuit-court decisions upholding district-court remand orders. The Supreme Court does have, however, a longstanding, general rule against interlocutory review. </w:t>
      </w:r>
      <w:r w:rsidRPr="00480DB2">
        <w:rPr>
          <w:i/>
          <w:iCs/>
        </w:rPr>
        <w:t>See</w:t>
      </w:r>
      <w:r>
        <w:t xml:space="preserve"> </w:t>
      </w:r>
      <w:r w:rsidRPr="00FF1B50">
        <w:rPr>
          <w:i/>
          <w:iCs/>
        </w:rPr>
        <w:t>Am. Constr. Co. v. Jacksonville, Tampa &amp; Key West Ry. Co.</w:t>
      </w:r>
      <w:r w:rsidRPr="00FF1B50">
        <w:t xml:space="preserve">, 148 U.S. 372, 384 (1893) (“[M]any orders made in the progress of a suit become quite unimportant by reason of the final result, or of intervening matters.”). </w:t>
      </w:r>
    </w:p>
  </w:footnote>
  <w:footnote w:id="24">
    <w:p w14:paraId="74843E1A" w14:textId="03E7722E" w:rsidR="00092031" w:rsidRPr="00FF1B50" w:rsidRDefault="00092031" w:rsidP="00092031">
      <w:pPr>
        <w:pStyle w:val="FootnoteText"/>
      </w:pPr>
      <w:r w:rsidRPr="00FF1B50">
        <w:rPr>
          <w:rStyle w:val="FootnoteReference"/>
          <w:rFonts w:cs="Times New Roman"/>
        </w:rPr>
        <w:footnoteRef/>
      </w:r>
      <w:r w:rsidRPr="00FF1B50">
        <w:t xml:space="preserve"> Some courts and commentators conceive of the rule as being narrower: A decision remanding an agency action is not final and appealable, and an appeal by the agency is an “exception” to that rule instead of part of the rule itself. </w:t>
      </w:r>
      <w:r w:rsidRPr="00FF1B50">
        <w:rPr>
          <w:i/>
          <w:iCs/>
        </w:rPr>
        <w:t>See infra</w:t>
      </w:r>
      <w:r w:rsidRPr="00FF1B50">
        <w:t xml:space="preserve"> notes</w:t>
      </w:r>
      <w:r>
        <w:t xml:space="preserve"> </w:t>
      </w:r>
      <w:r>
        <w:fldChar w:fldCharType="begin"/>
      </w:r>
      <w:r>
        <w:instrText xml:space="preserve"> NOTEREF _Ref211359180 \h  \* MERGEFORMAT </w:instrText>
      </w:r>
      <w:r>
        <w:fldChar w:fldCharType="separate"/>
      </w:r>
      <w:r>
        <w:t>29</w:t>
      </w:r>
      <w:r>
        <w:fldChar w:fldCharType="end"/>
      </w:r>
      <w:r>
        <w:t xml:space="preserve">, </w:t>
      </w:r>
      <w:r>
        <w:fldChar w:fldCharType="begin"/>
      </w:r>
      <w:r>
        <w:instrText xml:space="preserve"> NOTEREF _Ref211359193 \h  \* MERGEFORMAT </w:instrText>
      </w:r>
      <w:r>
        <w:fldChar w:fldCharType="separate"/>
      </w:r>
      <w:r>
        <w:t>94</w:t>
      </w:r>
      <w:r>
        <w:fldChar w:fldCharType="end"/>
      </w:r>
      <w:r>
        <w:t xml:space="preserve">, </w:t>
      </w:r>
      <w:r>
        <w:fldChar w:fldCharType="begin"/>
      </w:r>
      <w:r>
        <w:instrText xml:space="preserve"> NOTEREF _Ref211358788 \h  \* MERGEFORMAT </w:instrText>
      </w:r>
      <w:r>
        <w:fldChar w:fldCharType="separate"/>
      </w:r>
      <w:r>
        <w:t>113</w:t>
      </w:r>
      <w:r>
        <w:fldChar w:fldCharType="end"/>
      </w:r>
      <w:r>
        <w:t xml:space="preserve">. </w:t>
      </w:r>
      <w:r w:rsidRPr="00FF1B50">
        <w:t>This narrow framing allows a circuit court to reject an appeal of a remand by an agency, which, we will see, the circuits almost never do. As a result, under either this narrower or my broader framing the result is the same: Typically only agencies may appeal orders remanding their decisions for further proceedings.</w:t>
      </w:r>
    </w:p>
  </w:footnote>
  <w:footnote w:id="25">
    <w:p w14:paraId="104F63EF" w14:textId="77777777" w:rsidR="00092031" w:rsidRPr="00FF1B50" w:rsidRDefault="00092031" w:rsidP="00092031">
      <w:pPr>
        <w:pStyle w:val="FootnoteText"/>
      </w:pPr>
      <w:r w:rsidRPr="00FF1B50">
        <w:rPr>
          <w:rStyle w:val="FootnoteReference"/>
          <w:rFonts w:cs="Times New Roman"/>
        </w:rPr>
        <w:footnoteRef/>
      </w:r>
      <w:r w:rsidRPr="00FF1B50">
        <w:t xml:space="preserve"> 28 U.S.C. § 1291. Some types of administrative-agency remands occur under special final-judgment statutes that either mimic or intentionally depart from section 1291. I discuss those below where relevant. </w:t>
      </w:r>
    </w:p>
  </w:footnote>
  <w:footnote w:id="26">
    <w:p w14:paraId="50B97E4C" w14:textId="77777777" w:rsidR="00092031" w:rsidRPr="00FF1B50" w:rsidRDefault="00092031" w:rsidP="00092031">
      <w:pPr>
        <w:pStyle w:val="FootnoteText"/>
      </w:pPr>
      <w:r w:rsidRPr="00FF1B50">
        <w:rPr>
          <w:rStyle w:val="FootnoteReference"/>
          <w:rFonts w:cs="Times New Roman"/>
        </w:rPr>
        <w:footnoteRef/>
      </w:r>
      <w:r w:rsidRPr="00FF1B50">
        <w:t xml:space="preserve"> 28 U.S.C. § 1292(a).</w:t>
      </w:r>
    </w:p>
  </w:footnote>
  <w:footnote w:id="27">
    <w:p w14:paraId="772F0578" w14:textId="55B93339" w:rsidR="00092031" w:rsidRPr="00FF1B50" w:rsidRDefault="00092031" w:rsidP="00092031">
      <w:pPr>
        <w:pStyle w:val="FootnoteText"/>
      </w:pPr>
      <w:r w:rsidRPr="00FF1B50">
        <w:rPr>
          <w:rStyle w:val="FootnoteReference"/>
          <w:rFonts w:cs="Times New Roman"/>
        </w:rPr>
        <w:footnoteRef/>
      </w:r>
      <w:r w:rsidRPr="00FF1B50">
        <w:t xml:space="preserve"> The two most common vehicles for certification are Federal Rule of Civil Procedure 54(b) and 28 U.S.C. § 1292(b). </w:t>
      </w:r>
      <w:r w:rsidRPr="00FF1B50">
        <w:rPr>
          <w:i/>
          <w:iCs/>
        </w:rPr>
        <w:t xml:space="preserve">See infra </w:t>
      </w:r>
      <w:r>
        <w:t xml:space="preserve">notes </w:t>
      </w:r>
      <w:r>
        <w:fldChar w:fldCharType="begin"/>
      </w:r>
      <w:r>
        <w:instrText xml:space="preserve"> NOTEREF _Ref211359230 \h  \* MERGEFORMAT </w:instrText>
      </w:r>
      <w:r>
        <w:fldChar w:fldCharType="separate"/>
      </w:r>
      <w:r>
        <w:t>280</w:t>
      </w:r>
      <w:r>
        <w:fldChar w:fldCharType="end"/>
      </w:r>
      <w:r>
        <w:t xml:space="preserve">, </w:t>
      </w:r>
      <w:r>
        <w:fldChar w:fldCharType="begin"/>
      </w:r>
      <w:r>
        <w:instrText xml:space="preserve"> NOTEREF _Ref211359240 \h  \* MERGEFORMAT </w:instrText>
      </w:r>
      <w:r>
        <w:fldChar w:fldCharType="separate"/>
      </w:r>
      <w:r>
        <w:t>298</w:t>
      </w:r>
      <w:r>
        <w:fldChar w:fldCharType="end"/>
      </w:r>
      <w:r>
        <w:t xml:space="preserve"> and accompanying text</w:t>
      </w:r>
      <w:r w:rsidRPr="00FF1B50">
        <w:t xml:space="preserve"> (discussing relationship between certification </w:t>
      </w:r>
      <w:r>
        <w:t>under these provisions</w:t>
      </w:r>
      <w:r w:rsidRPr="00FF1B50">
        <w:t xml:space="preserve"> and </w:t>
      </w:r>
      <w:r>
        <w:t xml:space="preserve">the </w:t>
      </w:r>
      <w:r w:rsidRPr="00FF1B50">
        <w:t>administrative-remand rule).</w:t>
      </w:r>
    </w:p>
  </w:footnote>
  <w:footnote w:id="28">
    <w:p w14:paraId="61F1C0F5" w14:textId="36DD33DE"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Collord v. U.S. Dep’t of the Interior</w:t>
      </w:r>
      <w:r w:rsidRPr="00FF1B50">
        <w:rPr>
          <w:rFonts w:eastAsia="Quattrocento"/>
        </w:rPr>
        <w:t>, 154 F.3d 933, 935 (9th Cir. 1998)</w:t>
      </w:r>
      <w:r w:rsidRPr="00FF1B50">
        <w:t xml:space="preserve">; </w:t>
      </w:r>
      <w:r w:rsidRPr="00FF1B50">
        <w:rPr>
          <w:i/>
          <w:iCs/>
        </w:rPr>
        <w:t>see also infra</w:t>
      </w:r>
      <w:r w:rsidRPr="00FF1B50">
        <w:t xml:space="preserve"> </w:t>
      </w:r>
      <w:r>
        <w:t xml:space="preserve">notes </w:t>
      </w:r>
      <w:r>
        <w:fldChar w:fldCharType="begin"/>
      </w:r>
      <w:r>
        <w:instrText xml:space="preserve"> NOTEREF _Ref211359069 \h  \* MERGEFORMAT </w:instrText>
      </w:r>
      <w:r>
        <w:fldChar w:fldCharType="separate"/>
      </w:r>
      <w:r>
        <w:t>132</w:t>
      </w:r>
      <w:r>
        <w:fldChar w:fldCharType="end"/>
      </w:r>
      <w:r>
        <w:t>-</w:t>
      </w:r>
      <w:r>
        <w:fldChar w:fldCharType="begin"/>
      </w:r>
      <w:r>
        <w:instrText xml:space="preserve"> NOTEREF _Ref211359279 \h  \* MERGEFORMAT </w:instrText>
      </w:r>
      <w:r>
        <w:fldChar w:fldCharType="separate"/>
      </w:r>
      <w:r>
        <w:t>181</w:t>
      </w:r>
      <w:r>
        <w:fldChar w:fldCharType="end"/>
      </w:r>
      <w:r>
        <w:t xml:space="preserve"> </w:t>
      </w:r>
      <w:r w:rsidRPr="00FF1B50">
        <w:t>(discussing the primacy of this concern across the circuits</w:t>
      </w:r>
      <w:r>
        <w:t xml:space="preserve"> and citing many cases that discuss it</w:t>
      </w:r>
      <w:r w:rsidRPr="00FF1B50">
        <w:t>).</w:t>
      </w:r>
    </w:p>
  </w:footnote>
  <w:footnote w:id="29">
    <w:p w14:paraId="1284544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rPr>
        <w:t>Alsea Valley Alliance</w:t>
      </w:r>
      <w:r w:rsidRPr="00FF1B50">
        <w:t xml:space="preserve">, 358. F3d at 1184 (“An agency, after all, cannot appeal the result of its own decision.”). As the Seventh Circuit put it, “an order remanding a case to an agency is final for purposes of 28 U.S.C. § 1291 if it terminates the agency’s judicial remedies other than contempt.” </w:t>
      </w:r>
      <w:r w:rsidRPr="00FF1B50">
        <w:rPr>
          <w:i/>
          <w:iCs/>
        </w:rPr>
        <w:t>Crowder v. Sullivan</w:t>
      </w:r>
      <w:r w:rsidRPr="00FF1B50">
        <w:t xml:space="preserve">, 897 F.2d 252, 253 (7th Cir. 1990) (per curiam); </w:t>
      </w:r>
      <w:r w:rsidRPr="00FF1B50">
        <w:rPr>
          <w:i/>
          <w:iCs/>
        </w:rPr>
        <w:t>see also</w:t>
      </w:r>
      <w:r w:rsidRPr="00FF1B50">
        <w:t xml:space="preserve"> 15B Fed. </w:t>
      </w:r>
      <w:proofErr w:type="spellStart"/>
      <w:r w:rsidRPr="00FF1B50">
        <w:t>Prac</w:t>
      </w:r>
      <w:proofErr w:type="spellEnd"/>
      <w:r w:rsidRPr="00FF1B50">
        <w:t>. &amp; Proc. Juris. § 3914.32 (“The most cogent explanation for most of these decisions must be that administrative agencies, as more or less coordinate branches of government, deserve the protection of special appeal opportunities. The need to settle important questions, and to get them right, underlies the most persuasive decisions. There actually is reason to worry that an agency cannot appeal its own decision in favor of a claimant if the decision was compelled by a district court remand that the agency believes wrong.”).</w:t>
      </w:r>
    </w:p>
  </w:footnote>
  <w:footnote w:id="30">
    <w:p w14:paraId="79A27A30" w14:textId="77777777" w:rsidR="00092031" w:rsidRPr="00FF1B50" w:rsidRDefault="00092031" w:rsidP="00092031">
      <w:pPr>
        <w:pStyle w:val="FootnoteText"/>
      </w:pPr>
      <w:r w:rsidRPr="00FF1B50">
        <w:rPr>
          <w:rStyle w:val="FootnoteReference"/>
          <w:rFonts w:cs="Times New Roman"/>
        </w:rPr>
        <w:footnoteRef/>
      </w:r>
      <w:r w:rsidRPr="00FF1B50">
        <w:t xml:space="preserve"> This Article avoids framing the circumstances in which the circuit courts deem remands appealable as “exceptions” to the final-judgment rule or administrative-remand rule, even though many courts do just that. </w:t>
      </w:r>
      <w:r>
        <w:t>T</w:t>
      </w:r>
      <w:r w:rsidRPr="00FF1B50">
        <w:t xml:space="preserve">he “courts of appeals do not have authority to create exceptions to congressional limits on jurisdiction.” </w:t>
      </w:r>
      <w:r w:rsidRPr="00FF1B50">
        <w:rPr>
          <w:i/>
          <w:iCs/>
        </w:rPr>
        <w:t xml:space="preserve">Papotto v. Hartford Life &amp; </w:t>
      </w:r>
      <w:proofErr w:type="spellStart"/>
      <w:r w:rsidRPr="00FF1B50">
        <w:rPr>
          <w:i/>
          <w:iCs/>
        </w:rPr>
        <w:t>Accid</w:t>
      </w:r>
      <w:proofErr w:type="spellEnd"/>
      <w:r w:rsidRPr="00FF1B50">
        <w:rPr>
          <w:i/>
          <w:iCs/>
        </w:rPr>
        <w:t xml:space="preserve">. </w:t>
      </w:r>
      <w:proofErr w:type="spellStart"/>
      <w:r w:rsidRPr="00FF1B50">
        <w:rPr>
          <w:i/>
          <w:iCs/>
        </w:rPr>
        <w:t>Insur</w:t>
      </w:r>
      <w:proofErr w:type="spellEnd"/>
      <w:r w:rsidRPr="00FF1B50">
        <w:rPr>
          <w:i/>
          <w:iCs/>
        </w:rPr>
        <w:t>. Co.</w:t>
      </w:r>
      <w:r w:rsidRPr="00FF1B50">
        <w:t xml:space="preserve">, 731 F.3d 265, 270-71 (3d Cir. 2013) (citing supporting cases). Rather, the circuit courts’ prudential development of circumstances in which remands are final, despite the general rule they are not, is simply a “practical construction of finality.” </w:t>
      </w:r>
      <w:r w:rsidRPr="00FF1B50">
        <w:rPr>
          <w:i/>
          <w:iCs/>
        </w:rPr>
        <w:t>Kreider Dairy Farms, Inc. v. Glickman</w:t>
      </w:r>
      <w:r w:rsidRPr="00FF1B50">
        <w:t>, 190 F.3d 113, 124 (3d Cir. 1999) (</w:t>
      </w:r>
      <w:proofErr w:type="spellStart"/>
      <w:r w:rsidRPr="00FF1B50">
        <w:t>Sloviter</w:t>
      </w:r>
      <w:proofErr w:type="spellEnd"/>
      <w:r w:rsidRPr="00FF1B50">
        <w:t xml:space="preserve">, J., concurring); </w:t>
      </w:r>
      <w:r w:rsidRPr="00FF1B50">
        <w:rPr>
          <w:i/>
          <w:iCs/>
        </w:rPr>
        <w:t>see also Digital Equip. Corp. v. Desktop Direct, Inc.</w:t>
      </w:r>
      <w:r w:rsidRPr="00FF1B50">
        <w:t>, 511 U.S. 863, 867 (1994) (“The collateral order doctrine is best understood not as an exception to the ‘final decision’ rule laid down in Congress in § 1291, but as a ‘practical construction’ of it.”).</w:t>
      </w:r>
    </w:p>
  </w:footnote>
  <w:footnote w:id="31">
    <w:p w14:paraId="6936857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Times New Roman"/>
        </w:rPr>
        <w:t xml:space="preserve">Nicholas Bagley, </w:t>
      </w:r>
      <w:r w:rsidRPr="00FF1B50">
        <w:rPr>
          <w:rFonts w:eastAsia="Times New Roman"/>
          <w:i/>
          <w:iCs/>
        </w:rPr>
        <w:t>Remedial Restraint in Administrative Law</w:t>
      </w:r>
      <w:r w:rsidRPr="00FF1B50">
        <w:rPr>
          <w:rFonts w:eastAsia="Times New Roman"/>
        </w:rPr>
        <w:t xml:space="preserve">, 117 </w:t>
      </w:r>
      <w:r w:rsidRPr="00FF1B50">
        <w:rPr>
          <w:rFonts w:eastAsia="Times New Roman"/>
          <w:smallCaps/>
        </w:rPr>
        <w:t>Colum. L. Rev</w:t>
      </w:r>
      <w:r w:rsidRPr="00FF1B50">
        <w:rPr>
          <w:rFonts w:eastAsia="Times New Roman"/>
        </w:rPr>
        <w:t>. 253, 258 (2017) (quoting 5 U.S.C. § 706(2)).</w:t>
      </w:r>
    </w:p>
  </w:footnote>
  <w:footnote w:id="32">
    <w:p w14:paraId="6BA9F938"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Securities &amp; Exch. Comm’n v. Chenery Corp.</w:t>
      </w:r>
      <w:r w:rsidRPr="00FF1B50">
        <w:t xml:space="preserve">, 332 U.S. 194, 196 (1947); </w:t>
      </w:r>
      <w:r w:rsidRPr="00FF1B50">
        <w:rPr>
          <w:i/>
          <w:iCs/>
        </w:rPr>
        <w:t>see also</w:t>
      </w:r>
      <w:r w:rsidRPr="00FF1B50">
        <w:t xml:space="preserve"> </w:t>
      </w:r>
      <w:r w:rsidRPr="00FF1B50">
        <w:rPr>
          <w:i/>
          <w:iCs/>
        </w:rPr>
        <w:t xml:space="preserve">Food &amp; Drug Admin. v. Wages &amp; White Lion </w:t>
      </w:r>
      <w:proofErr w:type="spellStart"/>
      <w:r w:rsidRPr="00FF1B50">
        <w:rPr>
          <w:i/>
          <w:iCs/>
        </w:rPr>
        <w:t>Invs</w:t>
      </w:r>
      <w:proofErr w:type="spellEnd"/>
      <w:r w:rsidRPr="00FF1B50">
        <w:rPr>
          <w:i/>
          <w:iCs/>
        </w:rPr>
        <w:t>., LLC</w:t>
      </w:r>
      <w:r w:rsidRPr="00FF1B50">
        <w:t xml:space="preserve">, 604 U.S. </w:t>
      </w:r>
      <w:r>
        <w:t>542, 588-91</w:t>
      </w:r>
      <w:r w:rsidRPr="00FF1B50">
        <w:t xml:space="preserve"> (2025) (most recent Supreme Court case discussing history and bounds of ordinary-remand rule); Robert L. Glicksman &amp; Emily Hammond, </w:t>
      </w:r>
      <w:r w:rsidRPr="00FF1B50">
        <w:rPr>
          <w:i/>
          <w:iCs/>
        </w:rPr>
        <w:t>Agency Behavior and Discretion on Remand</w:t>
      </w:r>
      <w:r w:rsidRPr="00FF1B50">
        <w:t xml:space="preserve">, 32 </w:t>
      </w:r>
      <w:r w:rsidRPr="00FF1B50">
        <w:rPr>
          <w:smallCaps/>
        </w:rPr>
        <w:t>J. Land Use &amp; Env’t L</w:t>
      </w:r>
      <w:r w:rsidRPr="00FF1B50">
        <w:t>. 483, 492-93 (2017) (discussing ordinary</w:t>
      </w:r>
      <w:r>
        <w:t>-</w:t>
      </w:r>
      <w:r w:rsidRPr="00FF1B50">
        <w:t xml:space="preserve">remand rule); Christopher J. Walker, </w:t>
      </w:r>
      <w:r w:rsidRPr="00FF1B50">
        <w:rPr>
          <w:i/>
          <w:iCs/>
        </w:rPr>
        <w:t>Referral, Remand, and Dialogue in Administrative Law</w:t>
      </w:r>
      <w:r w:rsidRPr="00FF1B50">
        <w:t xml:space="preserve">, 101 </w:t>
      </w:r>
      <w:r w:rsidRPr="00FF1B50">
        <w:rPr>
          <w:smallCaps/>
        </w:rPr>
        <w:t>Iowa L. Rev. Online</w:t>
      </w:r>
      <w:r w:rsidRPr="00FF1B50">
        <w:t xml:space="preserve"> 84, 86 (2016) (same); Christopher J. Walker, </w:t>
      </w:r>
      <w:r w:rsidRPr="00FF1B50">
        <w:rPr>
          <w:i/>
          <w:iCs/>
        </w:rPr>
        <w:t>The Ordinary Remand Rule and the Judicial Toolbox for Agency Dialogue</w:t>
      </w:r>
      <w:r w:rsidRPr="00FF1B50">
        <w:t xml:space="preserve">, 82 </w:t>
      </w:r>
      <w:r w:rsidRPr="00FF1B50">
        <w:rPr>
          <w:smallCaps/>
        </w:rPr>
        <w:t>Geo. Wash. L. Rev</w:t>
      </w:r>
      <w:r w:rsidRPr="00FF1B50">
        <w:t>. 1553, 1563 (2014) (same).</w:t>
      </w:r>
    </w:p>
  </w:footnote>
  <w:footnote w:id="33">
    <w:p w14:paraId="72CAC9E2" w14:textId="3ECE8A71"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_Ref211359304 \h  \* MERGEFORMAT </w:instrText>
      </w:r>
      <w:r>
        <w:fldChar w:fldCharType="separate"/>
      </w:r>
      <w:r>
        <w:t>257</w:t>
      </w:r>
      <w:r>
        <w:fldChar w:fldCharType="end"/>
      </w:r>
      <w:r>
        <w:t>-</w:t>
      </w:r>
      <w:r>
        <w:fldChar w:fldCharType="begin"/>
      </w:r>
      <w:r>
        <w:instrText xml:space="preserve"> NOTEREF _Ref211359314 \h  \* MERGEFORMAT </w:instrText>
      </w:r>
      <w:r>
        <w:fldChar w:fldCharType="separate"/>
      </w:r>
      <w:r>
        <w:t>261</w:t>
      </w:r>
      <w:r>
        <w:fldChar w:fldCharType="end"/>
      </w:r>
      <w:r>
        <w:t xml:space="preserve"> and accompanying text </w:t>
      </w:r>
      <w:r w:rsidRPr="00FF1B50">
        <w:t>for more discussion of remands with and without vacatur.</w:t>
      </w:r>
    </w:p>
  </w:footnote>
  <w:footnote w:id="34">
    <w:p w14:paraId="68AFDC8F" w14:textId="77777777" w:rsidR="00092031" w:rsidRPr="00FF1B50" w:rsidRDefault="00092031" w:rsidP="00092031">
      <w:pPr>
        <w:pStyle w:val="FootnoteText"/>
      </w:pPr>
      <w:r w:rsidRPr="00FF1B50">
        <w:rPr>
          <w:rStyle w:val="FootnoteReference"/>
          <w:rFonts w:cs="Times New Roman"/>
        </w:rPr>
        <w:footnoteRef/>
      </w:r>
      <w:r w:rsidRPr="00FF1B50">
        <w:t xml:space="preserve"> Joshua Revesz, </w:t>
      </w:r>
      <w:r w:rsidRPr="00FF1B50">
        <w:rPr>
          <w:i/>
          <w:iCs/>
        </w:rPr>
        <w:t>Voluntary Remands: A Critical Reassessment</w:t>
      </w:r>
      <w:r w:rsidRPr="00FF1B50">
        <w:t xml:space="preserve">, 70 </w:t>
      </w:r>
      <w:r w:rsidRPr="00FF1B50">
        <w:rPr>
          <w:smallCaps/>
        </w:rPr>
        <w:t>Admin. L. Rev.</w:t>
      </w:r>
      <w:r w:rsidRPr="00FF1B50">
        <w:t xml:space="preserve"> 361, 366-69 (2018); Toni M. Fine, </w:t>
      </w:r>
      <w:r w:rsidRPr="00FF1B50">
        <w:rPr>
          <w:i/>
          <w:iCs/>
        </w:rPr>
        <w:t>Agency Requests for “Voluntary” Remand: A Proposal for the Development of Judicial Standards</w:t>
      </w:r>
      <w:r w:rsidRPr="00FF1B50">
        <w:t xml:space="preserve">, 28 </w:t>
      </w:r>
      <w:r w:rsidRPr="00FF1B50">
        <w:rPr>
          <w:smallCaps/>
        </w:rPr>
        <w:t>Ariz. St. L.J.</w:t>
      </w:r>
      <w:r w:rsidRPr="00FF1B50">
        <w:t xml:space="preserve"> 1079, 1080 (1996).</w:t>
      </w:r>
    </w:p>
  </w:footnote>
  <w:footnote w:id="35">
    <w:p w14:paraId="3DAD44B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Motor Vehicle Mfrs. </w:t>
      </w:r>
      <w:proofErr w:type="spellStart"/>
      <w:r w:rsidRPr="00FF1B50">
        <w:rPr>
          <w:i/>
          <w:iCs/>
        </w:rPr>
        <w:t>Ass’n</w:t>
      </w:r>
      <w:proofErr w:type="spellEnd"/>
      <w:r w:rsidRPr="00FF1B50">
        <w:rPr>
          <w:i/>
          <w:iCs/>
        </w:rPr>
        <w:t xml:space="preserve"> of U.S., Inc. v. State Farm Mut. Auto. Ins. Co.</w:t>
      </w:r>
      <w:r w:rsidRPr="00FF1B50">
        <w:t>, 463 U.S. 29, 43 (1983).</w:t>
      </w:r>
    </w:p>
  </w:footnote>
  <w:footnote w:id="36">
    <w:p w14:paraId="3B3240D4" w14:textId="14A1E486" w:rsidR="00092031" w:rsidRPr="00FF1B50" w:rsidRDefault="00092031" w:rsidP="00092031">
      <w:pPr>
        <w:pStyle w:val="FootnoteText"/>
        <w:rPr>
          <w:sz w:val="20"/>
          <w:szCs w:val="20"/>
          <w:lang w:val="en-CA"/>
        </w:rPr>
      </w:pPr>
      <w:r w:rsidRPr="00FF1B50">
        <w:rPr>
          <w:rStyle w:val="FootnoteReference"/>
          <w:sz w:val="20"/>
          <w:szCs w:val="20"/>
        </w:rPr>
        <w:footnoteRef/>
      </w:r>
      <w:r w:rsidRPr="00FF1B50">
        <w:rPr>
          <w:sz w:val="20"/>
          <w:szCs w:val="20"/>
        </w:rPr>
        <w:t xml:space="preserve"> Henry J. Friendly, Chenery</w:t>
      </w:r>
      <w:r w:rsidRPr="00FF1B50">
        <w:rPr>
          <w:i/>
          <w:iCs/>
          <w:sz w:val="20"/>
          <w:szCs w:val="20"/>
        </w:rPr>
        <w:t xml:space="preserve"> Revisited: Reflections on Reversal and Remand of Administrative Orders</w:t>
      </w:r>
      <w:r w:rsidRPr="00FF1B50">
        <w:rPr>
          <w:sz w:val="20"/>
          <w:szCs w:val="20"/>
        </w:rPr>
        <w:t xml:space="preserve">, 1969 </w:t>
      </w:r>
      <w:r w:rsidRPr="00FF1B50">
        <w:rPr>
          <w:smallCaps/>
          <w:sz w:val="20"/>
          <w:szCs w:val="20"/>
        </w:rPr>
        <w:t xml:space="preserve">Duke L.J. </w:t>
      </w:r>
      <w:r w:rsidRPr="00FF1B50">
        <w:rPr>
          <w:sz w:val="20"/>
          <w:szCs w:val="20"/>
        </w:rPr>
        <w:t xml:space="preserve">199, 205-18 (1969); Lynch, </w:t>
      </w:r>
      <w:r w:rsidRPr="002E03CF">
        <w:rPr>
          <w:i/>
          <w:iCs/>
          <w:sz w:val="20"/>
          <w:szCs w:val="20"/>
        </w:rPr>
        <w:t>supra</w:t>
      </w:r>
      <w:r w:rsidRPr="002E03CF">
        <w:rPr>
          <w:sz w:val="20"/>
          <w:szCs w:val="20"/>
        </w:rPr>
        <w:t xml:space="preserve"> note </w:t>
      </w:r>
      <w:r>
        <w:rPr>
          <w:sz w:val="20"/>
          <w:szCs w:val="20"/>
          <w:highlight w:val="cyan"/>
        </w:rPr>
        <w:fldChar w:fldCharType="begin"/>
      </w:r>
      <w:r>
        <w:rPr>
          <w:sz w:val="20"/>
          <w:szCs w:val="20"/>
        </w:rPr>
        <w:instrText xml:space="preserve"> NOTEREF _Ref211359331 \h </w:instrText>
      </w:r>
      <w:r>
        <w:rPr>
          <w:sz w:val="20"/>
          <w:szCs w:val="20"/>
          <w:highlight w:val="cyan"/>
        </w:rPr>
        <w:instrText xml:space="preserve"> \* MERGEFORMAT </w:instrText>
      </w:r>
      <w:r>
        <w:rPr>
          <w:sz w:val="20"/>
          <w:szCs w:val="20"/>
          <w:highlight w:val="cyan"/>
        </w:rPr>
      </w:r>
      <w:r>
        <w:rPr>
          <w:sz w:val="20"/>
          <w:szCs w:val="20"/>
          <w:highlight w:val="cyan"/>
        </w:rPr>
        <w:fldChar w:fldCharType="separate"/>
      </w:r>
      <w:r>
        <w:rPr>
          <w:sz w:val="20"/>
          <w:szCs w:val="20"/>
        </w:rPr>
        <w:t>13</w:t>
      </w:r>
      <w:r>
        <w:rPr>
          <w:sz w:val="20"/>
          <w:szCs w:val="20"/>
          <w:highlight w:val="cyan"/>
        </w:rPr>
        <w:fldChar w:fldCharType="end"/>
      </w:r>
      <w:r w:rsidRPr="002E03CF">
        <w:rPr>
          <w:sz w:val="20"/>
          <w:szCs w:val="20"/>
        </w:rPr>
        <w:t>, at 388.</w:t>
      </w:r>
    </w:p>
  </w:footnote>
  <w:footnote w:id="37">
    <w:p w14:paraId="11EDD3C5" w14:textId="77777777" w:rsidR="00092031" w:rsidRPr="00FF1B50" w:rsidRDefault="00092031" w:rsidP="00092031">
      <w:pPr>
        <w:pStyle w:val="FootnoteText"/>
      </w:pPr>
      <w:r w:rsidRPr="00FF1B50">
        <w:rPr>
          <w:rStyle w:val="FootnoteReference"/>
          <w:rFonts w:cs="Times New Roman"/>
        </w:rPr>
        <w:footnoteRef/>
      </w:r>
      <w:r w:rsidRPr="00FF1B50">
        <w:t xml:space="preserve"> Julie C. Mendoza &amp; R. Will Planert, </w:t>
      </w:r>
      <w:r w:rsidRPr="00FF1B50">
        <w:rPr>
          <w:i/>
          <w:iCs/>
        </w:rPr>
        <w:t>Agency Remands Before the United States Court of International Trade: Objectives and Obstacles</w:t>
      </w:r>
      <w:r w:rsidRPr="00FF1B50">
        <w:t xml:space="preserve">, </w:t>
      </w:r>
      <w:r w:rsidRPr="00FF1B50">
        <w:rPr>
          <w:smallCaps/>
        </w:rPr>
        <w:t>17 Tul. J. Int’l &amp; Comp. L</w:t>
      </w:r>
      <w:r w:rsidRPr="00FF1B50">
        <w:t>. 463, 470-89 (2009).</w:t>
      </w:r>
    </w:p>
  </w:footnote>
  <w:footnote w:id="38">
    <w:p w14:paraId="6BE1DC5E"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Pauly v. U.S. Dept. of Agri.</w:t>
      </w:r>
      <w:r w:rsidRPr="00FF1B50">
        <w:t>, 348 F.3d 1143, 1148 (9th Cir. 2003).</w:t>
      </w:r>
    </w:p>
  </w:footnote>
  <w:footnote w:id="39">
    <w:p w14:paraId="52CFFE0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Vista Health Plan, Inc. v. U.S. Dep’t of Health &amp; Human Servs.</w:t>
      </w:r>
      <w:r w:rsidRPr="00FF1B50">
        <w:t>, 31 F.4th 946, 951 (5th Cir. 2022).</w:t>
      </w:r>
    </w:p>
  </w:footnote>
  <w:footnote w:id="40">
    <w:p w14:paraId="10504FF2" w14:textId="77777777" w:rsidR="00092031" w:rsidRPr="00FF1B50" w:rsidRDefault="00092031" w:rsidP="00092031">
      <w:pPr>
        <w:pStyle w:val="FootnoteText"/>
      </w:pPr>
      <w:r w:rsidRPr="00FF1B50">
        <w:rPr>
          <w:rStyle w:val="FootnoteReference"/>
          <w:rFonts w:cs="Times New Roman"/>
        </w:rPr>
        <w:footnoteRef/>
      </w:r>
      <w:r w:rsidRPr="00FF1B50">
        <w:t xml:space="preserve"> Act of Sept. 24, 1789, 1 Stat. 73, c. 20 §§ 21-22.</w:t>
      </w:r>
    </w:p>
  </w:footnote>
  <w:footnote w:id="41">
    <w:p w14:paraId="7417B9B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Federal Practice &amp; Procedure</w:t>
      </w:r>
      <w:r w:rsidRPr="00FF1B50">
        <w:t xml:space="preserve">, § 3906 History, 15A Fed. </w:t>
      </w:r>
      <w:r w:rsidRPr="00FF1B50">
        <w:rPr>
          <w:lang w:val="pl-PL"/>
        </w:rPr>
        <w:t xml:space="preserve">Prac. &amp; Proc. </w:t>
      </w:r>
      <w:proofErr w:type="spellStart"/>
      <w:r w:rsidRPr="00FF1B50">
        <w:rPr>
          <w:lang w:val="pl-PL"/>
        </w:rPr>
        <w:t>Juris</w:t>
      </w:r>
      <w:proofErr w:type="spellEnd"/>
      <w:r w:rsidRPr="00FF1B50">
        <w:rPr>
          <w:lang w:val="pl-PL"/>
        </w:rPr>
        <w:t xml:space="preserve">. § 3906 (3d ed. </w:t>
      </w:r>
      <w:r w:rsidRPr="00FF1B50">
        <w:t xml:space="preserve">June 2024 Update) (citing </w:t>
      </w:r>
      <w:r w:rsidRPr="00FF1B50">
        <w:rPr>
          <w:i/>
          <w:iCs/>
        </w:rPr>
        <w:t>Metcalfe’s Case</w:t>
      </w:r>
      <w:r w:rsidRPr="00FF1B50">
        <w:t xml:space="preserve">, 11 Co. Rep. 38a, 77 Eng. Rep. 1193 (K.B. 1615) and intervening American cases). </w:t>
      </w:r>
    </w:p>
  </w:footnote>
  <w:footnote w:id="42">
    <w:p w14:paraId="4D3DD57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Catlin v. United States</w:t>
      </w:r>
      <w:r w:rsidRPr="00FF1B50">
        <w:t xml:space="preserve">, 324 U.S. 229, 233 (1945). </w:t>
      </w:r>
    </w:p>
  </w:footnote>
  <w:footnote w:id="43">
    <w:p w14:paraId="5833F50D" w14:textId="77777777" w:rsidR="00092031" w:rsidRPr="00FF1B50" w:rsidRDefault="00092031" w:rsidP="00092031">
      <w:pPr>
        <w:pStyle w:val="FootnoteText"/>
        <w:rPr>
          <w:lang w:val="pl-PL"/>
        </w:rPr>
      </w:pPr>
      <w:r w:rsidRPr="00FF1B50">
        <w:rPr>
          <w:rStyle w:val="FootnoteReference"/>
          <w:rFonts w:cs="Times New Roman"/>
        </w:rPr>
        <w:footnoteRef/>
      </w:r>
      <w:r w:rsidRPr="00FF1B50">
        <w:rPr>
          <w:lang w:val="pl-PL"/>
        </w:rPr>
        <w:t xml:space="preserve"> 28 U.S.C. §§ 1291-1292, 62 Stat. 929 (1948).</w:t>
      </w:r>
    </w:p>
  </w:footnote>
  <w:footnote w:id="44">
    <w:p w14:paraId="5C4CC8FD" w14:textId="77777777" w:rsidR="00092031" w:rsidRPr="00FF1B50" w:rsidRDefault="00092031" w:rsidP="00092031">
      <w:pPr>
        <w:pStyle w:val="FootnoteText"/>
      </w:pPr>
      <w:r w:rsidRPr="00FF1B50">
        <w:rPr>
          <w:rStyle w:val="FootnoteReference"/>
          <w:rFonts w:cs="Times New Roman"/>
        </w:rPr>
        <w:footnoteRef/>
      </w:r>
      <w:r w:rsidRPr="00FF1B50">
        <w:rPr>
          <w:lang w:val="pl-PL"/>
        </w:rPr>
        <w:t xml:space="preserve"> </w:t>
      </w:r>
      <w:r w:rsidRPr="00FF1B50">
        <w:rPr>
          <w:i/>
          <w:iCs/>
          <w:lang w:val="pl-PL"/>
        </w:rPr>
        <w:t xml:space="preserve">Bachowski v. </w:t>
      </w:r>
      <w:proofErr w:type="spellStart"/>
      <w:r w:rsidRPr="00FF1B50">
        <w:rPr>
          <w:i/>
          <w:iCs/>
          <w:lang w:val="pl-PL"/>
        </w:rPr>
        <w:t>Usery</w:t>
      </w:r>
      <w:proofErr w:type="spellEnd"/>
      <w:r w:rsidRPr="00FF1B50">
        <w:rPr>
          <w:lang w:val="pl-PL"/>
        </w:rPr>
        <w:t xml:space="preserve">, 545 F.2d 363, 367 (3d Cir. 1976). </w:t>
      </w:r>
      <w:r w:rsidRPr="00FF1B50">
        <w:t xml:space="preserve">These “instances” included grants or denials of preliminary injunctions, orders in receivership cases, and orders determining liability in admiralty cases prior to the assessment of damages. </w:t>
      </w:r>
      <w:r w:rsidRPr="00103F60">
        <w:rPr>
          <w:i/>
          <w:iCs/>
        </w:rPr>
        <w:t>Katz v. Carte Blanche Corp.</w:t>
      </w:r>
      <w:r w:rsidRPr="00103F60">
        <w:t xml:space="preserve">, 496 F.2d 747, 753 (3d Cir. 1974). </w:t>
      </w:r>
      <w:r w:rsidRPr="00FF1B50">
        <w:t xml:space="preserve">These interlocutory orders still make up </w:t>
      </w:r>
      <w:r>
        <w:t>the</w:t>
      </w:r>
      <w:r w:rsidRPr="00FF1B50">
        <w:t xml:space="preserve"> orders appealable </w:t>
      </w:r>
      <w:r>
        <w:t>under</w:t>
      </w:r>
      <w:r w:rsidRPr="00FF1B50">
        <w:t xml:space="preserve"> section 1292(a). </w:t>
      </w:r>
      <w:r w:rsidRPr="00FF1B50">
        <w:rPr>
          <w:i/>
          <w:iCs/>
        </w:rPr>
        <w:t>See</w:t>
      </w:r>
      <w:r w:rsidRPr="00FF1B50">
        <w:t xml:space="preserve"> 28 U.S.C. § 1292(a).</w:t>
      </w:r>
    </w:p>
  </w:footnote>
  <w:footnote w:id="45">
    <w:p w14:paraId="08C786E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Bachowski</w:t>
      </w:r>
      <w:r w:rsidRPr="00FF1B50">
        <w:t xml:space="preserve">, 545 F.2d at 367. </w:t>
      </w:r>
    </w:p>
  </w:footnote>
  <w:footnote w:id="46">
    <w:p w14:paraId="698E079B" w14:textId="77777777" w:rsidR="00092031" w:rsidRPr="00FF1B50" w:rsidRDefault="00092031" w:rsidP="00092031">
      <w:pPr>
        <w:pStyle w:val="FootnoteText"/>
      </w:pPr>
      <w:r w:rsidRPr="00FF1B50">
        <w:rPr>
          <w:rStyle w:val="FootnoteReference"/>
          <w:rFonts w:cs="Times New Roman"/>
        </w:rPr>
        <w:footnoteRef/>
      </w:r>
      <w:r w:rsidRPr="00FF1B50">
        <w:t xml:space="preserve"> Congress enacted 28 U.S.C. §§ 1291 and 1292 in 1948, only two years after enacting the APA. </w:t>
      </w:r>
      <w:r w:rsidRPr="00FF1B50">
        <w:rPr>
          <w:i/>
          <w:iCs/>
        </w:rPr>
        <w:t>See</w:t>
      </w:r>
      <w:r w:rsidRPr="00FF1B50">
        <w:t xml:space="preserve"> P. Law 79-404, 60 Stat. 237 (1946).</w:t>
      </w:r>
    </w:p>
  </w:footnote>
  <w:footnote w:id="47">
    <w:p w14:paraId="08C6A30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Cobbledick v. United States</w:t>
      </w:r>
      <w:r w:rsidRPr="00FF1B50">
        <w:t xml:space="preserve">, 309 U.S. 323, 326 (1940); </w:t>
      </w:r>
      <w:r w:rsidRPr="00FF1B50">
        <w:rPr>
          <w:i/>
          <w:iCs/>
        </w:rPr>
        <w:t>see also</w:t>
      </w:r>
      <w:r w:rsidRPr="00FF1B50">
        <w:t xml:space="preserve"> § 3907 Purposes, 15A Fed. </w:t>
      </w:r>
      <w:proofErr w:type="spellStart"/>
      <w:r w:rsidRPr="00FF1B50">
        <w:t>Prac</w:t>
      </w:r>
      <w:proofErr w:type="spellEnd"/>
      <w:r w:rsidRPr="00FF1B50">
        <w:t>. &amp; Proc. Juris. § 3907 (3d ed.) (describing the final-judgment rule as “the heart of appellate jurisdiction in the federal system”).</w:t>
      </w:r>
    </w:p>
  </w:footnote>
  <w:footnote w:id="48">
    <w:p w14:paraId="4769BFC0" w14:textId="2A1B252F"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Microsoft Corp. v. Baker</w:t>
      </w:r>
      <w:r w:rsidRPr="00FF1B50">
        <w:t xml:space="preserve">, 582 U.S. 23, 27-29 (2017); </w:t>
      </w:r>
      <w:r w:rsidRPr="00FF1B50">
        <w:rPr>
          <w:i/>
          <w:iCs/>
        </w:rPr>
        <w:t>Mohawk Indus., Inc. v. Carpenter</w:t>
      </w:r>
      <w:r w:rsidRPr="00FF1B50">
        <w:t xml:space="preserve">, 558 U.S. 100, 106-07 (2009); </w:t>
      </w:r>
      <w:r w:rsidRPr="00FF1B50">
        <w:rPr>
          <w:i/>
          <w:iCs/>
        </w:rPr>
        <w:t>Johnson v. Jones</w:t>
      </w:r>
      <w:r w:rsidRPr="00FF1B50">
        <w:t xml:space="preserve">, 515 U.S. 304, 309 (1995); </w:t>
      </w:r>
      <w:r w:rsidRPr="00FF1B50">
        <w:rPr>
          <w:i/>
          <w:iCs/>
        </w:rPr>
        <w:t>Digital Equip. Corp.</w:t>
      </w:r>
      <w:r w:rsidRPr="00FF1B50">
        <w:t xml:space="preserve">, 511 U.S. at 867-84; </w:t>
      </w:r>
      <w:r w:rsidRPr="00FF1B50">
        <w:rPr>
          <w:i/>
          <w:iCs/>
        </w:rPr>
        <w:t>Di Bella v. United States</w:t>
      </w:r>
      <w:r w:rsidRPr="00FF1B50">
        <w:t xml:space="preserve">, 369 U.S. 121, 124-26 (1962); </w:t>
      </w:r>
      <w:r w:rsidRPr="00FF1B50">
        <w:rPr>
          <w:i/>
          <w:iCs/>
        </w:rPr>
        <w:t>Cobbledick</w:t>
      </w:r>
      <w:r w:rsidRPr="00FF1B50">
        <w:t xml:space="preserve">, 309 U.S. at 325; </w:t>
      </w:r>
      <w:r w:rsidRPr="00FF1B50">
        <w:rPr>
          <w:i/>
          <w:iCs/>
        </w:rPr>
        <w:t>Federal Practice &amp; Procedure</w:t>
      </w:r>
      <w:r w:rsidRPr="00FF1B50">
        <w:t xml:space="preserve">, § 3907 Purposes, 15A Fed. </w:t>
      </w:r>
      <w:proofErr w:type="spellStart"/>
      <w:r w:rsidRPr="00FF1B50">
        <w:t>Prac</w:t>
      </w:r>
      <w:proofErr w:type="spellEnd"/>
      <w:r w:rsidRPr="00FF1B50">
        <w:t xml:space="preserve">. &amp; Proc. Juris. § 3907 (3d ed. June 2024 Update); Bryan Lammon, Disarming the Finality Trap, 97 NYU L. Rev. Online 173, 178 (2022); Theodore D. Frank, </w:t>
      </w:r>
      <w:r w:rsidRPr="00FF1B50">
        <w:rPr>
          <w:i/>
          <w:iCs/>
        </w:rPr>
        <w:t>Requiem for the Final Judgment Rule</w:t>
      </w:r>
      <w:r w:rsidRPr="00FF1B50">
        <w:t xml:space="preserve">, 45 Tex. L. Rev. 292, 294-98 (1966); </w:t>
      </w:r>
      <w:r w:rsidRPr="00FF1B50">
        <w:rPr>
          <w:i/>
          <w:iCs/>
        </w:rPr>
        <w:t>see also infra</w:t>
      </w:r>
      <w:r w:rsidRPr="00FF1B50">
        <w:t xml:space="preserve"> </w:t>
      </w:r>
      <w:r>
        <w:t xml:space="preserve">notes </w:t>
      </w:r>
      <w:r>
        <w:fldChar w:fldCharType="begin"/>
      </w:r>
      <w:r>
        <w:instrText xml:space="preserve"> NOTEREF _Ref211359351 \h  \* MERGEFORMAT </w:instrText>
      </w:r>
      <w:r>
        <w:fldChar w:fldCharType="separate"/>
      </w:r>
      <w:r>
        <w:t>53</w:t>
      </w:r>
      <w:r>
        <w:fldChar w:fldCharType="end"/>
      </w:r>
      <w:r>
        <w:t>-</w:t>
      </w:r>
      <w:r>
        <w:fldChar w:fldCharType="begin"/>
      </w:r>
      <w:r>
        <w:instrText xml:space="preserve"> NOTEREF _Ref211358922 \h  \* MERGEFORMAT </w:instrText>
      </w:r>
      <w:r>
        <w:fldChar w:fldCharType="separate"/>
      </w:r>
      <w:r>
        <w:t>97</w:t>
      </w:r>
      <w:r>
        <w:fldChar w:fldCharType="end"/>
      </w:r>
      <w:r>
        <w:t xml:space="preserve"> and accompanying text </w:t>
      </w:r>
      <w:r w:rsidRPr="00FF1B50">
        <w:t>(discussing these and other Supreme Court finality cases, many of which examine the final-judgment rule’s rationales and benefits).</w:t>
      </w:r>
    </w:p>
  </w:footnote>
  <w:footnote w:id="49">
    <w:p w14:paraId="3EEE1206" w14:textId="77777777" w:rsidR="00092031" w:rsidRPr="00FF1B50" w:rsidRDefault="00092031" w:rsidP="00092031">
      <w:pPr>
        <w:pStyle w:val="FootnoteText"/>
      </w:pPr>
      <w:r w:rsidRPr="00FF1B50">
        <w:rPr>
          <w:rStyle w:val="FootnoteReference"/>
          <w:rFonts w:cs="Times New Roman"/>
        </w:rPr>
        <w:footnoteRef/>
      </w:r>
      <w:r w:rsidRPr="00FF1B50">
        <w:t xml:space="preserve"> 15A Fed. </w:t>
      </w:r>
      <w:proofErr w:type="spellStart"/>
      <w:r w:rsidRPr="00FF1B50">
        <w:t>Prac</w:t>
      </w:r>
      <w:proofErr w:type="spellEnd"/>
      <w:r w:rsidRPr="00FF1B50">
        <w:t>. &amp; Proc. Juris. § 3907.</w:t>
      </w:r>
    </w:p>
  </w:footnote>
  <w:footnote w:id="50">
    <w:p w14:paraId="4E3651E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Mohawk Indus., Inc.</w:t>
      </w:r>
      <w:r w:rsidRPr="00FF1B50">
        <w:t xml:space="preserve">, 558 U.S. at 106-07 (quoting </w:t>
      </w:r>
      <w:r w:rsidRPr="00FF1B50">
        <w:rPr>
          <w:i/>
          <w:iCs/>
        </w:rPr>
        <w:t xml:space="preserve">Firestone Tire &amp; Rubber Co. v. </w:t>
      </w:r>
      <w:proofErr w:type="spellStart"/>
      <w:r w:rsidRPr="00FF1B50">
        <w:rPr>
          <w:i/>
          <w:iCs/>
        </w:rPr>
        <w:t>Risjord</w:t>
      </w:r>
      <w:proofErr w:type="spellEnd"/>
      <w:r w:rsidRPr="00FF1B50">
        <w:t xml:space="preserve">, 449 U.S. 368, 374 (1981) and citing </w:t>
      </w:r>
      <w:r w:rsidRPr="00FF1B50">
        <w:rPr>
          <w:i/>
          <w:iCs/>
        </w:rPr>
        <w:t>Richardson-Merrell Inc. v. Koller</w:t>
      </w:r>
      <w:r w:rsidRPr="00FF1B50">
        <w:t>, 472 U.S. 424, 436 (1985)).</w:t>
      </w:r>
    </w:p>
  </w:footnote>
  <w:footnote w:id="51">
    <w:p w14:paraId="14F045E9" w14:textId="77777777" w:rsidR="00092031" w:rsidRPr="00FF1B50" w:rsidRDefault="00092031" w:rsidP="00092031">
      <w:pPr>
        <w:pStyle w:val="FootnoteText"/>
      </w:pPr>
      <w:r w:rsidRPr="00FF1B50">
        <w:rPr>
          <w:rStyle w:val="FootnoteReference"/>
          <w:rFonts w:cs="Times New Roman"/>
        </w:rPr>
        <w:footnoteRef/>
      </w:r>
      <w:r w:rsidRPr="00FF1B50">
        <w:t xml:space="preserve"> Rebecca A. Cochran, </w:t>
      </w:r>
      <w:r w:rsidRPr="00FF1B50">
        <w:rPr>
          <w:i/>
          <w:iCs/>
        </w:rPr>
        <w:t>Gaining Appellate Review by “Manufacturing” A Final Judgment Through Voluntary Dismissal of Peripheral Claims</w:t>
      </w:r>
      <w:r w:rsidRPr="00FF1B50">
        <w:t>, 48 Mercer L. Rev. 979, 979-80 (1997). Part I.C</w:t>
      </w:r>
      <w:r>
        <w:t>,</w:t>
      </w:r>
      <w:r w:rsidRPr="00FF1B50">
        <w:t xml:space="preserve"> </w:t>
      </w:r>
      <w:r w:rsidRPr="00FF1B50">
        <w:rPr>
          <w:i/>
          <w:iCs/>
        </w:rPr>
        <w:t>infra</w:t>
      </w:r>
      <w:r>
        <w:t>,</w:t>
      </w:r>
      <w:r w:rsidRPr="00FF1B50">
        <w:t xml:space="preserve"> explores this narrowing in more detail.</w:t>
      </w:r>
    </w:p>
  </w:footnote>
  <w:footnote w:id="52">
    <w:p w14:paraId="60B6CA51" w14:textId="6E6E50D1" w:rsidR="00092031" w:rsidRPr="00FF1B50" w:rsidRDefault="00092031" w:rsidP="00092031">
      <w:pPr>
        <w:pStyle w:val="FootnoteText"/>
      </w:pPr>
      <w:r w:rsidRPr="00FF1B50">
        <w:rPr>
          <w:rStyle w:val="FootnoteReference"/>
          <w:rFonts w:cs="Times New Roman"/>
        </w:rPr>
        <w:footnoteRef/>
      </w:r>
      <w:r w:rsidRPr="00FF1B50">
        <w:t xml:space="preserve"> Lammon, </w:t>
      </w:r>
      <w:r w:rsidRPr="00FF1B50">
        <w:rPr>
          <w:i/>
          <w:iCs/>
        </w:rPr>
        <w:t>supra</w:t>
      </w:r>
      <w:r w:rsidRPr="00FF1B50">
        <w:t xml:space="preserve"> note </w:t>
      </w:r>
      <w:r>
        <w:rPr>
          <w:highlight w:val="cyan"/>
        </w:rPr>
        <w:fldChar w:fldCharType="begin"/>
      </w:r>
      <w:r>
        <w:instrText xml:space="preserve"> NOTEREF _Ref211359331 \h </w:instrText>
      </w:r>
      <w:r>
        <w:rPr>
          <w:highlight w:val="cyan"/>
        </w:rPr>
        <w:instrText xml:space="preserve"> \* MERGEFORMAT </w:instrText>
      </w:r>
      <w:r>
        <w:rPr>
          <w:highlight w:val="cyan"/>
        </w:rPr>
      </w:r>
      <w:r>
        <w:rPr>
          <w:highlight w:val="cyan"/>
        </w:rPr>
        <w:fldChar w:fldCharType="separate"/>
      </w:r>
      <w:r>
        <w:t>13</w:t>
      </w:r>
      <w:r>
        <w:rPr>
          <w:highlight w:val="cyan"/>
        </w:rPr>
        <w:fldChar w:fldCharType="end"/>
      </w:r>
      <w:r w:rsidRPr="00FF1B50">
        <w:t xml:space="preserve">, </w:t>
      </w:r>
      <w:r w:rsidRPr="00FF1B50">
        <w:rPr>
          <w:rFonts w:eastAsia="Quattrocento"/>
        </w:rPr>
        <w:t xml:space="preserve">93 </w:t>
      </w:r>
      <w:r w:rsidRPr="00960DF4">
        <w:rPr>
          <w:rFonts w:eastAsia="Quattrocento"/>
          <w:smallCaps/>
        </w:rPr>
        <w:t>Wash. L. Rev.</w:t>
      </w:r>
      <w:r w:rsidRPr="00FF1B50">
        <w:rPr>
          <w:rFonts w:eastAsia="Quattrocento"/>
        </w:rPr>
        <w:t xml:space="preserve"> </w:t>
      </w:r>
      <w:r w:rsidRPr="00FF1B50">
        <w:t xml:space="preserve">at 1837; </w:t>
      </w:r>
      <w:r w:rsidRPr="00FF1B50">
        <w:rPr>
          <w:i/>
          <w:iCs/>
        </w:rPr>
        <w:t>see also</w:t>
      </w:r>
      <w:r w:rsidRPr="00FF1B50">
        <w:t xml:space="preserve"> Richard L. Heppner, Jr., </w:t>
      </w:r>
      <w:r w:rsidRPr="00FF1B50">
        <w:rPr>
          <w:i/>
          <w:iCs/>
        </w:rPr>
        <w:t>Conceptualizing Appealability: Resisting the Supreme Court’s Categorical Imperative</w:t>
      </w:r>
      <w:r w:rsidRPr="00FF1B50">
        <w:t xml:space="preserve">, 55 </w:t>
      </w:r>
      <w:r w:rsidRPr="00960DF4">
        <w:rPr>
          <w:smallCaps/>
        </w:rPr>
        <w:t>Tulsa L. Rev.</w:t>
      </w:r>
      <w:r w:rsidRPr="00FF1B50">
        <w:t xml:space="preserve"> 395, 398 (2020) (discussing judges’ ability to be “endlessly creative in how they conceive of different categories of orders” when considering finality).</w:t>
      </w:r>
    </w:p>
  </w:footnote>
  <w:footnote w:id="53">
    <w:p w14:paraId="5F7C7AF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Part I.C. </w:t>
      </w:r>
    </w:p>
  </w:footnote>
  <w:footnote w:id="54">
    <w:p w14:paraId="45871586" w14:textId="77777777" w:rsidR="00092031" w:rsidRPr="00FF1B50" w:rsidRDefault="00092031" w:rsidP="00092031">
      <w:pPr>
        <w:pStyle w:val="FootnoteText"/>
      </w:pPr>
      <w:r w:rsidRPr="00FF1B50">
        <w:rPr>
          <w:rStyle w:val="FootnoteReference"/>
          <w:rFonts w:cs="Times New Roman"/>
        </w:rPr>
        <w:footnoteRef/>
      </w:r>
      <w:r w:rsidRPr="00FF1B50">
        <w:t xml:space="preserve"> This Part is best read alongside </w:t>
      </w:r>
      <w:r w:rsidRPr="00FF1B50">
        <w:rPr>
          <w:i/>
          <w:iCs/>
        </w:rPr>
        <w:t>Federal Practice &amp; Procedure</w:t>
      </w:r>
      <w:r w:rsidRPr="00FF1B50">
        <w:t xml:space="preserve">, § 3909 Leading Finality Decisions, 15A Fed. </w:t>
      </w:r>
      <w:proofErr w:type="spellStart"/>
      <w:r w:rsidRPr="00FF1B50">
        <w:t>Prac</w:t>
      </w:r>
      <w:proofErr w:type="spellEnd"/>
      <w:r w:rsidRPr="00FF1B50">
        <w:t>. &amp; Proc. Juris. § 3909 (3d ed. June 2024 Update).</w:t>
      </w:r>
    </w:p>
  </w:footnote>
  <w:footnote w:id="55">
    <w:p w14:paraId="6A5198CF" w14:textId="77777777" w:rsidR="00092031" w:rsidRPr="00FF1B50" w:rsidRDefault="00092031" w:rsidP="00092031">
      <w:pPr>
        <w:pStyle w:val="FootnoteText"/>
      </w:pPr>
      <w:r w:rsidRPr="00FF1B50">
        <w:rPr>
          <w:rStyle w:val="FootnoteReference"/>
          <w:rFonts w:cs="Times New Roman"/>
        </w:rPr>
        <w:footnoteRef/>
      </w:r>
      <w:r w:rsidRPr="00FF1B50">
        <w:t xml:space="preserve"> 309 U.S. 323.</w:t>
      </w:r>
    </w:p>
  </w:footnote>
  <w:footnote w:id="56">
    <w:p w14:paraId="576022F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324. </w:t>
      </w:r>
      <w:r w:rsidRPr="00FF1B50">
        <w:rPr>
          <w:i/>
          <w:iCs/>
        </w:rPr>
        <w:t>Cobbledick</w:t>
      </w:r>
      <w:r w:rsidRPr="00FF1B50">
        <w:t xml:space="preserve"> construed 28 U.S.C. § 225, the predecessor to section 1291, which also limited review by the circuit courts to “final decisions” of the district courts. </w:t>
      </w:r>
      <w:r w:rsidRPr="00FF1B50">
        <w:rPr>
          <w:i/>
          <w:iCs/>
        </w:rPr>
        <w:t>Id</w:t>
      </w:r>
      <w:r w:rsidRPr="00FF1B50">
        <w:t>.</w:t>
      </w:r>
    </w:p>
  </w:footnote>
  <w:footnote w:id="57">
    <w:p w14:paraId="1E29B7B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325. This characteristic, often referred to as </w:t>
      </w:r>
      <w:r w:rsidRPr="00FF1B50">
        <w:rPr>
          <w:i/>
          <w:iCs/>
        </w:rPr>
        <w:t>nisi prius</w:t>
      </w:r>
      <w:r w:rsidRPr="00FF1B50">
        <w:t xml:space="preserve"> (“unless before”), had long existed in English common law, and the First Congress made it part of the First Judiciary Act, §§ 21-22, 25, 1 Stat. 73, 83-85 (1789). </w:t>
      </w:r>
      <w:r w:rsidRPr="00FF1B50">
        <w:rPr>
          <w:i/>
          <w:iCs/>
        </w:rPr>
        <w:t>See Di Bella</w:t>
      </w:r>
      <w:r w:rsidRPr="00FF1B50">
        <w:t>, 369 U.S. at 124.</w:t>
      </w:r>
    </w:p>
  </w:footnote>
  <w:footnote w:id="58">
    <w:p w14:paraId="417ACA5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Cobbledick</w:t>
      </w:r>
      <w:r w:rsidRPr="00FF1B50">
        <w:t>, 309 U.S. at 325.</w:t>
      </w:r>
    </w:p>
  </w:footnote>
  <w:footnote w:id="59">
    <w:p w14:paraId="1EB14F0A"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324 U.S. 229.</w:t>
      </w:r>
    </w:p>
  </w:footnote>
  <w:footnote w:id="60">
    <w:p w14:paraId="1331E789"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xml:space="preserve">. at 230-32. </w:t>
      </w:r>
    </w:p>
  </w:footnote>
  <w:footnote w:id="61">
    <w:p w14:paraId="7C8C2F62"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233.</w:t>
      </w:r>
    </w:p>
  </w:footnote>
  <w:footnote w:id="62">
    <w:p w14:paraId="2902C0C8"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233-34.</w:t>
      </w:r>
    </w:p>
  </w:footnote>
  <w:footnote w:id="63">
    <w:p w14:paraId="69AA8DF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233.</w:t>
      </w:r>
    </w:p>
  </w:footnote>
  <w:footnote w:id="64">
    <w:p w14:paraId="4F166B91" w14:textId="77777777" w:rsidR="00092031" w:rsidRPr="00FF1B50" w:rsidRDefault="00092031" w:rsidP="00092031">
      <w:pPr>
        <w:pStyle w:val="FootnoteText"/>
      </w:pPr>
      <w:r w:rsidRPr="00FF1B50">
        <w:rPr>
          <w:rStyle w:val="FootnoteReference"/>
          <w:rFonts w:cs="Times New Roman"/>
        </w:rPr>
        <w:footnoteRef/>
      </w:r>
      <w:r w:rsidRPr="00FF1B50">
        <w:t xml:space="preserve"> 337 U.S. 541 (1949). </w:t>
      </w:r>
    </w:p>
  </w:footnote>
  <w:footnote w:id="65">
    <w:p w14:paraId="2A298427" w14:textId="77777777" w:rsidR="00092031" w:rsidRPr="00FF1B50" w:rsidRDefault="00092031" w:rsidP="00092031">
      <w:pPr>
        <w:pStyle w:val="FootnoteText"/>
      </w:pPr>
      <w:r w:rsidRPr="00FF1B50">
        <w:rPr>
          <w:rStyle w:val="FootnoteReference"/>
          <w:rFonts w:cs="Times New Roman"/>
        </w:rPr>
        <w:footnoteRef/>
      </w:r>
      <w:r w:rsidRPr="00FF1B50">
        <w:t xml:space="preserve"> For a broader discussion of these statutes and appellate jurisdiction, </w:t>
      </w:r>
      <w:r w:rsidRPr="00FF1B50">
        <w:rPr>
          <w:i/>
          <w:iCs/>
        </w:rPr>
        <w:t>see</w:t>
      </w:r>
      <w:r w:rsidRPr="00FF1B50">
        <w:t xml:space="preserve"> Thomas E. Baker, Fed. Judicial Ctr., </w:t>
      </w:r>
      <w:r w:rsidRPr="00FF1B50">
        <w:rPr>
          <w:i/>
          <w:iCs/>
        </w:rPr>
        <w:t>A Primer on the Jurisdiction of the U.S. Courts of Appeals</w:t>
      </w:r>
      <w:r w:rsidRPr="00FF1B50">
        <w:t xml:space="preserve">, 85-90 (2d ed. 2009), </w:t>
      </w:r>
      <w:hyperlink r:id="rId2" w:history="1">
        <w:r w:rsidRPr="00FF1B50">
          <w:rPr>
            <w:rStyle w:val="Hyperlink"/>
            <w:rFonts w:cs="Times New Roman"/>
          </w:rPr>
          <w:t>https://www.fjc.gov/sites/default/files/materials/06/PrimerBakerFinal0802.pdf</w:t>
        </w:r>
      </w:hyperlink>
      <w:r w:rsidRPr="00FF1B50">
        <w:t xml:space="preserve">. And for more on these and other key finality decisions, </w:t>
      </w:r>
      <w:r w:rsidRPr="00FF1B50">
        <w:rPr>
          <w:i/>
          <w:iCs/>
        </w:rPr>
        <w:t>see</w:t>
      </w:r>
      <w:r w:rsidRPr="00FF1B50">
        <w:t xml:space="preserve"> 15A Fed. </w:t>
      </w:r>
      <w:proofErr w:type="spellStart"/>
      <w:r w:rsidRPr="00FF1B50">
        <w:t>Prac</w:t>
      </w:r>
      <w:proofErr w:type="spellEnd"/>
      <w:r w:rsidRPr="00FF1B50">
        <w:t>. &amp; Proc. Juris. § 3909.</w:t>
      </w:r>
    </w:p>
  </w:footnote>
  <w:footnote w:id="66">
    <w:p w14:paraId="15BF83E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Cohen</w:t>
      </w:r>
      <w:r w:rsidRPr="00FF1B50">
        <w:t>, 337 U.S. at 545.</w:t>
      </w:r>
    </w:p>
  </w:footnote>
  <w:footnote w:id="67">
    <w:p w14:paraId="6F34873D" w14:textId="191F4C7A"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w:t>
      </w:r>
      <w:r w:rsidRPr="00FF1B50">
        <w:t xml:space="preserve">Lammon, </w:t>
      </w:r>
      <w:r w:rsidRPr="00FF1B50">
        <w:rPr>
          <w:i/>
          <w:iCs/>
        </w:rPr>
        <w:t>supra</w:t>
      </w:r>
      <w:r w:rsidRPr="00FF1B50">
        <w:t xml:space="preserve"> note </w:t>
      </w:r>
      <w:r>
        <w:rPr>
          <w:highlight w:val="cyan"/>
        </w:rPr>
        <w:fldChar w:fldCharType="begin"/>
      </w:r>
      <w:r>
        <w:instrText xml:space="preserve"> NOTEREF _Ref211359331 \h </w:instrText>
      </w:r>
      <w:r>
        <w:rPr>
          <w:highlight w:val="cyan"/>
        </w:rPr>
        <w:instrText xml:space="preserve"> \* MERGEFORMAT </w:instrText>
      </w:r>
      <w:r>
        <w:rPr>
          <w:highlight w:val="cyan"/>
        </w:rPr>
      </w:r>
      <w:r>
        <w:rPr>
          <w:highlight w:val="cyan"/>
        </w:rPr>
        <w:fldChar w:fldCharType="separate"/>
      </w:r>
      <w:r>
        <w:t>13</w:t>
      </w:r>
      <w:r>
        <w:rPr>
          <w:highlight w:val="cyan"/>
        </w:rPr>
        <w:fldChar w:fldCharType="end"/>
      </w:r>
      <w:r w:rsidRPr="00FF1B50">
        <w:t xml:space="preserve">, </w:t>
      </w:r>
      <w:r w:rsidRPr="00FF1B50">
        <w:rPr>
          <w:rFonts w:eastAsia="Quattrocento"/>
        </w:rPr>
        <w:t xml:space="preserve">93 </w:t>
      </w:r>
      <w:r w:rsidRPr="00F6080E">
        <w:rPr>
          <w:rFonts w:eastAsia="Quattrocento"/>
          <w:smallCaps/>
        </w:rPr>
        <w:t>Wash. L. Rev.</w:t>
      </w:r>
      <w:r w:rsidRPr="00FF1B50">
        <w:rPr>
          <w:rFonts w:eastAsia="Quattrocento"/>
        </w:rPr>
        <w:t xml:space="preserve"> </w:t>
      </w:r>
      <w:r w:rsidRPr="00FF1B50">
        <w:t>at 1814-15 (discussing section 1292 and other “alternative grounds for appellate jurisdiction”).</w:t>
      </w:r>
    </w:p>
  </w:footnote>
  <w:footnote w:id="68">
    <w:p w14:paraId="4D352A3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Cohen</w:t>
      </w:r>
      <w:r w:rsidRPr="00FF1B50">
        <w:t xml:space="preserve">, 337 U.S. at 546-47. The collateral-order doctrine </w:t>
      </w:r>
      <w:r>
        <w:t>gets more air time</w:t>
      </w:r>
      <w:r w:rsidRPr="00FF1B50">
        <w:t xml:space="preserve"> </w:t>
      </w:r>
      <w:r>
        <w:t>below</w:t>
      </w:r>
      <w:r w:rsidRPr="00FF1B50">
        <w:t xml:space="preserve">, but for now: “This decision appears to fall in that small class which finally determine claims of right separable from, and collateral to rights asserted in the action, too important to be denied review and too independent of the cause itself to require that appellate consideration be deferred until the whole case is adjudicated.” </w:t>
      </w:r>
      <w:r w:rsidRPr="00FF1B50">
        <w:rPr>
          <w:i/>
          <w:iCs/>
        </w:rPr>
        <w:t>Id.</w:t>
      </w:r>
      <w:r w:rsidRPr="00FF1B50">
        <w:t xml:space="preserve"> at 546. Note that the collateral-order doctrine is a </w:t>
      </w:r>
      <w:r w:rsidRPr="00FF1B50">
        <w:rPr>
          <w:i/>
          <w:iCs/>
        </w:rPr>
        <w:t>judicial</w:t>
      </w:r>
      <w:r w:rsidRPr="00FF1B50">
        <w:t xml:space="preserve"> </w:t>
      </w:r>
      <w:r>
        <w:t>(prudential) construction of</w:t>
      </w:r>
      <w:r w:rsidRPr="00FF1B50">
        <w:t xml:space="preserve"> the final judgment rule </w:t>
      </w:r>
      <w:r>
        <w:t>in</w:t>
      </w:r>
      <w:r w:rsidRPr="00FF1B50">
        <w:t xml:space="preserve"> 28 U.S.C. § 1291, while 28 U.S.C. § 1292 </w:t>
      </w:r>
      <w:r>
        <w:t>is itself a set of</w:t>
      </w:r>
      <w:r w:rsidRPr="00FF1B50">
        <w:t xml:space="preserve"> </w:t>
      </w:r>
      <w:r w:rsidRPr="00FF1B50">
        <w:rPr>
          <w:i/>
          <w:iCs/>
        </w:rPr>
        <w:t>statutory</w:t>
      </w:r>
      <w:r w:rsidRPr="00FF1B50">
        <w:t xml:space="preserve"> exceptions for interlocutory appeal of certain nonfinal orders. Matthew R. Pikor, </w:t>
      </w:r>
      <w:r w:rsidRPr="00FF1B50">
        <w:rPr>
          <w:i/>
          <w:iCs/>
        </w:rPr>
        <w:t>The Collateral Order Doctrine in Disorder: Redefining Finality</w:t>
      </w:r>
      <w:r w:rsidRPr="00FF1B50">
        <w:t xml:space="preserve">, 92 </w:t>
      </w:r>
      <w:r w:rsidRPr="00FF1B50">
        <w:rPr>
          <w:smallCaps/>
        </w:rPr>
        <w:t>Chi.-Kent L. Rev.</w:t>
      </w:r>
      <w:r w:rsidRPr="00FF1B50">
        <w:t xml:space="preserve"> 619, 622 (2017).</w:t>
      </w:r>
    </w:p>
  </w:footnote>
  <w:footnote w:id="69">
    <w:p w14:paraId="0BA07D62"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Van Cauwenberghe v. Biard</w:t>
      </w:r>
      <w:r w:rsidRPr="00FF1B50">
        <w:t xml:space="preserve">, 486 U.S. 517, 522 (1988) (internal quotation marks omitted); </w:t>
      </w:r>
      <w:r w:rsidRPr="00FF1B50">
        <w:rPr>
          <w:i/>
          <w:iCs/>
        </w:rPr>
        <w:t>accord Mohawk Indus., Inc.</w:t>
      </w:r>
      <w:r w:rsidRPr="00FF1B50">
        <w:t>, 558 U.S. at 107.</w:t>
      </w:r>
    </w:p>
  </w:footnote>
  <w:footnote w:id="70">
    <w:p w14:paraId="26F6DB71" w14:textId="190C6B63" w:rsidR="00092031" w:rsidRPr="00FF1B50" w:rsidRDefault="00092031" w:rsidP="00092031">
      <w:pPr>
        <w:pStyle w:val="FootnoteText"/>
      </w:pPr>
      <w:r w:rsidRPr="00FF1B50">
        <w:rPr>
          <w:rStyle w:val="FootnoteReference"/>
          <w:rFonts w:cs="Times New Roman"/>
        </w:rPr>
        <w:footnoteRef/>
      </w:r>
      <w:r w:rsidRPr="00FF1B50">
        <w:t xml:space="preserve"> </w:t>
      </w:r>
      <w:r w:rsidRPr="008A63CD">
        <w:rPr>
          <w:i/>
          <w:iCs/>
        </w:rPr>
        <w:t>See infra</w:t>
      </w:r>
      <w:r w:rsidRPr="00FF1B50">
        <w:t xml:space="preserve"> </w:t>
      </w:r>
      <w:r>
        <w:t xml:space="preserve">notes </w:t>
      </w:r>
      <w:r>
        <w:fldChar w:fldCharType="begin"/>
      </w:r>
      <w:r>
        <w:instrText xml:space="preserve"> NOTEREF _Ref211359415 \h  \* MERGEFORMAT </w:instrText>
      </w:r>
      <w:r>
        <w:fldChar w:fldCharType="separate"/>
      </w:r>
      <w:r>
        <w:t>98</w:t>
      </w:r>
      <w:r>
        <w:fldChar w:fldCharType="end"/>
      </w:r>
      <w:r>
        <w:t>-</w:t>
      </w:r>
      <w:r>
        <w:fldChar w:fldCharType="begin"/>
      </w:r>
      <w:r>
        <w:instrText xml:space="preserve"> NOTEREF _Ref211359114 \h  \* MERGEFORMAT </w:instrText>
      </w:r>
      <w:r>
        <w:fldChar w:fldCharType="separate"/>
      </w:r>
      <w:r>
        <w:t>194</w:t>
      </w:r>
      <w:r>
        <w:fldChar w:fldCharType="end"/>
      </w:r>
      <w:r>
        <w:t xml:space="preserve"> </w:t>
      </w:r>
      <w:r w:rsidRPr="00FF1B50">
        <w:t>and accompanying text.</w:t>
      </w:r>
    </w:p>
  </w:footnote>
  <w:footnote w:id="71">
    <w:p w14:paraId="674D326C" w14:textId="77777777" w:rsidR="00092031" w:rsidRPr="00FF1B50" w:rsidRDefault="00092031" w:rsidP="00092031">
      <w:pPr>
        <w:pStyle w:val="FootnoteText"/>
      </w:pPr>
      <w:r w:rsidRPr="00FF1B50">
        <w:rPr>
          <w:rStyle w:val="FootnoteReference"/>
          <w:rFonts w:cs="Times New Roman"/>
        </w:rPr>
        <w:footnoteRef/>
      </w:r>
      <w:r w:rsidRPr="00FF1B50">
        <w:t xml:space="preserve"> 369 U.S. 121 (1962).</w:t>
      </w:r>
    </w:p>
  </w:footnote>
  <w:footnote w:id="72">
    <w:p w14:paraId="1794582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129-31.</w:t>
      </w:r>
    </w:p>
  </w:footnote>
  <w:footnote w:id="73">
    <w:p w14:paraId="3107118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124.</w:t>
      </w:r>
    </w:p>
  </w:footnote>
  <w:footnote w:id="74">
    <w:p w14:paraId="77396DAB" w14:textId="77777777" w:rsidR="00092031" w:rsidRPr="00FF1B50" w:rsidRDefault="00092031" w:rsidP="00092031">
      <w:pPr>
        <w:pStyle w:val="FootnoteText"/>
      </w:pPr>
      <w:r w:rsidRPr="00FF1B50">
        <w:rPr>
          <w:rStyle w:val="FootnoteReference"/>
          <w:rFonts w:cs="Times New Roman"/>
        </w:rPr>
        <w:footnoteRef/>
      </w:r>
      <w:r w:rsidRPr="00FF1B50">
        <w:t xml:space="preserve"> 379 U.S. 148 (1964).</w:t>
      </w:r>
    </w:p>
  </w:footnote>
  <w:footnote w:id="75">
    <w:p w14:paraId="71312757"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152.</w:t>
      </w:r>
    </w:p>
  </w:footnote>
  <w:footnote w:id="76">
    <w:p w14:paraId="05BF15F1"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153.</w:t>
      </w:r>
    </w:p>
  </w:footnote>
  <w:footnote w:id="77">
    <w:p w14:paraId="0EB9703B"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w:t>
      </w:r>
    </w:p>
  </w:footnote>
  <w:footnote w:id="78">
    <w:p w14:paraId="7B134B5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153-54 (quoting </w:t>
      </w:r>
      <w:r w:rsidRPr="00FF1B50">
        <w:rPr>
          <w:i/>
          <w:iCs/>
        </w:rPr>
        <w:t>United States v. General Motors Corp.</w:t>
      </w:r>
      <w:r w:rsidRPr="00FF1B50">
        <w:t>, 323 U.S. 373, 377 (1945)).</w:t>
      </w:r>
    </w:p>
  </w:footnote>
  <w:footnote w:id="79">
    <w:p w14:paraId="2E3D51FF" w14:textId="77777777" w:rsidR="00092031" w:rsidRPr="00FF1B50" w:rsidRDefault="00092031" w:rsidP="00092031">
      <w:pPr>
        <w:pStyle w:val="FootnoteText"/>
      </w:pPr>
      <w:r w:rsidRPr="00FF1B50">
        <w:rPr>
          <w:rStyle w:val="FootnoteReference"/>
          <w:rFonts w:cs="Times New Roman"/>
        </w:rPr>
        <w:footnoteRef/>
      </w:r>
      <w:r w:rsidRPr="00FF1B50">
        <w:t xml:space="preserve"> 417 U.S. 156 (1974).</w:t>
      </w:r>
    </w:p>
  </w:footnote>
  <w:footnote w:id="80">
    <w:p w14:paraId="017F68F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172. Most relevant is the Court’s discussion of how difficult finality determinations are—citing </w:t>
      </w:r>
      <w:r w:rsidRPr="00FF1B50">
        <w:rPr>
          <w:i/>
          <w:iCs/>
        </w:rPr>
        <w:t>McGourkey v. Toledo &amp; Ohio C.R. Co.</w:t>
      </w:r>
      <w:r w:rsidRPr="00FF1B50">
        <w:t>, 146 U.S. 536, 544-45 (1892)—and explaining that the “inquiry requires some evaluation of the competing considerations underlying all questions of finality—‘the inconven</w:t>
      </w:r>
      <w:r w:rsidRPr="00FF1B50">
        <w:rPr>
          <w:sz w:val="19"/>
          <w:szCs w:val="19"/>
        </w:rPr>
        <w:t>i</w:t>
      </w:r>
      <w:r w:rsidRPr="00FF1B50">
        <w:t xml:space="preserve">ence and costs of piecemeal review on the one hand and the danger of denying justice by delay on the other.’” </w:t>
      </w:r>
      <w:r w:rsidRPr="00FF1B50">
        <w:rPr>
          <w:i/>
          <w:iCs/>
        </w:rPr>
        <w:t>Id</w:t>
      </w:r>
      <w:r w:rsidRPr="00FF1B50">
        <w:t xml:space="preserve">. at 171 (quoting </w:t>
      </w:r>
      <w:r w:rsidRPr="00FF1B50">
        <w:rPr>
          <w:i/>
          <w:iCs/>
        </w:rPr>
        <w:t>Dickinson v. Petroleum Conversion Corp.</w:t>
      </w:r>
      <w:r w:rsidRPr="00FF1B50">
        <w:t>, 338 U.S. 507, 513 (1950)).</w:t>
      </w:r>
    </w:p>
  </w:footnote>
  <w:footnote w:id="81">
    <w:p w14:paraId="0FE9E66E" w14:textId="77777777" w:rsidR="00092031" w:rsidRPr="00FF1B50" w:rsidRDefault="00092031" w:rsidP="00092031">
      <w:pPr>
        <w:pStyle w:val="FootnoteText"/>
      </w:pPr>
      <w:r w:rsidRPr="00FF1B50">
        <w:rPr>
          <w:rStyle w:val="FootnoteReference"/>
          <w:rFonts w:cs="Times New Roman"/>
        </w:rPr>
        <w:footnoteRef/>
      </w:r>
      <w:r w:rsidRPr="00FF1B50">
        <w:t xml:space="preserve"> As </w:t>
      </w:r>
      <w:r w:rsidRPr="00FF1B50">
        <w:rPr>
          <w:i/>
          <w:iCs/>
        </w:rPr>
        <w:t>Federal Practice &amp; Procedure</w:t>
      </w:r>
      <w:r w:rsidRPr="00FF1B50">
        <w:t xml:space="preserve"> puts it, </w:t>
      </w:r>
      <w:r w:rsidRPr="00FF1B50">
        <w:rPr>
          <w:i/>
          <w:iCs/>
        </w:rPr>
        <w:t>Gillespie</w:t>
      </w:r>
      <w:r w:rsidRPr="00FF1B50">
        <w:t xml:space="preserve"> presented “spectacular possibilities” that have devolved into a “dismal limbo.” 15A Fed. </w:t>
      </w:r>
      <w:proofErr w:type="spellStart"/>
      <w:r w:rsidRPr="00FF1B50">
        <w:t>Prac</w:t>
      </w:r>
      <w:proofErr w:type="spellEnd"/>
      <w:r w:rsidRPr="00FF1B50">
        <w:t xml:space="preserve">. &amp; Proc. Juris. § 3913. However, as we shall see, </w:t>
      </w:r>
      <w:r w:rsidRPr="00FF1B50">
        <w:rPr>
          <w:i/>
          <w:iCs/>
        </w:rPr>
        <w:t>Gillespie</w:t>
      </w:r>
      <w:r w:rsidRPr="00FF1B50">
        <w:t xml:space="preserve"> continues to animate the administrative-remand rule in at least some circuits. </w:t>
      </w:r>
      <w:r w:rsidRPr="00FF1B50">
        <w:rPr>
          <w:i/>
          <w:iCs/>
        </w:rPr>
        <w:t>See, e.g.</w:t>
      </w:r>
      <w:r w:rsidRPr="00FF1B50">
        <w:t xml:space="preserve">, </w:t>
      </w:r>
      <w:r w:rsidRPr="00FF1B50">
        <w:rPr>
          <w:i/>
          <w:iCs/>
        </w:rPr>
        <w:t>In re Long-Distance Tel. Serv. Fed. Excise Tax Refund Litig.</w:t>
      </w:r>
      <w:r w:rsidRPr="00FF1B50">
        <w:t xml:space="preserve">, 751 F.3d 629, 633 (D.C. Cir. 2014) (“The Supreme Court has endorsed this ‘practical’ approach to finality, particularly in the ‘twilight zone’ where “it is impossible to devise a formula to resolve all marginal cases.” (quoting </w:t>
      </w:r>
      <w:r w:rsidRPr="00FF1B50">
        <w:rPr>
          <w:i/>
          <w:iCs/>
        </w:rPr>
        <w:t>Gillespie</w:t>
      </w:r>
      <w:r w:rsidRPr="00FF1B50">
        <w:t>, 379 U.S. at 152)).</w:t>
      </w:r>
    </w:p>
  </w:footnote>
  <w:footnote w:id="82">
    <w:p w14:paraId="1B39CDA0" w14:textId="77777777" w:rsidR="00092031" w:rsidRPr="00FF1B50" w:rsidRDefault="00092031" w:rsidP="00092031">
      <w:pPr>
        <w:pStyle w:val="FootnoteText"/>
      </w:pPr>
      <w:r w:rsidRPr="00FF1B50">
        <w:rPr>
          <w:rStyle w:val="FootnoteReference"/>
          <w:rFonts w:cs="Times New Roman"/>
        </w:rPr>
        <w:footnoteRef/>
      </w:r>
      <w:r w:rsidRPr="00FF1B50">
        <w:t xml:space="preserve"> 437 U.S. 463 (1978). As “more or less” implies, the Court’s enforcement of the final-judgment rule has ebbed and flowed, but the general trend has been tighter appellate jurisdiction. </w:t>
      </w:r>
      <w:r w:rsidRPr="00FF1B50">
        <w:rPr>
          <w:i/>
          <w:iCs/>
        </w:rPr>
        <w:t>See, e.g.</w:t>
      </w:r>
      <w:r w:rsidRPr="00FF1B50">
        <w:t xml:space="preserve">, Adam Reed Moore, </w:t>
      </w:r>
      <w:r w:rsidRPr="00FF1B50">
        <w:rPr>
          <w:i/>
          <w:iCs/>
        </w:rPr>
        <w:t>A Textualist Defense of A New Collateral Order Doctrine</w:t>
      </w:r>
      <w:r w:rsidRPr="00FF1B50">
        <w:t xml:space="preserve">, 99 </w:t>
      </w:r>
      <w:r w:rsidRPr="00FF1B50">
        <w:rPr>
          <w:smallCaps/>
        </w:rPr>
        <w:t>Notre Dame L. Rev. Reflection</w:t>
      </w:r>
      <w:r w:rsidRPr="00FF1B50">
        <w:t xml:space="preserve"> 1, 11 (2023) (“In the last decade, the Court has grown skeptical of the collateral order doctrine.”); Lloyd C. Anderson, </w:t>
      </w:r>
      <w:r w:rsidRPr="00FF1B50">
        <w:rPr>
          <w:i/>
          <w:iCs/>
        </w:rPr>
        <w:t>The Collateral Order Doctrine: A New “</w:t>
      </w:r>
      <w:proofErr w:type="spellStart"/>
      <w:r w:rsidRPr="00FF1B50">
        <w:rPr>
          <w:i/>
          <w:iCs/>
        </w:rPr>
        <w:t>Serbonian</w:t>
      </w:r>
      <w:proofErr w:type="spellEnd"/>
      <w:r w:rsidRPr="00FF1B50">
        <w:rPr>
          <w:i/>
          <w:iCs/>
        </w:rPr>
        <w:t xml:space="preserve"> Bog” and Four Proposals for Reform</w:t>
      </w:r>
      <w:r w:rsidRPr="00FF1B50">
        <w:t xml:space="preserve">, 46 </w:t>
      </w:r>
      <w:r w:rsidRPr="00FF1B50">
        <w:rPr>
          <w:smallCaps/>
        </w:rPr>
        <w:t>Drake L. Rev.</w:t>
      </w:r>
      <w:r w:rsidRPr="00FF1B50">
        <w:t xml:space="preserve"> 539, 568 (1998), 568-85 (describing ebbs and flows and the Court’s “retrenchment” from broad collateral-order review after 1985)</w:t>
      </w:r>
      <w:r>
        <w:t>.</w:t>
      </w:r>
    </w:p>
  </w:footnote>
  <w:footnote w:id="83">
    <w:p w14:paraId="139232EE"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472-75.</w:t>
      </w:r>
    </w:p>
  </w:footnote>
  <w:footnote w:id="84">
    <w:p w14:paraId="6AB88E5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Firestone Tire &amp; Rubber Co.</w:t>
      </w:r>
      <w:r w:rsidRPr="00FF1B50">
        <w:t xml:space="preserve">, 449 U.S. at 370 (orders denying disqualification in civil cases); </w:t>
      </w:r>
      <w:r w:rsidRPr="00FF1B50">
        <w:rPr>
          <w:i/>
          <w:iCs/>
        </w:rPr>
        <w:t>Flanagan v. United States</w:t>
      </w:r>
      <w:r w:rsidRPr="00FF1B50">
        <w:t xml:space="preserve">, 465 U.S. 259, 270 (1984) (orders granting disqualification in criminal cases); </w:t>
      </w:r>
      <w:r w:rsidRPr="00FF1B50">
        <w:rPr>
          <w:i/>
          <w:iCs/>
        </w:rPr>
        <w:t>Richardson-Merrell, Inc.</w:t>
      </w:r>
      <w:r w:rsidRPr="00FF1B50">
        <w:t>, 472 U.S. at 426 (orders granting disqualification in civil cases).</w:t>
      </w:r>
    </w:p>
  </w:footnote>
  <w:footnote w:id="85">
    <w:p w14:paraId="453998C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Stringfellow v. Concerned Neighbors in Action</w:t>
      </w:r>
      <w:r w:rsidRPr="00FF1B50">
        <w:t xml:space="preserve">, 480 U.S. 370, 380 (1987). In </w:t>
      </w:r>
      <w:r w:rsidRPr="00FF1B50">
        <w:rPr>
          <w:i/>
          <w:iCs/>
        </w:rPr>
        <w:t>Dickinson</w:t>
      </w:r>
      <w:r w:rsidRPr="00FF1B50">
        <w:t>, 338 U.S. at 513, the Court held that a decision denying intervention as of right is final and appealable.</w:t>
      </w:r>
    </w:p>
  </w:footnote>
  <w:footnote w:id="86">
    <w:p w14:paraId="4DA7D60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Digital Equip. Corp.</w:t>
      </w:r>
      <w:r w:rsidRPr="00FF1B50">
        <w:t>, 511 U.S. at 865.</w:t>
      </w:r>
    </w:p>
  </w:footnote>
  <w:footnote w:id="87">
    <w:p w14:paraId="3AC99C8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Coopers &amp; Lybrand</w:t>
      </w:r>
      <w:r w:rsidRPr="00FF1B50">
        <w:t>, 437 U.S. at 477 n.30.</w:t>
      </w:r>
    </w:p>
  </w:footnote>
  <w:footnote w:id="88">
    <w:p w14:paraId="6387FCA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473. </w:t>
      </w:r>
      <w:r w:rsidRPr="00FF1B50">
        <w:rPr>
          <w:i/>
          <w:iCs/>
        </w:rPr>
        <w:t xml:space="preserve">Coopers &amp; Lybrand </w:t>
      </w:r>
      <w:r w:rsidRPr="00FF1B50">
        <w:t xml:space="preserve">was later abrogated in 1998, after Congress passed the Rules Enabling Act, 28 U.S.C. § 2071 </w:t>
      </w:r>
      <w:r w:rsidRPr="00FF1B50">
        <w:rPr>
          <w:i/>
          <w:iCs/>
        </w:rPr>
        <w:t>et seq.</w:t>
      </w:r>
      <w:r w:rsidRPr="00FF1B50">
        <w:t xml:space="preserve">, and the Supreme Court, pursuant to it, approved Federal Rule of Civil Procedure 23(f). That rule authorizes “permissive interlocutory appeal” from adverse class-certification orders in “the sole discretion of the court of appeals.” Fed. R. Civ. P. 23(f); </w:t>
      </w:r>
      <w:r w:rsidRPr="00FF1B50">
        <w:rPr>
          <w:i/>
          <w:iCs/>
        </w:rPr>
        <w:t>see also Microsoft Corp. v. Baker</w:t>
      </w:r>
      <w:r w:rsidRPr="00FF1B50">
        <w:t>, 528 U.S. 23, 30-33 (2017) (recognizing such abrogation).</w:t>
      </w:r>
    </w:p>
  </w:footnote>
  <w:footnote w:id="89">
    <w:p w14:paraId="72F38EC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Digital Equip. Corp.</w:t>
      </w:r>
      <w:r w:rsidRPr="00FF1B50">
        <w:t xml:space="preserve">, 511 U.S. at 868. </w:t>
      </w:r>
    </w:p>
  </w:footnote>
  <w:footnote w:id="90">
    <w:p w14:paraId="04B9E794" w14:textId="77777777" w:rsidR="00092031" w:rsidRPr="00FF1B50" w:rsidRDefault="00092031" w:rsidP="00092031">
      <w:pPr>
        <w:pStyle w:val="FootnoteText"/>
      </w:pPr>
      <w:r w:rsidRPr="00FF1B50">
        <w:rPr>
          <w:rStyle w:val="FootnoteReference"/>
          <w:rFonts w:cs="Times New Roman"/>
        </w:rPr>
        <w:footnoteRef/>
      </w:r>
      <w:r w:rsidRPr="00FF1B50">
        <w:t xml:space="preserve"> 496 U.S. 617 (1990).</w:t>
      </w:r>
    </w:p>
  </w:footnote>
  <w:footnote w:id="91">
    <w:p w14:paraId="6AF5C68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619.</w:t>
      </w:r>
    </w:p>
  </w:footnote>
  <w:footnote w:id="92">
    <w:p w14:paraId="71CEC20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624-25.</w:t>
      </w:r>
    </w:p>
  </w:footnote>
  <w:footnote w:id="93">
    <w:p w14:paraId="23F63FDD" w14:textId="77777777" w:rsidR="00092031" w:rsidRPr="00FF1B50" w:rsidRDefault="00092031" w:rsidP="00092031">
      <w:pPr>
        <w:pStyle w:val="FootnoteText"/>
      </w:pPr>
      <w:r w:rsidRPr="00FF1B50">
        <w:rPr>
          <w:rStyle w:val="FootnoteReference"/>
          <w:rFonts w:cs="Times New Roman"/>
        </w:rPr>
        <w:footnoteRef/>
      </w:r>
      <w:r w:rsidRPr="00FF1B50">
        <w:t xml:space="preserve"> There was, first, the decision itself, which allowed the government to appeal the district court’s remand. Second, </w:t>
      </w:r>
      <w:r w:rsidRPr="00FF1B50">
        <w:rPr>
          <w:i/>
          <w:iCs/>
        </w:rPr>
        <w:t>Finkelstein</w:t>
      </w:r>
      <w:r w:rsidRPr="00FF1B50">
        <w:t xml:space="preserve"> facilitated the Court’s decision, eight years later, that a claimant could appeal the same type of remand at issue in </w:t>
      </w:r>
      <w:r w:rsidRPr="00FF1B50">
        <w:rPr>
          <w:i/>
          <w:iCs/>
        </w:rPr>
        <w:t>Finkelstein</w:t>
      </w:r>
      <w:r w:rsidRPr="00FF1B50">
        <w:t xml:space="preserve">. </w:t>
      </w:r>
      <w:r w:rsidRPr="00FF1B50">
        <w:rPr>
          <w:i/>
          <w:iCs/>
        </w:rPr>
        <w:t>See</w:t>
      </w:r>
      <w:r w:rsidRPr="00FF1B50">
        <w:t xml:space="preserve"> </w:t>
      </w:r>
      <w:r w:rsidRPr="00FF1B50">
        <w:rPr>
          <w:i/>
          <w:iCs/>
        </w:rPr>
        <w:t>Forney v. Apfel</w:t>
      </w:r>
      <w:r w:rsidRPr="00FF1B50">
        <w:t xml:space="preserve">, 524 U.S. 266, 270-71 (1998). Third, </w:t>
      </w:r>
      <w:r w:rsidRPr="00FF1B50">
        <w:rPr>
          <w:i/>
          <w:iCs/>
        </w:rPr>
        <w:t>Finkelstein</w:t>
      </w:r>
      <w:r w:rsidRPr="00FF1B50">
        <w:t xml:space="preserve"> promisingly recognized a “great variety in remands,” with one example being “a remand to the agency but the person seeking judicial review may seek to appeal on the ground that broader relief should have been granted by the district court.” </w:t>
      </w:r>
      <w:r w:rsidRPr="00FF1B50">
        <w:rPr>
          <w:i/>
          <w:iCs/>
        </w:rPr>
        <w:t>Finkelstein</w:t>
      </w:r>
      <w:r w:rsidRPr="00FF1B50">
        <w:t xml:space="preserve">, 496 U.S. at 623 &amp; n.3. </w:t>
      </w:r>
    </w:p>
  </w:footnote>
  <w:footnote w:id="94">
    <w:p w14:paraId="38FCD97A" w14:textId="0C8063A6"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623. Similarly, the Court explained that the situations discussed in </w:t>
      </w:r>
      <w:r w:rsidRPr="00FF1B50">
        <w:rPr>
          <w:i/>
          <w:iCs/>
        </w:rPr>
        <w:t>supra</w:t>
      </w:r>
      <w:r w:rsidRPr="00FF1B50">
        <w:t xml:space="preserve"> note </w:t>
      </w:r>
      <w:r>
        <w:rPr>
          <w:highlight w:val="cyan"/>
        </w:rPr>
        <w:fldChar w:fldCharType="begin"/>
      </w:r>
      <w:r>
        <w:instrText xml:space="preserve"> NOTEREF _Ref211359449 \h </w:instrText>
      </w:r>
      <w:r>
        <w:rPr>
          <w:highlight w:val="cyan"/>
        </w:rPr>
        <w:instrText xml:space="preserve"> \* MERGEFORMAT </w:instrText>
      </w:r>
      <w:r>
        <w:rPr>
          <w:highlight w:val="cyan"/>
        </w:rPr>
      </w:r>
      <w:r>
        <w:rPr>
          <w:highlight w:val="cyan"/>
        </w:rPr>
        <w:fldChar w:fldCharType="separate"/>
      </w:r>
      <w:r>
        <w:t>92</w:t>
      </w:r>
      <w:r>
        <w:rPr>
          <w:highlight w:val="cyan"/>
        </w:rPr>
        <w:fldChar w:fldCharType="end"/>
      </w:r>
      <w:r w:rsidRPr="00FF1B50">
        <w:t xml:space="preserve"> were not presented, “and we express no opinion about appealability in those circumstances.” </w:t>
      </w:r>
      <w:r w:rsidRPr="00FF1B50">
        <w:rPr>
          <w:i/>
          <w:iCs/>
        </w:rPr>
        <w:t>Id</w:t>
      </w:r>
      <w:r w:rsidRPr="00FF1B50">
        <w:t>. at 623 n.3.</w:t>
      </w:r>
    </w:p>
  </w:footnote>
  <w:footnote w:id="95">
    <w:p w14:paraId="572FEF24" w14:textId="347B9100"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Kreider Dairy Farms, Inc.</w:t>
      </w:r>
      <w:r w:rsidRPr="00FF1B50">
        <w:t>, 190 F.3d at 123 (</w:t>
      </w:r>
      <w:proofErr w:type="spellStart"/>
      <w:r w:rsidRPr="00FF1B50">
        <w:t>Sloviter</w:t>
      </w:r>
      <w:proofErr w:type="spellEnd"/>
      <w:r w:rsidRPr="00FF1B50">
        <w:t xml:space="preserve">, J., concurring) (explaining that </w:t>
      </w:r>
      <w:r w:rsidRPr="00FF1B50">
        <w:rPr>
          <w:i/>
          <w:iCs/>
        </w:rPr>
        <w:t>Finkelstein</w:t>
      </w:r>
      <w:r w:rsidRPr="00FF1B50">
        <w:t xml:space="preserve"> and </w:t>
      </w:r>
      <w:r w:rsidRPr="00FF1B50">
        <w:rPr>
          <w:i/>
          <w:iCs/>
        </w:rPr>
        <w:t>Forney</w:t>
      </w:r>
      <w:r w:rsidRPr="00FF1B50">
        <w:t xml:space="preserve"> “represent an exception to the final judgment rule. But the exception is one made by Congress, not the courts.”); </w:t>
      </w:r>
      <w:r w:rsidRPr="00FF1B50">
        <w:rPr>
          <w:i/>
          <w:iCs/>
        </w:rPr>
        <w:t>see also supra</w:t>
      </w:r>
      <w:r w:rsidRPr="00FF1B50">
        <w:t xml:space="preserve"> note </w:t>
      </w:r>
      <w:r>
        <w:fldChar w:fldCharType="begin"/>
      </w:r>
      <w:r>
        <w:instrText xml:space="preserve"> NOTEREF _Ref211359180 \h  \* MERGEFORMAT </w:instrText>
      </w:r>
      <w:r>
        <w:fldChar w:fldCharType="separate"/>
      </w:r>
      <w:r>
        <w:t>29</w:t>
      </w:r>
      <w:r>
        <w:fldChar w:fldCharType="end"/>
      </w:r>
      <w:r>
        <w:t xml:space="preserve"> </w:t>
      </w:r>
      <w:r w:rsidRPr="00FF1B50">
        <w:t xml:space="preserve">(explaining why “circumstances” is a better </w:t>
      </w:r>
      <w:proofErr w:type="spellStart"/>
      <w:r w:rsidRPr="00FF1B50">
        <w:t>term</w:t>
      </w:r>
      <w:proofErr w:type="spellEnd"/>
      <w:r w:rsidRPr="00FF1B50">
        <w:t xml:space="preserve"> than “exception” for instances in which appeals of remands are deemed final). </w:t>
      </w:r>
    </w:p>
  </w:footnote>
  <w:footnote w:id="96">
    <w:p w14:paraId="64F61F67" w14:textId="77777777" w:rsidR="00092031" w:rsidRPr="00FF1B50" w:rsidRDefault="00092031" w:rsidP="00092031">
      <w:pPr>
        <w:pStyle w:val="FootnoteText"/>
      </w:pPr>
      <w:r w:rsidRPr="00FF1B50">
        <w:rPr>
          <w:rStyle w:val="FootnoteReference"/>
          <w:rFonts w:cs="Times New Roman"/>
        </w:rPr>
        <w:footnoteRef/>
      </w:r>
      <w:r w:rsidRPr="00FF1B50">
        <w:t xml:space="preserve"> As Part I.D below shows, some circuit courts explicitly relied on </w:t>
      </w:r>
      <w:r w:rsidRPr="00FF1B50">
        <w:rPr>
          <w:i/>
          <w:iCs/>
        </w:rPr>
        <w:t>Finkelstein</w:t>
      </w:r>
      <w:r w:rsidRPr="00FF1B50">
        <w:t xml:space="preserve"> to allow interlocutory appeals of remands by agencies outside the social-security context. </w:t>
      </w:r>
      <w:r w:rsidRPr="00FF1B50">
        <w:rPr>
          <w:i/>
          <w:iCs/>
        </w:rPr>
        <w:t>See, e.g.</w:t>
      </w:r>
      <w:r w:rsidRPr="00FF1B50">
        <w:t xml:space="preserve">, </w:t>
      </w:r>
      <w:r w:rsidRPr="00FF1B50">
        <w:rPr>
          <w:i/>
          <w:iCs/>
        </w:rPr>
        <w:t xml:space="preserve">Baca-Prieto v. A1 </w:t>
      </w:r>
      <w:proofErr w:type="spellStart"/>
      <w:r w:rsidRPr="00FF1B50">
        <w:rPr>
          <w:i/>
          <w:iCs/>
        </w:rPr>
        <w:t>Guigni</w:t>
      </w:r>
      <w:proofErr w:type="spellEnd"/>
      <w:r w:rsidRPr="00FF1B50">
        <w:t>, 95 F.3d 1006, 1009 (10th Cir. 1996) (</w:t>
      </w:r>
      <w:r>
        <w:t xml:space="preserve">in allowing agency to appeal remand requiring it to grant habeas relief, stating: </w:t>
      </w:r>
      <w:r w:rsidRPr="00FF1B50">
        <w:t>“In light of the special relevance, both historical and analytical, of practical finality considerations in the administrative-remand context, illustrated by </w:t>
      </w:r>
      <w:r w:rsidRPr="00FF1B50">
        <w:rPr>
          <w:i/>
          <w:iCs/>
        </w:rPr>
        <w:t>Bender</w:t>
      </w:r>
      <w:r w:rsidRPr="00FF1B50">
        <w:t> and </w:t>
      </w:r>
      <w:r w:rsidRPr="00FF1B50">
        <w:rPr>
          <w:i/>
          <w:iCs/>
        </w:rPr>
        <w:t>Cotton Petroleum</w:t>
      </w:r>
      <w:r w:rsidRPr="00FF1B50">
        <w:t> and supported by </w:t>
      </w:r>
      <w:r w:rsidRPr="00FF1B50">
        <w:rPr>
          <w:i/>
          <w:iCs/>
        </w:rPr>
        <w:t>Finkelstein</w:t>
      </w:r>
      <w:r w:rsidRPr="00FF1B50">
        <w:t> and subsequent cases, we do not deem the recent criticism of the </w:t>
      </w:r>
      <w:r w:rsidRPr="00FF1B50">
        <w:rPr>
          <w:i/>
          <w:iCs/>
        </w:rPr>
        <w:t>Gillespie</w:t>
      </w:r>
      <w:r w:rsidRPr="00FF1B50">
        <w:t> doctrine pertinent here</w:t>
      </w:r>
      <w:r>
        <w:t>.”</w:t>
      </w:r>
      <w:r w:rsidRPr="00FF1B50">
        <w:t>);</w:t>
      </w:r>
      <w:r w:rsidRPr="00FF1B50">
        <w:rPr>
          <w:i/>
          <w:iCs/>
        </w:rPr>
        <w:t xml:space="preserve"> Travelstead v. Derwinski</w:t>
      </w:r>
      <w:r w:rsidRPr="00FF1B50">
        <w:t xml:space="preserve">, 978 F.2d 1244, 1249 (Fed. Cir. 1992) (remand of decision denying waiver of indebtedness on veteran’s home loan; the “principal directive of </w:t>
      </w:r>
      <w:r w:rsidRPr="00FF1B50">
        <w:rPr>
          <w:i/>
          <w:iCs/>
        </w:rPr>
        <w:t>Finkelstein</w:t>
      </w:r>
      <w:r w:rsidRPr="00FF1B50">
        <w:t xml:space="preserve"> is that remands are not all of the same nature. Some are final, some are not.”); </w:t>
      </w:r>
      <w:r w:rsidRPr="00FF1B50">
        <w:rPr>
          <w:i/>
          <w:iCs/>
        </w:rPr>
        <w:t>St. Francis Med. Ctr. v. Sullivan</w:t>
      </w:r>
      <w:r w:rsidRPr="00FF1B50">
        <w:t xml:space="preserve">, 962 F.2d 1110, 1114 (3d Cir. 1992) (remand overturning </w:t>
      </w:r>
      <w:r>
        <w:t xml:space="preserve">agency’s </w:t>
      </w:r>
      <w:r w:rsidRPr="00FF1B50">
        <w:t>refusal of Medicare provider’s request for hearing on reimbursement claim).</w:t>
      </w:r>
    </w:p>
  </w:footnote>
  <w:footnote w:id="97">
    <w:p w14:paraId="511F9EC3" w14:textId="77777777" w:rsidR="00092031" w:rsidRPr="00FF1B50" w:rsidRDefault="00092031" w:rsidP="00092031">
      <w:pPr>
        <w:pStyle w:val="FootnoteText"/>
      </w:pPr>
      <w:r w:rsidRPr="00FF1B50">
        <w:rPr>
          <w:rStyle w:val="FootnoteReference"/>
          <w:rFonts w:cs="Times New Roman"/>
        </w:rPr>
        <w:footnoteRef/>
      </w:r>
      <w:r w:rsidRPr="00FF1B50">
        <w:t xml:space="preserve"> There have been other occasional cracks in the Supreme Court’s strict view of the final-judgment rule. </w:t>
      </w:r>
      <w:r w:rsidRPr="00550D4E">
        <w:rPr>
          <w:i/>
          <w:iCs/>
        </w:rPr>
        <w:t>See, e.g.</w:t>
      </w:r>
      <w:r w:rsidRPr="00FF1B50">
        <w:t xml:space="preserve">, </w:t>
      </w:r>
      <w:r w:rsidRPr="00FF1B50">
        <w:rPr>
          <w:i/>
          <w:iCs/>
        </w:rPr>
        <w:t>American Export Lines v. Alvez</w:t>
      </w:r>
      <w:r w:rsidRPr="00FF1B50">
        <w:t xml:space="preserve">, 446 U.S. 274, 279 (1980) (relying on </w:t>
      </w:r>
      <w:r w:rsidRPr="00FF1B50">
        <w:rPr>
          <w:i/>
          <w:iCs/>
        </w:rPr>
        <w:t>Gillespie</w:t>
      </w:r>
      <w:r w:rsidRPr="00FF1B50">
        <w:t xml:space="preserve"> to conclude that, “[a]s a practical matter,” it had jurisdiction to review what might have otherwise been a non-final, interlocutory order). </w:t>
      </w:r>
    </w:p>
  </w:footnote>
  <w:footnote w:id="98">
    <w:p w14:paraId="451A91B4" w14:textId="03768199"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Mohawk Indus., Inc.</w:t>
      </w:r>
      <w:r w:rsidRPr="00FF1B50">
        <w:t>,</w:t>
      </w:r>
      <w:r w:rsidRPr="00FF1B50">
        <w:rPr>
          <w:i/>
          <w:iCs/>
        </w:rPr>
        <w:t xml:space="preserve"> </w:t>
      </w:r>
      <w:r w:rsidRPr="00FF1B50">
        <w:t xml:space="preserve">558 U.S. at 106-14 (continuing to recognize practical finality doctrine under </w:t>
      </w:r>
      <w:r w:rsidRPr="00FF1B50">
        <w:rPr>
          <w:i/>
          <w:iCs/>
        </w:rPr>
        <w:t>Gillespie</w:t>
      </w:r>
      <w:r w:rsidRPr="00FF1B50">
        <w:t xml:space="preserve"> but nonetheless holding that adverse attorney-client-privilege rulings are not immediately appealable under </w:t>
      </w:r>
      <w:r w:rsidRPr="00FF1B50">
        <w:rPr>
          <w:i/>
          <w:iCs/>
        </w:rPr>
        <w:t>Cohen</w:t>
      </w:r>
      <w:r w:rsidRPr="00FF1B50">
        <w:t xml:space="preserve">); </w:t>
      </w:r>
      <w:r w:rsidRPr="00FF1B50">
        <w:rPr>
          <w:i/>
          <w:iCs/>
        </w:rPr>
        <w:t>see also</w:t>
      </w:r>
      <w:r w:rsidRPr="00FF1B50">
        <w:t xml:space="preserve"> </w:t>
      </w:r>
      <w:r w:rsidRPr="00FF1B50">
        <w:rPr>
          <w:rFonts w:eastAsia="Quattrocento"/>
        </w:rPr>
        <w:t xml:space="preserve">Lammon, </w:t>
      </w:r>
      <w:r w:rsidRPr="00FF1B50">
        <w:rPr>
          <w:rFonts w:eastAsia="Quattrocento"/>
          <w:i/>
          <w:iCs/>
        </w:rPr>
        <w:t>supra</w:t>
      </w:r>
      <w:r w:rsidRPr="00FF1B50">
        <w:rPr>
          <w:rFonts w:eastAsia="Quattrocento"/>
        </w:rPr>
        <w:t xml:space="preserve"> note </w:t>
      </w:r>
      <w:r>
        <w:rPr>
          <w:rFonts w:eastAsia="Quattrocento"/>
          <w:highlight w:val="cyan"/>
        </w:rPr>
        <w:fldChar w:fldCharType="begin"/>
      </w:r>
      <w:r>
        <w:rPr>
          <w:rFonts w:eastAsia="Quattrocento"/>
        </w:rPr>
        <w:instrText xml:space="preserve"> NOTEREF _Ref211359331 \h </w:instrText>
      </w:r>
      <w:r>
        <w:rPr>
          <w:rFonts w:eastAsia="Quattrocento"/>
          <w:highlight w:val="cyan"/>
        </w:rPr>
        <w:instrText xml:space="preserve"> \* MERGEFORMAT </w:instrText>
      </w:r>
      <w:r>
        <w:rPr>
          <w:rFonts w:eastAsia="Quattrocento"/>
          <w:highlight w:val="cyan"/>
        </w:rPr>
      </w:r>
      <w:r>
        <w:rPr>
          <w:rFonts w:eastAsia="Quattrocento"/>
          <w:highlight w:val="cyan"/>
        </w:rPr>
        <w:fldChar w:fldCharType="separate"/>
      </w:r>
      <w:r>
        <w:rPr>
          <w:rFonts w:eastAsia="Quattrocento"/>
        </w:rPr>
        <w:t>13</w:t>
      </w:r>
      <w:r>
        <w:rPr>
          <w:rFonts w:eastAsia="Quattrocento"/>
          <w:highlight w:val="cyan"/>
        </w:rPr>
        <w:fldChar w:fldCharType="end"/>
      </w:r>
      <w:r w:rsidRPr="00FF1B50">
        <w:rPr>
          <w:rFonts w:eastAsia="Quattrocento"/>
        </w:rPr>
        <w:t xml:space="preserve">, 51 </w:t>
      </w:r>
      <w:r w:rsidRPr="00FF1B50">
        <w:rPr>
          <w:rFonts w:eastAsia="Quattrocento"/>
          <w:smallCaps/>
        </w:rPr>
        <w:t>U. Rich. L. Rev</w:t>
      </w:r>
      <w:r w:rsidRPr="00FF1B50">
        <w:rPr>
          <w:rFonts w:eastAsia="Quattrocento"/>
        </w:rPr>
        <w:t xml:space="preserve">. at </w:t>
      </w:r>
      <w:r w:rsidRPr="00FF1B50">
        <w:t xml:space="preserve">410-11 (discussing Supreme Court’s repeated efforts to cabin </w:t>
      </w:r>
      <w:r w:rsidRPr="00FF1B50">
        <w:rPr>
          <w:i/>
          <w:iCs/>
        </w:rPr>
        <w:t>Gillespie</w:t>
      </w:r>
      <w:r w:rsidRPr="00FF1B50">
        <w:t>).</w:t>
      </w:r>
    </w:p>
  </w:footnote>
  <w:footnote w:id="99">
    <w:p w14:paraId="275491B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Bohms v. Gardner</w:t>
      </w:r>
      <w:r w:rsidRPr="00FF1B50">
        <w:t xml:space="preserve">, 381 F.2d 283, 285-86 (8th Cir. 1967); </w:t>
      </w:r>
      <w:r w:rsidRPr="00FF1B50">
        <w:rPr>
          <w:i/>
          <w:iCs/>
        </w:rPr>
        <w:t>Mayersky v. Celebrezze</w:t>
      </w:r>
      <w:r w:rsidRPr="00FF1B50">
        <w:t xml:space="preserve">, 353 F.2d 89, 89 (3d Cir. 1965) (per curiam); </w:t>
      </w:r>
      <w:r w:rsidRPr="00FF1B50">
        <w:rPr>
          <w:i/>
          <w:iCs/>
        </w:rPr>
        <w:t>Marshall v. Celebrezze</w:t>
      </w:r>
      <w:r w:rsidRPr="00FF1B50">
        <w:t xml:space="preserve">, 351 F.2d 467, 468 (3d Cir. 1965) (per curiam). </w:t>
      </w:r>
      <w:r w:rsidRPr="00FF1B50">
        <w:rPr>
          <w:i/>
          <w:iCs/>
        </w:rPr>
        <w:t>Bohms</w:t>
      </w:r>
      <w:r w:rsidRPr="00FF1B50">
        <w:t xml:space="preserve"> cited </w:t>
      </w:r>
      <w:r w:rsidRPr="008A4CBB">
        <w:rPr>
          <w:i/>
          <w:iCs/>
        </w:rPr>
        <w:t>Mayersky</w:t>
      </w:r>
      <w:r>
        <w:t xml:space="preserve"> and </w:t>
      </w:r>
      <w:r w:rsidRPr="00FF1B50">
        <w:rPr>
          <w:i/>
          <w:iCs/>
        </w:rPr>
        <w:t>Marshall</w:t>
      </w:r>
      <w:r w:rsidRPr="00FF1B50">
        <w:t xml:space="preserve"> as well as </w:t>
      </w:r>
      <w:r w:rsidRPr="00FF1B50">
        <w:rPr>
          <w:i/>
          <w:iCs/>
        </w:rPr>
        <w:t>Stathatos v. Arnold Bernstein S.S. Corp.</w:t>
      </w:r>
      <w:r w:rsidRPr="00FF1B50">
        <w:t>, 202 F.2d 525, 526 (2d Cir. 1953) (remand to arbitrator not appealable and citing earlier cases to the same effect).</w:t>
      </w:r>
    </w:p>
  </w:footnote>
  <w:footnote w:id="100">
    <w:p w14:paraId="7265EAF8" w14:textId="77777777" w:rsidR="00092031" w:rsidRPr="00FF1B50" w:rsidRDefault="00092031" w:rsidP="00092031">
      <w:pPr>
        <w:pStyle w:val="FootnoteText"/>
      </w:pPr>
      <w:r w:rsidRPr="00FF1B50">
        <w:rPr>
          <w:rStyle w:val="FootnoteReference"/>
          <w:rFonts w:cs="Times New Roman"/>
        </w:rPr>
        <w:footnoteRef/>
      </w:r>
      <w:r w:rsidRPr="00FF1B50">
        <w:t xml:space="preserve"> 412 F.2d 44 (5th Cir. 1969), </w:t>
      </w:r>
      <w:proofErr w:type="spellStart"/>
      <w:r w:rsidRPr="00FF1B50">
        <w:rPr>
          <w:i/>
          <w:iCs/>
        </w:rPr>
        <w:t>rev’d</w:t>
      </w:r>
      <w:proofErr w:type="spellEnd"/>
      <w:r w:rsidRPr="00FF1B50">
        <w:rPr>
          <w:i/>
          <w:iCs/>
        </w:rPr>
        <w:t xml:space="preserve"> on other grounds</w:t>
      </w:r>
      <w:r w:rsidRPr="00FF1B50">
        <w:t xml:space="preserve">, </w:t>
      </w:r>
      <w:r w:rsidRPr="00FF1B50">
        <w:rPr>
          <w:i/>
          <w:iCs/>
        </w:rPr>
        <w:t>Richardson v. Perales</w:t>
      </w:r>
      <w:r w:rsidRPr="00FF1B50">
        <w:t>, 402 U.S. 389 (1971).</w:t>
      </w:r>
    </w:p>
  </w:footnote>
  <w:footnote w:id="101">
    <w:p w14:paraId="4AF42AB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48. The court held that the district court’s order was also appealable under a separate provision of the Social Security Act. </w:t>
      </w:r>
      <w:r w:rsidRPr="00FF1B50">
        <w:rPr>
          <w:i/>
          <w:iCs/>
        </w:rPr>
        <w:t>Id</w:t>
      </w:r>
      <w:r w:rsidRPr="00FF1B50">
        <w:t xml:space="preserve">. </w:t>
      </w:r>
    </w:p>
  </w:footnote>
  <w:footnote w:id="102">
    <w:p w14:paraId="1417D40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w:t>
      </w:r>
    </w:p>
  </w:footnote>
  <w:footnote w:id="103">
    <w:p w14:paraId="712CC0D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Gold v. Weinberger</w:t>
      </w:r>
      <w:r w:rsidRPr="00FF1B50">
        <w:t>, 473 F.2d 1376, 1378 (5th Cir. 1973).</w:t>
      </w:r>
    </w:p>
  </w:footnote>
  <w:footnote w:id="104">
    <w:p w14:paraId="5CEEE4D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Gueory v. Hampton</w:t>
      </w:r>
      <w:r w:rsidRPr="00FF1B50">
        <w:t>, 510 F.2d 1222, 1224-25 (D.C. Cir. 1974).</w:t>
      </w:r>
    </w:p>
  </w:footnote>
  <w:footnote w:id="105">
    <w:p w14:paraId="53CD6212"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w:t>
      </w:r>
    </w:p>
  </w:footnote>
  <w:footnote w:id="106">
    <w:p w14:paraId="09382A34"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545 F.2d 363.</w:t>
      </w:r>
    </w:p>
  </w:footnote>
  <w:footnote w:id="107">
    <w:p w14:paraId="4AB7C250"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365-66.</w:t>
      </w:r>
    </w:p>
  </w:footnote>
  <w:footnote w:id="108">
    <w:p w14:paraId="06A66476"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367, 373.</w:t>
      </w:r>
    </w:p>
  </w:footnote>
  <w:footnote w:id="109">
    <w:p w14:paraId="3868BDD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w:t>
      </w:r>
    </w:p>
  </w:footnote>
  <w:footnote w:id="110">
    <w:p w14:paraId="254792B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w:t>
      </w:r>
      <w:proofErr w:type="spellStart"/>
      <w:r w:rsidRPr="00FF1B50">
        <w:rPr>
          <w:i/>
          <w:iCs/>
        </w:rPr>
        <w:t>Bachowski</w:t>
      </w:r>
      <w:proofErr w:type="spellEnd"/>
      <w:r w:rsidRPr="00FF1B50">
        <w:t xml:space="preserve"> provides a</w:t>
      </w:r>
      <w:r>
        <w:t xml:space="preserve"> </w:t>
      </w:r>
      <w:r w:rsidRPr="00FF1B50">
        <w:t>thoughtful weighing of the pros and cons of appellate review of remands</w:t>
      </w:r>
      <w:r>
        <w:t xml:space="preserve"> and of the final-judgment rule</w:t>
      </w:r>
      <w:r w:rsidRPr="00FF1B50">
        <w:t xml:space="preserve">. </w:t>
      </w:r>
      <w:r w:rsidRPr="00FF1B50">
        <w:rPr>
          <w:i/>
          <w:iCs/>
        </w:rPr>
        <w:t>See</w:t>
      </w:r>
      <w:r w:rsidRPr="00FF1B50">
        <w:t xml:space="preserve"> </w:t>
      </w:r>
      <w:r w:rsidRPr="00FF1B50">
        <w:rPr>
          <w:i/>
          <w:iCs/>
        </w:rPr>
        <w:t>id</w:t>
      </w:r>
      <w:r w:rsidRPr="00FF1B50">
        <w:t xml:space="preserve">. at 366-73. </w:t>
      </w:r>
    </w:p>
  </w:footnote>
  <w:footnote w:id="111">
    <w:p w14:paraId="45D40D0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Harper v. Bowen</w:t>
      </w:r>
      <w:r w:rsidRPr="00FF1B50">
        <w:t xml:space="preserve">, 854 F.2d 678, 680-81 (4th Cir. 1988) (remand </w:t>
      </w:r>
      <w:r>
        <w:t xml:space="preserve">to </w:t>
      </w:r>
      <w:r w:rsidRPr="00FF1B50">
        <w:t xml:space="preserve">properly allocate burden of proof not appealable by agency in the absence of an “egregious misstatement of an important point of law”); </w:t>
      </w:r>
      <w:r w:rsidRPr="00FF1B50">
        <w:rPr>
          <w:i/>
          <w:iCs/>
        </w:rPr>
        <w:t>Cabot Corp. v. United States</w:t>
      </w:r>
      <w:r w:rsidRPr="00FF1B50">
        <w:t xml:space="preserve">, 788 F.2d 1539, 1543-44 (Fed. Cir. 1986) (remand not final (under 28 U.S.C. § 1295) and appealable by agency under practical finality or collateral-order doctrine); </w:t>
      </w:r>
      <w:proofErr w:type="spellStart"/>
      <w:r w:rsidRPr="00FF1B50">
        <w:rPr>
          <w:i/>
          <w:iCs/>
        </w:rPr>
        <w:t>Pauls</w:t>
      </w:r>
      <w:proofErr w:type="spellEnd"/>
      <w:r w:rsidRPr="00FF1B50">
        <w:rPr>
          <w:i/>
          <w:iCs/>
        </w:rPr>
        <w:t> v. Sec’y of the Air Force</w:t>
      </w:r>
      <w:r w:rsidRPr="00FF1B50">
        <w:t xml:space="preserve">, 457 F.2d 294, 297-98 (1st Cir. 1972) (holding unappealable </w:t>
      </w:r>
      <w:r>
        <w:t>by agency remand</w:t>
      </w:r>
      <w:r w:rsidRPr="00FF1B50">
        <w:t xml:space="preserve"> for further factfinding). The Eighth Circuit had explained that, absent certification under 28 U.S.C. § 1292(b), remands to the Social Security Administration were not final and appealable by the </w:t>
      </w:r>
      <w:r>
        <w:t>agency</w:t>
      </w:r>
      <w:r w:rsidRPr="00FF1B50">
        <w:t xml:space="preserve">. </w:t>
      </w:r>
      <w:r w:rsidRPr="00FF1B50">
        <w:rPr>
          <w:i/>
          <w:iCs/>
        </w:rPr>
        <w:t>McCoy v. Schweiker</w:t>
      </w:r>
      <w:r w:rsidRPr="00FF1B50">
        <w:t>, 683 F.2d 1138, 1141 n.2 (8th Cir. 1998) (</w:t>
      </w:r>
      <w:proofErr w:type="spellStart"/>
      <w:r w:rsidRPr="00FF1B50">
        <w:t>en</w:t>
      </w:r>
      <w:proofErr w:type="spellEnd"/>
      <w:r w:rsidRPr="00FF1B50">
        <w:t xml:space="preserve"> banc), </w:t>
      </w:r>
      <w:r w:rsidRPr="00FF1B50">
        <w:rPr>
          <w:i/>
          <w:iCs/>
        </w:rPr>
        <w:t>abrogated by</w:t>
      </w:r>
      <w:r w:rsidRPr="00FF1B50">
        <w:t xml:space="preserve"> </w:t>
      </w:r>
      <w:r w:rsidRPr="00FF1B50">
        <w:rPr>
          <w:i/>
          <w:iCs/>
        </w:rPr>
        <w:t>Finkelstein</w:t>
      </w:r>
      <w:r w:rsidRPr="00FF1B50">
        <w:t>, 496 U.S. 617.</w:t>
      </w:r>
    </w:p>
  </w:footnote>
  <w:footnote w:id="112">
    <w:p w14:paraId="7304DF98" w14:textId="77777777" w:rsidR="00092031" w:rsidRPr="00FF1B50" w:rsidRDefault="00092031" w:rsidP="00092031">
      <w:pPr>
        <w:pStyle w:val="FootnoteText"/>
      </w:pPr>
      <w:r w:rsidRPr="00FF1B50">
        <w:rPr>
          <w:rStyle w:val="FootnoteReference"/>
          <w:rFonts w:cs="Times New Roman"/>
        </w:rPr>
        <w:footnoteRef/>
      </w:r>
      <w:r w:rsidRPr="00FF1B50">
        <w:t xml:space="preserve"> For early (pre-</w:t>
      </w:r>
      <w:r w:rsidRPr="00FF1B50">
        <w:rPr>
          <w:i/>
          <w:iCs/>
        </w:rPr>
        <w:t>Finkelstein</w:t>
      </w:r>
      <w:r w:rsidRPr="00FF1B50">
        <w:t xml:space="preserve">) cases holding that agencies could appeal district-court remands, </w:t>
      </w:r>
      <w:r w:rsidRPr="00FF1B50">
        <w:rPr>
          <w:i/>
          <w:iCs/>
        </w:rPr>
        <w:t>see, e.g.</w:t>
      </w:r>
      <w:r w:rsidRPr="00FF1B50">
        <w:t xml:space="preserve">, </w:t>
      </w:r>
      <w:r w:rsidRPr="00FF1B50">
        <w:rPr>
          <w:i/>
          <w:iCs/>
        </w:rPr>
        <w:t>Doughty v. Bowen</w:t>
      </w:r>
      <w:r w:rsidRPr="00FF1B50">
        <w:t xml:space="preserve">, 839 F.2d 644, 645-46 (10th Cir. 1988) (remand requiring payment of interim benefits); </w:t>
      </w:r>
      <w:r w:rsidRPr="00FF1B50">
        <w:rPr>
          <w:i/>
          <w:iCs/>
        </w:rPr>
        <w:t>Pierre v. Rivkind</w:t>
      </w:r>
      <w:r w:rsidRPr="00FF1B50">
        <w:t xml:space="preserve">, 825 F.2d 1501, 1504 (11th Cir. 1987) (remand to reconsider asylum application); </w:t>
      </w:r>
      <w:r w:rsidRPr="00FF1B50">
        <w:rPr>
          <w:i/>
          <w:iCs/>
        </w:rPr>
        <w:t xml:space="preserve">AJA Assocs. v. Army Corps of </w:t>
      </w:r>
      <w:proofErr w:type="spellStart"/>
      <w:r w:rsidRPr="00FF1B50">
        <w:rPr>
          <w:i/>
          <w:iCs/>
        </w:rPr>
        <w:t>Eng’rs</w:t>
      </w:r>
      <w:proofErr w:type="spellEnd"/>
      <w:r w:rsidRPr="00FF1B50">
        <w:t xml:space="preserve">, 817 F.2d 1070, 1073 (3d Cir. 1987) (remand for informal oral hearing on dredge-and-fill permit); </w:t>
      </w:r>
      <w:r w:rsidRPr="00FF1B50">
        <w:rPr>
          <w:i/>
          <w:iCs/>
        </w:rPr>
        <w:t>Huie v. Bowen</w:t>
      </w:r>
      <w:r w:rsidRPr="00FF1B50">
        <w:t xml:space="preserve">, 788 F.2d 698, 701-03 (11th Cir. 1986) (voluntary remand to apply new law and impose retrospective benefits to claimant); </w:t>
      </w:r>
      <w:r w:rsidRPr="00FF1B50">
        <w:rPr>
          <w:i/>
          <w:iCs/>
        </w:rPr>
        <w:t>Regents of the Univ. of Calif. v. Heckler</w:t>
      </w:r>
      <w:r w:rsidRPr="00FF1B50">
        <w:t xml:space="preserve">, 771 F.2d 1182, 1186-87 (9th Cir. 1985) (remand to revise regulation to comply with governing statute), </w:t>
      </w:r>
      <w:r w:rsidRPr="00FF1B50">
        <w:rPr>
          <w:i/>
          <w:iCs/>
        </w:rPr>
        <w:t>overruled on other grounds</w:t>
      </w:r>
      <w:r w:rsidRPr="00FF1B50">
        <w:t xml:space="preserve">, </w:t>
      </w:r>
      <w:r w:rsidRPr="00FF1B50">
        <w:rPr>
          <w:i/>
          <w:iCs/>
        </w:rPr>
        <w:t>Good Samaritan Hosp. v. Shalala</w:t>
      </w:r>
      <w:r w:rsidRPr="00FF1B50">
        <w:t xml:space="preserve">, 508 U.S. 402 (1993); </w:t>
      </w:r>
      <w:r w:rsidRPr="00FF1B50">
        <w:rPr>
          <w:i/>
          <w:iCs/>
        </w:rPr>
        <w:t>Bender v. Clark</w:t>
      </w:r>
      <w:r w:rsidRPr="00FF1B50">
        <w:t xml:space="preserve">, 744 F.2d 1424, 1426-28 (10th Cir. 1984) (remand to administrative law judge for determination of whether plaintiff showed agency error by a preponderance of the evidence); </w:t>
      </w:r>
      <w:r w:rsidRPr="00FF1B50">
        <w:rPr>
          <w:i/>
          <w:iCs/>
        </w:rPr>
        <w:t>Stone v. Heckler</w:t>
      </w:r>
      <w:r w:rsidRPr="00FF1B50">
        <w:t xml:space="preserve">, 722 F.2d 464, 466-68 (9th Cir. 1983) (remand for specific findings as to claimant’s work functionality); </w:t>
      </w:r>
      <w:r w:rsidRPr="00FF1B50">
        <w:rPr>
          <w:i/>
          <w:iCs/>
        </w:rPr>
        <w:t>United States v. Alcon Labs.</w:t>
      </w:r>
      <w:r w:rsidRPr="00FF1B50">
        <w:t xml:space="preserve">, 636 F.2d 876, 884-85 (1st Cir. 1981) (remand requiring agency to release seized inventories, which concerned “broader questions of how </w:t>
      </w:r>
      <w:r>
        <w:t>[agency]</w:t>
      </w:r>
      <w:r w:rsidRPr="00FF1B50">
        <w:t xml:space="preserve"> enforcement actions are to proceed”); </w:t>
      </w:r>
      <w:r w:rsidRPr="00FF1B50">
        <w:rPr>
          <w:i/>
          <w:iCs/>
        </w:rPr>
        <w:t>Gold</w:t>
      </w:r>
      <w:r w:rsidRPr="00FF1B50">
        <w:t xml:space="preserve">, 473 F.2d at 1378 (Fifth Circuit remand imposing new procedures). </w:t>
      </w:r>
    </w:p>
  </w:footnote>
  <w:footnote w:id="113">
    <w:p w14:paraId="1D02B572" w14:textId="77777777" w:rsidR="00092031" w:rsidRPr="00FF1B50" w:rsidRDefault="00092031" w:rsidP="00092031">
      <w:pPr>
        <w:pStyle w:val="FootnoteText"/>
      </w:pPr>
      <w:r w:rsidRPr="00FF1B50">
        <w:rPr>
          <w:rStyle w:val="FootnoteReference"/>
          <w:rFonts w:cs="Times New Roman"/>
        </w:rPr>
        <w:footnoteRef/>
      </w:r>
      <w:r w:rsidRPr="00FF1B50">
        <w:t xml:space="preserve"> For early cases holding that non-agency parties could not appeal district-court remands, </w:t>
      </w:r>
      <w:r w:rsidRPr="00FF1B50">
        <w:rPr>
          <w:i/>
          <w:iCs/>
        </w:rPr>
        <w:t>see, e.g.</w:t>
      </w:r>
      <w:r w:rsidRPr="00FF1B50">
        <w:t xml:space="preserve">, </w:t>
      </w:r>
      <w:r w:rsidRPr="00FF1B50">
        <w:rPr>
          <w:i/>
          <w:iCs/>
        </w:rPr>
        <w:t>Mall Props., Inc. v. Marsh</w:t>
      </w:r>
      <w:r w:rsidRPr="00FF1B50">
        <w:t xml:space="preserve">, 841 F.2d 440, 441-44 (1st Cir. 1988) (per curiam) (remand not appealable by intervenor-defendant city); </w:t>
      </w:r>
      <w:r w:rsidRPr="00FF1B50">
        <w:rPr>
          <w:i/>
          <w:iCs/>
        </w:rPr>
        <w:t>Jeannette Sheet Glass Corp. v. United States</w:t>
      </w:r>
      <w:r w:rsidRPr="00FF1B50">
        <w:t xml:space="preserve">, 803 F.2d 1576, 1579-83 (Fed. Cir. 1986) (remand not appealable by plaintiff); </w:t>
      </w:r>
      <w:proofErr w:type="spellStart"/>
      <w:r w:rsidRPr="00FF1B50">
        <w:rPr>
          <w:i/>
          <w:iCs/>
        </w:rPr>
        <w:t>Mem’l</w:t>
      </w:r>
      <w:proofErr w:type="spellEnd"/>
      <w:r w:rsidRPr="00FF1B50">
        <w:rPr>
          <w:i/>
          <w:iCs/>
        </w:rPr>
        <w:t xml:space="preserve"> Hosp. Sys. v. Heckler</w:t>
      </w:r>
      <w:r w:rsidRPr="00FF1B50">
        <w:t xml:space="preserve">, 769 F.2d 1043, 1044 (5th Cir. 1985) (remand to </w:t>
      </w:r>
      <w:r>
        <w:t>agency</w:t>
      </w:r>
      <w:r w:rsidRPr="00FF1B50">
        <w:t xml:space="preserve"> to receive new evidence not appealable by plaintiff hospital); </w:t>
      </w:r>
      <w:r w:rsidRPr="00FF1B50">
        <w:rPr>
          <w:i/>
          <w:iCs/>
        </w:rPr>
        <w:t>Farr v. Heckler</w:t>
      </w:r>
      <w:r w:rsidRPr="00FF1B50">
        <w:t>, 729 F.2d 1426, 1427-28 (11th Cir. 1984) (</w:t>
      </w:r>
      <w:proofErr w:type="spellStart"/>
      <w:r w:rsidRPr="00FF1B50">
        <w:t>en</w:t>
      </w:r>
      <w:proofErr w:type="spellEnd"/>
      <w:r w:rsidRPr="00FF1B50">
        <w:t xml:space="preserve"> banc) (remand for further benefits eligibility determination not appealable by claimant); </w:t>
      </w:r>
      <w:r w:rsidRPr="00FF1B50">
        <w:rPr>
          <w:i/>
          <w:iCs/>
        </w:rPr>
        <w:t>Eluska v. Andrus</w:t>
      </w:r>
      <w:r w:rsidRPr="00FF1B50">
        <w:t xml:space="preserve">, 587 F.2d 996, 999-1002 (9th Cir. 1978) (voluntary remand not appealable by plaintiff); </w:t>
      </w:r>
      <w:r w:rsidRPr="00FF1B50">
        <w:rPr>
          <w:i/>
          <w:iCs/>
        </w:rPr>
        <w:t>Giordano v. Roudebush</w:t>
      </w:r>
      <w:r w:rsidRPr="00FF1B50">
        <w:t>, 565 F.2d 1015, 1017-18 (8th Cir. 1977) (per curiam) (remand for rehearing with new evidence not appealable by plaintiff).</w:t>
      </w:r>
    </w:p>
  </w:footnote>
  <w:footnote w:id="114">
    <w:p w14:paraId="0BF78732" w14:textId="77777777" w:rsidR="00092031" w:rsidRPr="00FF1B50" w:rsidRDefault="00092031" w:rsidP="00092031">
      <w:pPr>
        <w:pStyle w:val="FootnoteText"/>
      </w:pPr>
      <w:r w:rsidRPr="00FF1B50">
        <w:rPr>
          <w:rStyle w:val="FootnoteReference"/>
          <w:rFonts w:cs="Times New Roman"/>
        </w:rPr>
        <w:footnoteRef/>
      </w:r>
      <w:r w:rsidRPr="00FF1B50">
        <w:t xml:space="preserve"> Writing in 1989, the D.C. Circuit explained that the courts of appeals had “uniformly held that, as a general rule,” remands to administrative agencies are not final and appealable, with an “exception” for agency appellants. Although that rule produce “asymmetrical results”—private parties cannot appeal while agencies can—“that asymmetry derives . . . from the formulation of the </w:t>
      </w:r>
      <w:r w:rsidRPr="00FF1B50">
        <w:rPr>
          <w:i/>
          <w:iCs/>
        </w:rPr>
        <w:t>Cohen</w:t>
      </w:r>
      <w:r w:rsidRPr="00FF1B50">
        <w:t xml:space="preserve"> test, under which the question of appealability turns to a great extent on whether a putative appellant could challenge the remand order after a final determination on the merits.” </w:t>
      </w:r>
      <w:r w:rsidRPr="00FF1B50">
        <w:rPr>
          <w:i/>
          <w:iCs/>
        </w:rPr>
        <w:t>Occidental Petroleum Corp.</w:t>
      </w:r>
      <w:r w:rsidRPr="00FF1B50">
        <w:t xml:space="preserve">, 873 F.2d at 331-32. </w:t>
      </w:r>
    </w:p>
  </w:footnote>
  <w:footnote w:id="115">
    <w:p w14:paraId="320A4628" w14:textId="745680D4" w:rsidR="00092031" w:rsidRPr="00FF1B50" w:rsidRDefault="00092031" w:rsidP="00092031">
      <w:pPr>
        <w:pStyle w:val="FootnoteText"/>
      </w:pPr>
      <w:r w:rsidRPr="00FF1B50">
        <w:rPr>
          <w:rStyle w:val="FootnoteReference"/>
          <w:rFonts w:cs="Times New Roman"/>
        </w:rPr>
        <w:footnoteRef/>
      </w:r>
      <w:r w:rsidRPr="00FF1B50">
        <w:t xml:space="preserve"> There were exceptions, the most notable being the Tenth Circuit’s decision in </w:t>
      </w:r>
      <w:r w:rsidRPr="00FF1B50">
        <w:rPr>
          <w:i/>
          <w:iCs/>
        </w:rPr>
        <w:t>Bender</w:t>
      </w:r>
      <w:r w:rsidRPr="00FF1B50">
        <w:t xml:space="preserve">. There the court concluded that the collateral-order doctrine did not apply to an agency’s appeal of a remand, but that the court nonetheless had jurisdiction under a “practical application” of 28 U.S.C. § 1291 “viewed under the circumstances of each case.” 744 F.2d at 1427. But this is a distinction without a difference. The collateral-order doctrine itself arises from a notion of “practical” finality, </w:t>
      </w:r>
      <w:r w:rsidRPr="00FF1B50">
        <w:rPr>
          <w:i/>
          <w:iCs/>
        </w:rPr>
        <w:t>Cohen</w:t>
      </w:r>
      <w:r w:rsidRPr="00FF1B50">
        <w:t xml:space="preserve">, 337 U.S. at 546, meaning that the circuit courts’ prudential development of circumstances in which remands are final always boils down to a “practical construction of finality.” </w:t>
      </w:r>
      <w:r w:rsidRPr="00FF1B50">
        <w:rPr>
          <w:i/>
          <w:iCs/>
        </w:rPr>
        <w:t>Kreider Dairy Farms, Inc.</w:t>
      </w:r>
      <w:r w:rsidRPr="00FF1B50">
        <w:t>, 190 F.3d at 124 (</w:t>
      </w:r>
      <w:proofErr w:type="spellStart"/>
      <w:r w:rsidRPr="00FF1B50">
        <w:t>Sloviter</w:t>
      </w:r>
      <w:proofErr w:type="spellEnd"/>
      <w:r w:rsidRPr="00FF1B50">
        <w:t xml:space="preserve">, J., concurring); </w:t>
      </w:r>
      <w:r w:rsidRPr="00FF1B50">
        <w:rPr>
          <w:i/>
          <w:iCs/>
        </w:rPr>
        <w:t>see also</w:t>
      </w:r>
      <w:r w:rsidRPr="00FF1B50">
        <w:t xml:space="preserve"> </w:t>
      </w:r>
      <w:r w:rsidRPr="00FF1B50">
        <w:rPr>
          <w:rFonts w:eastAsia="Quattrocento"/>
        </w:rPr>
        <w:t xml:space="preserve">Lammon, </w:t>
      </w:r>
      <w:r w:rsidRPr="00FF1B50">
        <w:rPr>
          <w:rFonts w:eastAsia="Quattrocento"/>
          <w:i/>
          <w:iCs/>
        </w:rPr>
        <w:t>supra</w:t>
      </w:r>
      <w:r w:rsidRPr="00FF1B50">
        <w:rPr>
          <w:rFonts w:eastAsia="Quattrocento"/>
        </w:rPr>
        <w:t xml:space="preserve"> note </w:t>
      </w:r>
      <w:r>
        <w:rPr>
          <w:rFonts w:eastAsia="Quattrocento"/>
          <w:highlight w:val="cyan"/>
        </w:rPr>
        <w:fldChar w:fldCharType="begin"/>
      </w:r>
      <w:r>
        <w:rPr>
          <w:rFonts w:eastAsia="Quattrocento"/>
        </w:rPr>
        <w:instrText xml:space="preserve"> NOTEREF _Ref211359331 \h </w:instrText>
      </w:r>
      <w:r>
        <w:rPr>
          <w:rFonts w:eastAsia="Quattrocento"/>
          <w:highlight w:val="cyan"/>
        </w:rPr>
        <w:instrText xml:space="preserve"> \* MERGEFORMAT </w:instrText>
      </w:r>
      <w:r>
        <w:rPr>
          <w:rFonts w:eastAsia="Quattrocento"/>
          <w:highlight w:val="cyan"/>
        </w:rPr>
      </w:r>
      <w:r>
        <w:rPr>
          <w:rFonts w:eastAsia="Quattrocento"/>
          <w:highlight w:val="cyan"/>
        </w:rPr>
        <w:fldChar w:fldCharType="separate"/>
      </w:r>
      <w:r>
        <w:rPr>
          <w:rFonts w:eastAsia="Quattrocento"/>
        </w:rPr>
        <w:t>13</w:t>
      </w:r>
      <w:r>
        <w:rPr>
          <w:rFonts w:eastAsia="Quattrocento"/>
          <w:highlight w:val="cyan"/>
        </w:rPr>
        <w:fldChar w:fldCharType="end"/>
      </w:r>
      <w:r w:rsidRPr="00FF1B50">
        <w:rPr>
          <w:rFonts w:eastAsia="Quattrocento"/>
        </w:rPr>
        <w:t xml:space="preserve">, 51 </w:t>
      </w:r>
      <w:r w:rsidRPr="00177892">
        <w:rPr>
          <w:rFonts w:eastAsia="Quattrocento"/>
          <w:smallCaps/>
        </w:rPr>
        <w:t>U. Rich. L. Rev.</w:t>
      </w:r>
      <w:r w:rsidRPr="00FF1B50">
        <w:rPr>
          <w:rFonts w:eastAsia="Quattrocento"/>
        </w:rPr>
        <w:t xml:space="preserve"> at </w:t>
      </w:r>
      <w:r w:rsidRPr="00FF1B50">
        <w:t xml:space="preserve">377 (explaining that the lines between these doctrines are murky, the collateral-order doctrine is probably best understood as an application of the “practical finality” doctrine, and the collateral-order doctrine is now the most common example of </w:t>
      </w:r>
      <w:r>
        <w:t xml:space="preserve">prudential </w:t>
      </w:r>
      <w:r w:rsidRPr="00FF1B50">
        <w:t>balancing “the interests between immediate review and delaying appeals”).</w:t>
      </w:r>
    </w:p>
  </w:footnote>
  <w:footnote w:id="116">
    <w:p w14:paraId="4F3240D3" w14:textId="77777777" w:rsidR="00092031" w:rsidRPr="00FF1B50" w:rsidRDefault="00092031" w:rsidP="00092031">
      <w:pPr>
        <w:pStyle w:val="FootnoteText"/>
      </w:pPr>
      <w:r w:rsidRPr="00FF1B50">
        <w:rPr>
          <w:rStyle w:val="FootnoteReference"/>
          <w:rFonts w:cs="Times New Roman"/>
        </w:rPr>
        <w:footnoteRef/>
      </w:r>
      <w:r w:rsidRPr="00FF1B50">
        <w:t xml:space="preserve"> A consistent exception are remands of remedy orders under the Individuals with Disabilities Education Act (“IDEA”), 20 U.S.C. § 1400 </w:t>
      </w:r>
      <w:r w:rsidRPr="00FF1B50">
        <w:rPr>
          <w:i/>
          <w:iCs/>
        </w:rPr>
        <w:t>et seq.</w:t>
      </w:r>
      <w:r w:rsidRPr="00FF1B50">
        <w:t xml:space="preserve"> Such remands are not appealable, even by school districts and educational boards. </w:t>
      </w:r>
      <w:r w:rsidRPr="00FF1B50">
        <w:rPr>
          <w:i/>
          <w:iCs/>
        </w:rPr>
        <w:t>See, e.g.</w:t>
      </w:r>
      <w:r w:rsidRPr="00FF1B50">
        <w:t xml:space="preserve">, </w:t>
      </w:r>
      <w:r w:rsidRPr="00FF1B50">
        <w:rPr>
          <w:i/>
          <w:iCs/>
        </w:rPr>
        <w:t>S.S. by and through A.S. v. Cobb Cnty. Sch. Dist.</w:t>
      </w:r>
      <w:r w:rsidRPr="00FF1B50">
        <w:t xml:space="preserve">, 43 F.4th 1165, 1171 (11th Cir. 2022) (collecting cases); </w:t>
      </w:r>
      <w:r w:rsidRPr="00FF1B50">
        <w:rPr>
          <w:i/>
          <w:iCs/>
        </w:rPr>
        <w:t>C.W. by and through B.W.</w:t>
      </w:r>
      <w:r w:rsidRPr="00FF1B50">
        <w:t xml:space="preserve">, 994 F.3d at 1222; </w:t>
      </w:r>
      <w:r w:rsidRPr="00FF1B50">
        <w:rPr>
          <w:i/>
          <w:iCs/>
        </w:rPr>
        <w:t>Shapiro v. Paradise Valley Unified Sch. Dist.</w:t>
      </w:r>
      <w:r w:rsidRPr="00FF1B50">
        <w:t xml:space="preserve">, 152 F.3d 1159, 1160-61 (9th Cir. 1998) (per curiam). Another, less consistent exception are remands to Employee Retirement Income Security Act (“ERISA”) administrators. Some circuits allow appeals by administrators while others do not. </w:t>
      </w:r>
      <w:r w:rsidRPr="00FF1B50">
        <w:rPr>
          <w:i/>
          <w:iCs/>
        </w:rPr>
        <w:t>See, e.g.</w:t>
      </w:r>
      <w:r w:rsidRPr="00FF1B50">
        <w:t xml:space="preserve">, </w:t>
      </w:r>
      <w:r w:rsidRPr="00FF1B50">
        <w:rPr>
          <w:i/>
          <w:iCs/>
        </w:rPr>
        <w:t xml:space="preserve">Mead v. </w:t>
      </w:r>
      <w:proofErr w:type="spellStart"/>
      <w:r w:rsidRPr="00FF1B50">
        <w:rPr>
          <w:i/>
          <w:iCs/>
        </w:rPr>
        <w:t>Reliastar</w:t>
      </w:r>
      <w:proofErr w:type="spellEnd"/>
      <w:r w:rsidRPr="00FF1B50">
        <w:rPr>
          <w:i/>
          <w:iCs/>
        </w:rPr>
        <w:t xml:space="preserve"> Life Ins. Co.</w:t>
      </w:r>
      <w:r w:rsidRPr="00FF1B50">
        <w:t xml:space="preserve">, 768 F.3d 102, 108 (2d Cir. 2014) (discussing circuits’ differing approaches). Finally, there are rare, ad hoc exceptions. </w:t>
      </w:r>
      <w:r w:rsidRPr="00FF1B50">
        <w:rPr>
          <w:i/>
          <w:iCs/>
        </w:rPr>
        <w:t>See, e.g.,</w:t>
      </w:r>
      <w:r w:rsidRPr="00FF1B50">
        <w:t xml:space="preserve"> </w:t>
      </w:r>
      <w:r w:rsidRPr="00FF1B50">
        <w:rPr>
          <w:i/>
          <w:iCs/>
        </w:rPr>
        <w:t>World Fuel Corp. v. Geithner</w:t>
      </w:r>
      <w:r w:rsidRPr="00FF1B50">
        <w:t xml:space="preserve">, 568 F.3d 1345, 1349 (11th Cir. 2009) (Office of Foreign Assets Control in U.S. Treasury Department could not appeal remand directing it to develop new legal standard under the International Emergency Economic Powers Act); </w:t>
      </w:r>
      <w:r w:rsidRPr="00FF1B50">
        <w:rPr>
          <w:i/>
          <w:iCs/>
        </w:rPr>
        <w:t>see also</w:t>
      </w:r>
      <w:r w:rsidRPr="00FF1B50">
        <w:t xml:space="preserve"> </w:t>
      </w:r>
      <w:r w:rsidRPr="00FF1B50">
        <w:rPr>
          <w:i/>
          <w:iCs/>
        </w:rPr>
        <w:t>Miami Tribe of Okla. v. United States</w:t>
      </w:r>
      <w:r w:rsidRPr="00FF1B50">
        <w:t xml:space="preserve">, 656 F.3d 1129, 1140 (10th Cir. 2011) (explaining that prior remand would not have been appealable by agency because it contemplated further district-court proceedings); </w:t>
      </w:r>
      <w:r w:rsidRPr="00FF1B50">
        <w:rPr>
          <w:i/>
          <w:iCs/>
        </w:rPr>
        <w:t xml:space="preserve">Nat’l Air Traffic Controllers </w:t>
      </w:r>
      <w:proofErr w:type="spellStart"/>
      <w:r w:rsidRPr="00FF1B50">
        <w:rPr>
          <w:i/>
          <w:iCs/>
        </w:rPr>
        <w:t>Ass’n</w:t>
      </w:r>
      <w:proofErr w:type="spellEnd"/>
      <w:r w:rsidRPr="00FF1B50">
        <w:rPr>
          <w:i/>
          <w:iCs/>
        </w:rPr>
        <w:t> v. Sec’y of Transp.</w:t>
      </w:r>
      <w:r w:rsidRPr="00FF1B50">
        <w:t>, No. 06-3466, 2007 WL 2141941, *3 (6th Cir. 2007) (per curiam) (in rejecting appeal of remand by plaintiffs, stating that even the agency would not be able to appeal given the limited nature of the remand).</w:t>
      </w:r>
    </w:p>
  </w:footnote>
  <w:footnote w:id="117">
    <w:p w14:paraId="55EDC5C1" w14:textId="0D47A8A3"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w:t>
      </w:r>
      <w:r>
        <w:rPr>
          <w:i/>
          <w:iCs/>
        </w:rPr>
        <w:t>supra</w:t>
      </w:r>
      <w:r w:rsidRPr="00FF1B50">
        <w:t xml:space="preserve"> </w:t>
      </w:r>
      <w:r>
        <w:t xml:space="preserve">notes </w:t>
      </w:r>
      <w:r>
        <w:fldChar w:fldCharType="begin"/>
      </w:r>
      <w:r>
        <w:instrText xml:space="preserve"> NOTEREF _Ref211359415 \h  \* MERGEFORMAT </w:instrText>
      </w:r>
      <w:r>
        <w:fldChar w:fldCharType="separate"/>
      </w:r>
      <w:r>
        <w:t>98</w:t>
      </w:r>
      <w:r>
        <w:fldChar w:fldCharType="end"/>
      </w:r>
      <w:r>
        <w:t>-</w:t>
      </w:r>
      <w:r>
        <w:fldChar w:fldCharType="begin"/>
      </w:r>
      <w:r>
        <w:instrText xml:space="preserve"> NOTEREF _Ref211359531 \h  \* MERGEFORMAT </w:instrText>
      </w:r>
      <w:r>
        <w:fldChar w:fldCharType="separate"/>
      </w:r>
      <w:r>
        <w:t>115</w:t>
      </w:r>
      <w:r>
        <w:fldChar w:fldCharType="end"/>
      </w:r>
      <w:r>
        <w:t xml:space="preserve"> </w:t>
      </w:r>
      <w:r w:rsidRPr="00FF1B50">
        <w:t xml:space="preserve">and accompanying text. The single exception is the Tenth Circuit’s decision in </w:t>
      </w:r>
      <w:r w:rsidRPr="00FF1B50">
        <w:rPr>
          <w:i/>
          <w:iCs/>
        </w:rPr>
        <w:t>Cotton Petroleum Corp. v. U.S. Dep’t of the Interior, Bureau of Indian Affairs</w:t>
      </w:r>
      <w:r w:rsidRPr="00FF1B50">
        <w:t xml:space="preserve">, 870 F.2d 1515, 1521-22 (10th Cir. 1989) (applying Tenth Circuit’s test to allow appeal of remand by plaintiffs); </w:t>
      </w:r>
      <w:r w:rsidRPr="00FF1B50">
        <w:rPr>
          <w:i/>
          <w:iCs/>
        </w:rPr>
        <w:t>see also infra</w:t>
      </w:r>
      <w:r w:rsidRPr="00FF1B50">
        <w:t xml:space="preserve"> notes</w:t>
      </w:r>
      <w:r>
        <w:t xml:space="preserve"> </w:t>
      </w:r>
      <w:r>
        <w:fldChar w:fldCharType="begin"/>
      </w:r>
      <w:r>
        <w:instrText xml:space="preserve"> NOTEREF _Ref211359555 \h  \* MERGEFORMAT </w:instrText>
      </w:r>
      <w:r>
        <w:fldChar w:fldCharType="separate"/>
      </w:r>
      <w:r>
        <w:t>177</w:t>
      </w:r>
      <w:r>
        <w:fldChar w:fldCharType="end"/>
      </w:r>
      <w:r>
        <w:t xml:space="preserve">, </w:t>
      </w:r>
      <w:r>
        <w:fldChar w:fldCharType="begin"/>
      </w:r>
      <w:r>
        <w:instrText xml:space="preserve"> NOTEREF _Ref211359114 \h  \* MERGEFORMAT </w:instrText>
      </w:r>
      <w:r>
        <w:fldChar w:fldCharType="separate"/>
      </w:r>
      <w:r>
        <w:t>194</w:t>
      </w:r>
      <w:r>
        <w:fldChar w:fldCharType="end"/>
      </w:r>
      <w:r>
        <w:t xml:space="preserve">, </w:t>
      </w:r>
      <w:r>
        <w:fldChar w:fldCharType="begin"/>
      </w:r>
      <w:r>
        <w:instrText xml:space="preserve"> NOTEREF _Ref211359580 \h  \* MERGEFORMAT </w:instrText>
      </w:r>
      <w:r>
        <w:fldChar w:fldCharType="separate"/>
      </w:r>
      <w:r>
        <w:t>325</w:t>
      </w:r>
      <w:r>
        <w:fldChar w:fldCharType="end"/>
      </w:r>
      <w:r>
        <w:t xml:space="preserve"> and accompanying text </w:t>
      </w:r>
      <w:r w:rsidRPr="00FF1B50">
        <w:t xml:space="preserve">(discussing </w:t>
      </w:r>
      <w:r w:rsidRPr="00FF1B50">
        <w:rPr>
          <w:i/>
          <w:iCs/>
        </w:rPr>
        <w:t>Cotton Petroleum</w:t>
      </w:r>
      <w:r w:rsidRPr="00FF1B50">
        <w:t xml:space="preserve"> and its significance).</w:t>
      </w:r>
    </w:p>
  </w:footnote>
  <w:footnote w:id="118">
    <w:p w14:paraId="1DC8548F" w14:textId="261966B3"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_Ref211359611 \h  \* MERGEFORMAT </w:instrText>
      </w:r>
      <w:r>
        <w:fldChar w:fldCharType="separate"/>
      </w:r>
      <w:r>
        <w:t>134</w:t>
      </w:r>
      <w:r>
        <w:fldChar w:fldCharType="end"/>
      </w:r>
      <w:r>
        <w:t>-</w:t>
      </w:r>
      <w:r>
        <w:fldChar w:fldCharType="begin"/>
      </w:r>
      <w:r>
        <w:instrText xml:space="preserve"> NOTEREF _Ref211359114 \h  \* MERGEFORMAT </w:instrText>
      </w:r>
      <w:r>
        <w:fldChar w:fldCharType="separate"/>
      </w:r>
      <w:r>
        <w:t>194</w:t>
      </w:r>
      <w:r>
        <w:fldChar w:fldCharType="end"/>
      </w:r>
      <w:r>
        <w:t xml:space="preserve"> </w:t>
      </w:r>
      <w:r w:rsidRPr="00FF1B50">
        <w:t>and accompanying text.</w:t>
      </w:r>
    </w:p>
  </w:footnote>
  <w:footnote w:id="119">
    <w:p w14:paraId="2960A47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w:t>
      </w:r>
      <w:r>
        <w:rPr>
          <w:i/>
          <w:iCs/>
        </w:rPr>
        <w:t>id</w:t>
      </w:r>
      <w:r w:rsidRPr="00FF1B50">
        <w:t>.</w:t>
      </w:r>
    </w:p>
  </w:footnote>
  <w:footnote w:id="120">
    <w:p w14:paraId="7B91B9F3" w14:textId="77777777" w:rsidR="00092031" w:rsidRPr="00FF1B50" w:rsidRDefault="00092031" w:rsidP="00092031">
      <w:pPr>
        <w:pStyle w:val="FootnoteText"/>
      </w:pPr>
      <w:r w:rsidRPr="00FF1B50">
        <w:rPr>
          <w:rStyle w:val="FootnoteReference"/>
          <w:rFonts w:cs="Times New Roman"/>
        </w:rPr>
        <w:footnoteRef/>
      </w:r>
      <w:r w:rsidRPr="00FF1B50">
        <w:t xml:space="preserve"> Billboard Top 100, </w:t>
      </w:r>
      <w:r w:rsidRPr="00FF1B50">
        <w:rPr>
          <w:i/>
          <w:iCs/>
        </w:rPr>
        <w:t>Top Pop Singles</w:t>
      </w:r>
      <w:r w:rsidRPr="00FF1B50">
        <w:t xml:space="preserve"> (Dec. 26, 1987), </w:t>
      </w:r>
      <w:hyperlink r:id="rId3" w:anchor="v=onepage&amp;q&amp;f=false" w:history="1">
        <w:r w:rsidRPr="00FF1B50">
          <w:rPr>
            <w:rStyle w:val="Hyperlink"/>
            <w:rFonts w:cs="Times New Roman"/>
          </w:rPr>
          <w:t>https://books.google.com/books?id=JCgEAAAAMBAJ&amp;pg=RA1-PA25#v=onepage&amp;q&amp;f=false</w:t>
        </w:r>
      </w:hyperlink>
      <w:r w:rsidRPr="00FF1B50">
        <w:t xml:space="preserve">; Billboard Top 100, Top Pop Singles (Dec. 25, 1976), </w:t>
      </w:r>
      <w:hyperlink r:id="rId4" w:anchor="v=onepage&amp;q&amp;f=false" w:history="1">
        <w:r w:rsidRPr="00FF1B50">
          <w:rPr>
            <w:rStyle w:val="Hyperlink"/>
            <w:rFonts w:cs="Times New Roman"/>
          </w:rPr>
          <w:t>https://books.google.com/books?id=xCQEAAAAMBAJ&amp;pg=PT43#v=onepage&amp;q&amp;f=false</w:t>
        </w:r>
      </w:hyperlink>
      <w:r w:rsidRPr="00FF1B50">
        <w:t xml:space="preserve">. </w:t>
      </w:r>
    </w:p>
  </w:footnote>
  <w:footnote w:id="121">
    <w:p w14:paraId="209787E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AJA Assocs.</w:t>
      </w:r>
      <w:r w:rsidRPr="00FF1B50">
        <w:t xml:space="preserve">, 817 F.2d at 1073; </w:t>
      </w:r>
      <w:proofErr w:type="spellStart"/>
      <w:r w:rsidRPr="00FF1B50">
        <w:rPr>
          <w:i/>
          <w:iCs/>
        </w:rPr>
        <w:t>Bachowski</w:t>
      </w:r>
      <w:proofErr w:type="spellEnd"/>
      <w:r w:rsidRPr="00FF1B50">
        <w:t>, 545 F.2d at 373 n.62.</w:t>
      </w:r>
    </w:p>
  </w:footnote>
  <w:footnote w:id="122">
    <w:p w14:paraId="70448C1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Harper</w:t>
      </w:r>
      <w:r w:rsidRPr="00FF1B50">
        <w:t>, 854 F.2d at 680-81.</w:t>
      </w:r>
    </w:p>
  </w:footnote>
  <w:footnote w:id="123">
    <w:p w14:paraId="10BF47E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Stone</w:t>
      </w:r>
      <w:r w:rsidRPr="00FF1B50">
        <w:t xml:space="preserve">, 722 F.2d at 467; </w:t>
      </w:r>
      <w:r w:rsidRPr="00FF1B50">
        <w:rPr>
          <w:i/>
          <w:iCs/>
        </w:rPr>
        <w:t>Regents of the Univ. of Calif.</w:t>
      </w:r>
      <w:r w:rsidRPr="00FF1B50">
        <w:t>, 771 F.2d at 1187.</w:t>
      </w:r>
    </w:p>
  </w:footnote>
  <w:footnote w:id="124">
    <w:p w14:paraId="1535C122"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proofErr w:type="spellStart"/>
      <w:r w:rsidRPr="00FF1B50">
        <w:rPr>
          <w:i/>
          <w:iCs/>
          <w:lang w:val="da-DK"/>
        </w:rPr>
        <w:t>Eluska</w:t>
      </w:r>
      <w:proofErr w:type="spellEnd"/>
      <w:r w:rsidRPr="00FF1B50">
        <w:rPr>
          <w:lang w:val="da-DK"/>
        </w:rPr>
        <w:t>, 587 F.2d at 999.</w:t>
      </w:r>
    </w:p>
  </w:footnote>
  <w:footnote w:id="125">
    <w:p w14:paraId="4A3EFDE2"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proofErr w:type="spellStart"/>
      <w:r w:rsidRPr="00FF1B50">
        <w:rPr>
          <w:i/>
          <w:iCs/>
          <w:lang w:val="da-DK"/>
        </w:rPr>
        <w:t>Paluso</w:t>
      </w:r>
      <w:proofErr w:type="spellEnd"/>
      <w:r w:rsidRPr="00FF1B50">
        <w:rPr>
          <w:lang w:val="da-DK"/>
        </w:rPr>
        <w:t xml:space="preserve">, 573 F.2d at 8; </w:t>
      </w:r>
      <w:r w:rsidRPr="00FF1B50">
        <w:rPr>
          <w:i/>
          <w:iCs/>
          <w:lang w:val="da-DK"/>
        </w:rPr>
        <w:t>Bender</w:t>
      </w:r>
      <w:r w:rsidRPr="00FF1B50">
        <w:rPr>
          <w:lang w:val="da-DK"/>
        </w:rPr>
        <w:t>, 744 F.2d at 1427-28.</w:t>
      </w:r>
    </w:p>
  </w:footnote>
  <w:footnote w:id="126">
    <w:p w14:paraId="6D9E9A58" w14:textId="1DEC0484" w:rsidR="00092031" w:rsidRPr="00FF1B50" w:rsidRDefault="00092031" w:rsidP="00092031">
      <w:pPr>
        <w:pStyle w:val="FootnoteText"/>
      </w:pPr>
      <w:r w:rsidRPr="00FF1B50">
        <w:rPr>
          <w:rStyle w:val="FootnoteReference"/>
          <w:rFonts w:cs="Times New Roman"/>
        </w:rPr>
        <w:footnoteRef/>
      </w:r>
      <w:r w:rsidRPr="00FF1B50">
        <w:t xml:space="preserve"> </w:t>
      </w:r>
      <w:r w:rsidRPr="00437F0E">
        <w:rPr>
          <w:i/>
          <w:iCs/>
        </w:rPr>
        <w:t>See supra</w:t>
      </w:r>
      <w:r>
        <w:t xml:space="preserve"> notes </w:t>
      </w:r>
      <w:r>
        <w:fldChar w:fldCharType="begin"/>
      </w:r>
      <w:r>
        <w:instrText xml:space="preserve"> NOTEREF _Ref211359415 \h  \* MERGEFORMAT </w:instrText>
      </w:r>
      <w:r>
        <w:fldChar w:fldCharType="separate"/>
      </w:r>
      <w:r>
        <w:t>98</w:t>
      </w:r>
      <w:r>
        <w:fldChar w:fldCharType="end"/>
      </w:r>
      <w:r>
        <w:t>-</w:t>
      </w:r>
      <w:r>
        <w:fldChar w:fldCharType="begin"/>
      </w:r>
      <w:r>
        <w:instrText xml:space="preserve"> NOTEREF _Ref211359531 \h  \* MERGEFORMAT </w:instrText>
      </w:r>
      <w:r>
        <w:fldChar w:fldCharType="separate"/>
      </w:r>
      <w:r>
        <w:t>115</w:t>
      </w:r>
      <w:r>
        <w:fldChar w:fldCharType="end"/>
      </w:r>
      <w:r>
        <w:t xml:space="preserve"> and accompanying text.</w:t>
      </w:r>
    </w:p>
  </w:footnote>
  <w:footnote w:id="127">
    <w:p w14:paraId="78941A9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Stone</w:t>
      </w:r>
      <w:r w:rsidRPr="00FF1B50">
        <w:t xml:space="preserve">, 722 F.2d at 467 (Ninth Circuit holding that remand to apply new legal standard was appealable, and collecting cases showing different outcomes based on nature of remands); </w:t>
      </w:r>
      <w:r w:rsidRPr="00FF1B50">
        <w:rPr>
          <w:i/>
          <w:iCs/>
        </w:rPr>
        <w:t>Howell</w:t>
      </w:r>
      <w:r w:rsidRPr="00FF1B50">
        <w:t xml:space="preserve">, 699 F.2d at 526 (Eleventh Circuit holding that remand was not appealable partly because the agency simply had to employ a vocational expert on remand); </w:t>
      </w:r>
      <w:proofErr w:type="spellStart"/>
      <w:r w:rsidRPr="00FF1B50">
        <w:rPr>
          <w:i/>
          <w:iCs/>
        </w:rPr>
        <w:t>Gueory</w:t>
      </w:r>
      <w:proofErr w:type="spellEnd"/>
      <w:r w:rsidRPr="00FF1B50">
        <w:t xml:space="preserve">, 510 F.2d at 1224-25 (D.C. Circuit holding that remand was appealable partly because it required the agency, as a matter of law, to make a certain finding); </w:t>
      </w:r>
      <w:r w:rsidRPr="00FF1B50">
        <w:rPr>
          <w:i/>
          <w:iCs/>
        </w:rPr>
        <w:t>Gold</w:t>
      </w:r>
      <w:r w:rsidRPr="00FF1B50">
        <w:t xml:space="preserve">, 473 F.2d at 1378 (Fifth Circuit holding that remand was appealable partly because it imposed new </w:t>
      </w:r>
      <w:r>
        <w:t xml:space="preserve">agency </w:t>
      </w:r>
      <w:r w:rsidRPr="00FF1B50">
        <w:t>procedures).</w:t>
      </w:r>
    </w:p>
  </w:footnote>
  <w:footnote w:id="128">
    <w:p w14:paraId="64CD70B7" w14:textId="03C505BD"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_Ref211359415 \h  \* MERGEFORMAT </w:instrText>
      </w:r>
      <w:r>
        <w:fldChar w:fldCharType="separate"/>
      </w:r>
      <w:r>
        <w:t>98</w:t>
      </w:r>
      <w:r>
        <w:fldChar w:fldCharType="end"/>
      </w:r>
      <w:r>
        <w:t>-</w:t>
      </w:r>
      <w:r>
        <w:fldChar w:fldCharType="begin"/>
      </w:r>
      <w:r>
        <w:instrText xml:space="preserve"> NOTEREF _Ref211359531 \h  \* MERGEFORMAT </w:instrText>
      </w:r>
      <w:r>
        <w:fldChar w:fldCharType="separate"/>
      </w:r>
      <w:r>
        <w:t>115</w:t>
      </w:r>
      <w:r>
        <w:fldChar w:fldCharType="end"/>
      </w:r>
      <w:r>
        <w:t xml:space="preserve"> </w:t>
      </w:r>
      <w:r w:rsidRPr="00FF1B50">
        <w:t>and accompanying text.</w:t>
      </w:r>
    </w:p>
  </w:footnote>
  <w:footnote w:id="129">
    <w:p w14:paraId="386A168A" w14:textId="333419EC" w:rsidR="00092031" w:rsidRPr="00FF1B50" w:rsidRDefault="00092031" w:rsidP="00092031">
      <w:pPr>
        <w:pStyle w:val="FootnoteText"/>
      </w:pPr>
      <w:r w:rsidRPr="00FF1B50">
        <w:rPr>
          <w:rStyle w:val="FootnoteReference"/>
          <w:rFonts w:cs="Times New Roman"/>
        </w:rPr>
        <w:footnoteRef/>
      </w:r>
      <w:r w:rsidRPr="00FF1B50">
        <w:t xml:space="preserve"> </w:t>
      </w:r>
      <w:r w:rsidRPr="007940B1">
        <w:rPr>
          <w:i/>
          <w:iCs/>
        </w:rPr>
        <w:t>See, e.g.</w:t>
      </w:r>
      <w:r>
        <w:t xml:space="preserve">, </w:t>
      </w:r>
      <w:r w:rsidRPr="00FF1B50">
        <w:rPr>
          <w:i/>
          <w:iCs/>
        </w:rPr>
        <w:t>supra</w:t>
      </w:r>
      <w:r w:rsidRPr="00FF1B50">
        <w:t xml:space="preserve"> note </w:t>
      </w:r>
      <w:r>
        <w:rPr>
          <w:highlight w:val="cyan"/>
        </w:rPr>
        <w:fldChar w:fldCharType="begin"/>
      </w:r>
      <w:r>
        <w:instrText xml:space="preserve"> NOTEREF _Ref211359026 \h </w:instrText>
      </w:r>
      <w:r>
        <w:rPr>
          <w:highlight w:val="cyan"/>
        </w:rPr>
        <w:instrText xml:space="preserve"> \* MERGEFORMAT </w:instrText>
      </w:r>
      <w:r>
        <w:rPr>
          <w:highlight w:val="cyan"/>
        </w:rPr>
      </w:r>
      <w:r>
        <w:rPr>
          <w:highlight w:val="cyan"/>
        </w:rPr>
        <w:fldChar w:fldCharType="separate"/>
      </w:r>
      <w:r>
        <w:t>51</w:t>
      </w:r>
      <w:r>
        <w:rPr>
          <w:highlight w:val="cyan"/>
        </w:rPr>
        <w:fldChar w:fldCharType="end"/>
      </w:r>
      <w:r>
        <w:t xml:space="preserve"> and accompanying text</w:t>
      </w:r>
      <w:r w:rsidRPr="00FF1B50">
        <w:t>. Professor Lammon explains that</w:t>
      </w:r>
      <w:r>
        <w:t xml:space="preserve"> </w:t>
      </w:r>
      <w:r w:rsidRPr="00FF1B50">
        <w:t xml:space="preserve">the courts of appeals </w:t>
      </w:r>
      <w:r>
        <w:t>continue</w:t>
      </w:r>
      <w:r w:rsidRPr="00FF1B50">
        <w:t xml:space="preserve"> to rely on a mix of case-by-case balancing, “practical finality,” and the collateral-order doctrine to determine their jurisdiction over appeals from district-court orders. </w:t>
      </w:r>
      <w:r w:rsidRPr="00FF1B50">
        <w:rPr>
          <w:rFonts w:eastAsia="Quattrocento"/>
        </w:rPr>
        <w:t xml:space="preserve">Lammon, </w:t>
      </w:r>
      <w:r w:rsidRPr="00FF1B50">
        <w:rPr>
          <w:rFonts w:eastAsia="Quattrocento"/>
          <w:i/>
          <w:iCs/>
        </w:rPr>
        <w:t>supra</w:t>
      </w:r>
      <w:r w:rsidRPr="00FF1B50">
        <w:rPr>
          <w:rFonts w:eastAsia="Quattrocento"/>
        </w:rPr>
        <w:t xml:space="preserve"> note </w:t>
      </w:r>
      <w:r>
        <w:rPr>
          <w:rFonts w:eastAsia="Quattrocento"/>
          <w:highlight w:val="cyan"/>
        </w:rPr>
        <w:fldChar w:fldCharType="begin"/>
      </w:r>
      <w:r>
        <w:rPr>
          <w:rFonts w:eastAsia="Quattrocento"/>
        </w:rPr>
        <w:instrText xml:space="preserve"> NOTEREF _Ref211359331 \h </w:instrText>
      </w:r>
      <w:r>
        <w:rPr>
          <w:rFonts w:eastAsia="Quattrocento"/>
          <w:highlight w:val="cyan"/>
        </w:rPr>
        <w:instrText xml:space="preserve"> \* MERGEFORMAT </w:instrText>
      </w:r>
      <w:r>
        <w:rPr>
          <w:rFonts w:eastAsia="Quattrocento"/>
          <w:highlight w:val="cyan"/>
        </w:rPr>
      </w:r>
      <w:r>
        <w:rPr>
          <w:rFonts w:eastAsia="Quattrocento"/>
          <w:highlight w:val="cyan"/>
        </w:rPr>
        <w:fldChar w:fldCharType="separate"/>
      </w:r>
      <w:r>
        <w:rPr>
          <w:rFonts w:eastAsia="Quattrocento"/>
        </w:rPr>
        <w:t>13</w:t>
      </w:r>
      <w:r>
        <w:rPr>
          <w:rFonts w:eastAsia="Quattrocento"/>
          <w:highlight w:val="cyan"/>
        </w:rPr>
        <w:fldChar w:fldCharType="end"/>
      </w:r>
      <w:r w:rsidRPr="00FF1B50">
        <w:rPr>
          <w:rFonts w:eastAsia="Quattrocento"/>
        </w:rPr>
        <w:t xml:space="preserve">, 51 </w:t>
      </w:r>
      <w:r w:rsidRPr="00F6080E">
        <w:rPr>
          <w:rFonts w:eastAsia="Quattrocento"/>
          <w:smallCaps/>
        </w:rPr>
        <w:t>U. Rich. L. Rev.</w:t>
      </w:r>
      <w:r w:rsidRPr="00FF1B50">
        <w:rPr>
          <w:rFonts w:eastAsia="Quattrocento"/>
        </w:rPr>
        <w:t xml:space="preserve"> at </w:t>
      </w:r>
      <w:r w:rsidRPr="00FF1B50">
        <w:t xml:space="preserve">411. </w:t>
      </w:r>
    </w:p>
  </w:footnote>
  <w:footnote w:id="130">
    <w:p w14:paraId="58EF81D9" w14:textId="75C5CE38"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_Ref211359899 \h  \* MERGEFORMAT </w:instrText>
      </w:r>
      <w:r>
        <w:fldChar w:fldCharType="separate"/>
      </w:r>
      <w:r>
        <w:t>183</w:t>
      </w:r>
      <w:r>
        <w:fldChar w:fldCharType="end"/>
      </w:r>
      <w:r>
        <w:t>-</w:t>
      </w:r>
      <w:r>
        <w:fldChar w:fldCharType="begin"/>
      </w:r>
      <w:r>
        <w:instrText xml:space="preserve"> NOTEREF _Ref211359907 \h  \* MERGEFORMAT </w:instrText>
      </w:r>
      <w:r>
        <w:fldChar w:fldCharType="separate"/>
      </w:r>
      <w:r>
        <w:t>185</w:t>
      </w:r>
      <w:r>
        <w:fldChar w:fldCharType="end"/>
      </w:r>
      <w:r>
        <w:t xml:space="preserve"> </w:t>
      </w:r>
      <w:r w:rsidRPr="00FF1B50">
        <w:t>and accompanying text.</w:t>
      </w:r>
    </w:p>
  </w:footnote>
  <w:footnote w:id="131">
    <w:p w14:paraId="77555A3D" w14:textId="4E190D2A"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_Ref211359924 \h  \* MERGEFORMAT </w:instrText>
      </w:r>
      <w:r>
        <w:fldChar w:fldCharType="separate"/>
      </w:r>
      <w:r>
        <w:t>186</w:t>
      </w:r>
      <w:r>
        <w:fldChar w:fldCharType="end"/>
      </w:r>
      <w:r>
        <w:t>-</w:t>
      </w:r>
      <w:r>
        <w:fldChar w:fldCharType="begin"/>
      </w:r>
      <w:r>
        <w:instrText xml:space="preserve"> NOTEREF _Ref211359939 \h  \* MERGEFORMAT </w:instrText>
      </w:r>
      <w:r>
        <w:fldChar w:fldCharType="separate"/>
      </w:r>
      <w:r>
        <w:t>187</w:t>
      </w:r>
      <w:r>
        <w:fldChar w:fldCharType="end"/>
      </w:r>
      <w:r>
        <w:t xml:space="preserve"> </w:t>
      </w:r>
      <w:r w:rsidRPr="00FF1B50">
        <w:t>and accompanying text.</w:t>
      </w:r>
    </w:p>
  </w:footnote>
  <w:footnote w:id="132">
    <w:p w14:paraId="2073D265" w14:textId="7DACB9A9" w:rsidR="00092031" w:rsidRPr="00FF1B50" w:rsidRDefault="00092031" w:rsidP="00092031">
      <w:pPr>
        <w:pStyle w:val="FootnoteText"/>
        <w:rPr>
          <w:b/>
          <w:bCs/>
        </w:rPr>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notes </w:t>
      </w:r>
      <w:r>
        <w:fldChar w:fldCharType="begin"/>
      </w:r>
      <w:r>
        <w:instrText xml:space="preserve"> NOTEREF _Ref211359105 \h  \* MERGEFORMAT </w:instrText>
      </w:r>
      <w:r>
        <w:fldChar w:fldCharType="separate"/>
      </w:r>
      <w:r>
        <w:t>193</w:t>
      </w:r>
      <w:r>
        <w:fldChar w:fldCharType="end"/>
      </w:r>
      <w:r>
        <w:t>-</w:t>
      </w:r>
      <w:r>
        <w:fldChar w:fldCharType="begin"/>
      </w:r>
      <w:r>
        <w:instrText xml:space="preserve"> NOTEREF _Ref211359114 \h  \* MERGEFORMAT </w:instrText>
      </w:r>
      <w:r>
        <w:fldChar w:fldCharType="separate"/>
      </w:r>
      <w:r>
        <w:t>194</w:t>
      </w:r>
      <w:r>
        <w:fldChar w:fldCharType="end"/>
      </w:r>
      <w:r>
        <w:t xml:space="preserve">, </w:t>
      </w:r>
      <w:r>
        <w:fldChar w:fldCharType="begin"/>
      </w:r>
      <w:r>
        <w:instrText xml:space="preserve"> NOTEREF _Ref211359132 \h  \* MERGEFORMAT </w:instrText>
      </w:r>
      <w:r>
        <w:fldChar w:fldCharType="separate"/>
      </w:r>
      <w:r>
        <w:t>262</w:t>
      </w:r>
      <w:r>
        <w:fldChar w:fldCharType="end"/>
      </w:r>
      <w:r>
        <w:t>-</w:t>
      </w:r>
      <w:r>
        <w:fldChar w:fldCharType="begin"/>
      </w:r>
      <w:r>
        <w:instrText xml:space="preserve"> NOTEREF _Ref211359143 \h  \* MERGEFORMAT </w:instrText>
      </w:r>
      <w:r>
        <w:fldChar w:fldCharType="separate"/>
      </w:r>
      <w:r>
        <w:t>270</w:t>
      </w:r>
      <w:r>
        <w:fldChar w:fldCharType="end"/>
      </w:r>
      <w:r>
        <w:t xml:space="preserve"> </w:t>
      </w:r>
      <w:r w:rsidRPr="00FF1B50">
        <w:t>and accompanying text.</w:t>
      </w:r>
    </w:p>
  </w:footnote>
  <w:footnote w:id="133">
    <w:p w14:paraId="165B2650" w14:textId="60F8C2BA" w:rsidR="00092031" w:rsidRPr="00FF1B50" w:rsidRDefault="00092031" w:rsidP="00092031">
      <w:pPr>
        <w:pStyle w:val="FootnoteText"/>
      </w:pPr>
      <w:r w:rsidRPr="00FF1B50">
        <w:rPr>
          <w:rStyle w:val="FootnoteReference"/>
          <w:rFonts w:cs="Times New Roman"/>
        </w:rPr>
        <w:footnoteRef/>
      </w:r>
      <w:r w:rsidRPr="00FF1B50">
        <w:t xml:space="preserve"> Professor Lammon does a heroic job of explaining the relationship between finality, practical finality, </w:t>
      </w:r>
      <w:r w:rsidRPr="00FF1B50">
        <w:rPr>
          <w:i/>
          <w:iCs/>
        </w:rPr>
        <w:t>Gillespie</w:t>
      </w:r>
      <w:r w:rsidRPr="00FF1B50">
        <w:t xml:space="preserve"> case-by-case balancing, and the collateral-order doctrine. </w:t>
      </w:r>
      <w:r w:rsidRPr="00FF1B50">
        <w:rPr>
          <w:i/>
          <w:iCs/>
        </w:rPr>
        <w:t>See</w:t>
      </w:r>
      <w:r w:rsidRPr="00FF1B50">
        <w:t xml:space="preserve"> </w:t>
      </w:r>
      <w:r w:rsidRPr="00FF1B50">
        <w:rPr>
          <w:rFonts w:eastAsia="Quattrocento"/>
        </w:rPr>
        <w:t xml:space="preserve">Lammon, </w:t>
      </w:r>
      <w:r w:rsidRPr="00FF1B50">
        <w:rPr>
          <w:rFonts w:eastAsia="Quattrocento"/>
          <w:i/>
          <w:iCs/>
        </w:rPr>
        <w:t>supra</w:t>
      </w:r>
      <w:r w:rsidRPr="00FF1B50">
        <w:rPr>
          <w:rFonts w:eastAsia="Quattrocento"/>
        </w:rPr>
        <w:t xml:space="preserve"> note </w:t>
      </w:r>
      <w:r>
        <w:rPr>
          <w:rFonts w:eastAsia="Quattrocento"/>
          <w:highlight w:val="cyan"/>
        </w:rPr>
        <w:fldChar w:fldCharType="begin"/>
      </w:r>
      <w:r>
        <w:rPr>
          <w:rFonts w:eastAsia="Quattrocento"/>
        </w:rPr>
        <w:instrText xml:space="preserve"> NOTEREF _Ref211359331 \h </w:instrText>
      </w:r>
      <w:r>
        <w:rPr>
          <w:rFonts w:eastAsia="Quattrocento"/>
          <w:highlight w:val="cyan"/>
        </w:rPr>
        <w:instrText xml:space="preserve"> \* MERGEFORMAT </w:instrText>
      </w:r>
      <w:r>
        <w:rPr>
          <w:rFonts w:eastAsia="Quattrocento"/>
          <w:highlight w:val="cyan"/>
        </w:rPr>
      </w:r>
      <w:r>
        <w:rPr>
          <w:rFonts w:eastAsia="Quattrocento"/>
          <w:highlight w:val="cyan"/>
        </w:rPr>
        <w:fldChar w:fldCharType="separate"/>
      </w:r>
      <w:r>
        <w:rPr>
          <w:rFonts w:eastAsia="Quattrocento"/>
        </w:rPr>
        <w:t>13</w:t>
      </w:r>
      <w:r>
        <w:rPr>
          <w:rFonts w:eastAsia="Quattrocento"/>
          <w:highlight w:val="cyan"/>
        </w:rPr>
        <w:fldChar w:fldCharType="end"/>
      </w:r>
      <w:r w:rsidRPr="00FF1B50">
        <w:rPr>
          <w:rFonts w:eastAsia="Quattrocento"/>
        </w:rPr>
        <w:t xml:space="preserve">, 51 </w:t>
      </w:r>
      <w:r w:rsidRPr="00F6080E">
        <w:rPr>
          <w:rFonts w:eastAsia="Quattrocento"/>
          <w:smallCaps/>
        </w:rPr>
        <w:t>U. Rich. L. Rev.</w:t>
      </w:r>
      <w:r w:rsidRPr="00FF1B50">
        <w:rPr>
          <w:rFonts w:eastAsia="Quattrocento"/>
        </w:rPr>
        <w:t xml:space="preserve"> at 373-74</w:t>
      </w:r>
      <w:r w:rsidRPr="00FF1B50">
        <w:t xml:space="preserve">. He also rightly points out that the administrative-remand rule is best conceived of as a “true finality rule”—i.e., appeals from remands come at the effective end of litigation, if not the end of agency proceedings. Lammon, </w:t>
      </w:r>
      <w:r w:rsidRPr="00FF1B50">
        <w:rPr>
          <w:i/>
          <w:iCs/>
        </w:rPr>
        <w:t>supra</w:t>
      </w:r>
      <w:r w:rsidRPr="00FF1B50">
        <w:t xml:space="preserve"> note </w:t>
      </w:r>
      <w:r>
        <w:rPr>
          <w:highlight w:val="cyan"/>
        </w:rPr>
        <w:fldChar w:fldCharType="begin"/>
      </w:r>
      <w:r>
        <w:instrText xml:space="preserve"> NOTEREF _Ref211359331 \h </w:instrText>
      </w:r>
      <w:r>
        <w:rPr>
          <w:highlight w:val="cyan"/>
        </w:rPr>
        <w:instrText xml:space="preserve"> \* MERGEFORMAT </w:instrText>
      </w:r>
      <w:r>
        <w:rPr>
          <w:highlight w:val="cyan"/>
        </w:rPr>
      </w:r>
      <w:r>
        <w:rPr>
          <w:highlight w:val="cyan"/>
        </w:rPr>
        <w:fldChar w:fldCharType="separate"/>
      </w:r>
      <w:r>
        <w:t>13</w:t>
      </w:r>
      <w:r>
        <w:rPr>
          <w:highlight w:val="cyan"/>
        </w:rPr>
        <w:fldChar w:fldCharType="end"/>
      </w:r>
      <w:r w:rsidRPr="00FF1B50">
        <w:t xml:space="preserve">, 93 </w:t>
      </w:r>
      <w:r w:rsidRPr="00F6080E">
        <w:rPr>
          <w:smallCaps/>
        </w:rPr>
        <w:t>Wash. L. Rev.</w:t>
      </w:r>
      <w:r w:rsidRPr="00FF1B50">
        <w:t xml:space="preserve"> at 1834-35. But</w:t>
      </w:r>
      <w:r>
        <w:t>,</w:t>
      </w:r>
      <w:r w:rsidRPr="00FF1B50">
        <w:t xml:space="preserve"> as </w:t>
      </w:r>
      <w:r>
        <w:t>he</w:t>
      </w:r>
      <w:r w:rsidRPr="00FF1B50">
        <w:t xml:space="preserve"> acknowledges, there is “confusion that sometimes arises in determining when the end of district court proceedings is a final decision.” </w:t>
      </w:r>
      <w:r w:rsidRPr="00FF1B50">
        <w:rPr>
          <w:i/>
          <w:iCs/>
        </w:rPr>
        <w:t>Id.</w:t>
      </w:r>
      <w:r w:rsidRPr="00FF1B50">
        <w:t xml:space="preserve"> </w:t>
      </w:r>
      <w:proofErr w:type="gramStart"/>
      <w:r w:rsidRPr="00FF1B50">
        <w:t>at</w:t>
      </w:r>
      <w:proofErr w:type="gramEnd"/>
      <w:r w:rsidRPr="00FF1B50">
        <w:t xml:space="preserve"> 1836. The result is that many circuits continue to examine appeals from remands under the collateral-order doctrine, which provides for interlocutory review of decidedly non-final orders. </w:t>
      </w:r>
      <w:r w:rsidRPr="00FF1B50">
        <w:rPr>
          <w:i/>
          <w:iCs/>
        </w:rPr>
        <w:t>See</w:t>
      </w:r>
      <w:r w:rsidRPr="00FF1B50">
        <w:t xml:space="preserve"> 15B Fed. </w:t>
      </w:r>
      <w:proofErr w:type="spellStart"/>
      <w:r w:rsidRPr="00FF1B50">
        <w:t>Prac</w:t>
      </w:r>
      <w:proofErr w:type="spellEnd"/>
      <w:r w:rsidRPr="00FF1B50">
        <w:t xml:space="preserve">. &amp; Proc. Juris. § 3914.32. </w:t>
      </w:r>
    </w:p>
  </w:footnote>
  <w:footnote w:id="134">
    <w:p w14:paraId="41D998B0" w14:textId="42533C2D"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infra</w:t>
      </w:r>
      <w:r w:rsidRPr="00FF1B50">
        <w:t xml:space="preserve"> </w:t>
      </w:r>
      <w:r>
        <w:t xml:space="preserve">note </w:t>
      </w:r>
      <w:r>
        <w:fldChar w:fldCharType="begin"/>
      </w:r>
      <w:r>
        <w:instrText xml:space="preserve"> NOTEREF _Ref211360038 \h  \* MERGEFORMAT </w:instrText>
      </w:r>
      <w:r>
        <w:fldChar w:fldCharType="separate"/>
      </w:r>
      <w:r>
        <w:t>182</w:t>
      </w:r>
      <w:r>
        <w:fldChar w:fldCharType="end"/>
      </w:r>
      <w:r w:rsidRPr="00FF1B50">
        <w:t xml:space="preserve"> and accompanying text.</w:t>
      </w:r>
    </w:p>
  </w:footnote>
  <w:footnote w:id="135">
    <w:p w14:paraId="53C378A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Sierra Club v. U.S. Dep’t of Agric.</w:t>
      </w:r>
      <w:r w:rsidRPr="00FF1B50">
        <w:t xml:space="preserve">, 716 F.3d 653, 656-57 (D.C. Cir. 2013) (emphasizing this distinction and discussing collateral-order doctrine separately to hold that private intervenor-defendant could not appeal remand); </w:t>
      </w:r>
      <w:r w:rsidRPr="00FF1B50">
        <w:rPr>
          <w:i/>
          <w:iCs/>
        </w:rPr>
        <w:t>N. Air Cargo v. U.S. Postal Serv.</w:t>
      </w:r>
      <w:r w:rsidRPr="00FF1B50">
        <w:t>, 674 F.3d 852, 857 (D.C. Cir. 2012) (stating that “[i]t is axiomatic that a private party—unlike the government—may not appeal a district court’s order remanding to an agency because it is not final,” and holding that court could consider plaintiff’s arguments on appeal only because agency also appealed remand).</w:t>
      </w:r>
    </w:p>
  </w:footnote>
  <w:footnote w:id="136">
    <w:p w14:paraId="0CF92512"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 xml:space="preserve">N.C. Fisheries </w:t>
      </w:r>
      <w:proofErr w:type="spellStart"/>
      <w:r w:rsidRPr="00FF1B50">
        <w:rPr>
          <w:i/>
          <w:iCs/>
        </w:rPr>
        <w:t>Ass’n</w:t>
      </w:r>
      <w:proofErr w:type="spellEnd"/>
      <w:r w:rsidRPr="00FF1B50">
        <w:rPr>
          <w:i/>
          <w:iCs/>
        </w:rPr>
        <w:t> v. Gutierrez</w:t>
      </w:r>
      <w:r w:rsidRPr="00FF1B50">
        <w:t xml:space="preserve">, 550 F.3d 16, 19-20 (D.C. Cir. 2008) (describing as “black letter law” the rule that remands are not final, and appeals by agencies as a “limited exception” that is “not normally available to a private party,” to hold that plaintiffs could not appeal a remand of fishery management plan); </w:t>
      </w:r>
      <w:r w:rsidRPr="00FF1B50">
        <w:rPr>
          <w:i/>
          <w:iCs/>
        </w:rPr>
        <w:t xml:space="preserve">Lake Pilots </w:t>
      </w:r>
      <w:proofErr w:type="spellStart"/>
      <w:r w:rsidRPr="00FF1B50">
        <w:rPr>
          <w:i/>
          <w:iCs/>
        </w:rPr>
        <w:t>Ass’n</w:t>
      </w:r>
      <w:proofErr w:type="spellEnd"/>
      <w:r w:rsidRPr="00FF1B50">
        <w:rPr>
          <w:i/>
          <w:iCs/>
        </w:rPr>
        <w:t> v. U.S. Coast Guard</w:t>
      </w:r>
      <w:r w:rsidRPr="00FF1B50">
        <w:t xml:space="preserve">, 359 F.3d 624, 625 (D.C. Cir. 2004) (denying appeal by plaintiffs of remand on ground that later </w:t>
      </w:r>
      <w:proofErr w:type="spellStart"/>
      <w:r w:rsidRPr="00FF1B50">
        <w:t>unreviewability</w:t>
      </w:r>
      <w:proofErr w:type="spellEnd"/>
      <w:r w:rsidRPr="00FF1B50">
        <w:t xml:space="preserve"> is met where an agency is the appellant; that “principle is not normally available to the agency’s adversary”); </w:t>
      </w:r>
      <w:r w:rsidRPr="00FF1B50">
        <w:rPr>
          <w:i/>
          <w:iCs/>
        </w:rPr>
        <w:t>Oceana, Inc. v. Gutierrez</w:t>
      </w:r>
      <w:r w:rsidRPr="00FF1B50">
        <w:t xml:space="preserve">, 179 Fed. Appx. 703, 703 (D.C. Cir. 2006) (denying appeal by plaintiff because it “will have a later opportunity to appeal”); </w:t>
      </w:r>
      <w:r w:rsidRPr="00FF1B50">
        <w:rPr>
          <w:i/>
          <w:iCs/>
        </w:rPr>
        <w:t>NAACP, Jefferson Cnty. Branch v. U.S. Sugar Corp.</w:t>
      </w:r>
      <w:r w:rsidRPr="00FF1B50">
        <w:t>, 84 F.3d 1432, 1436 (D.C. Cir. 1996) (distinguishing between appeals by agency and private defendants).</w:t>
      </w:r>
    </w:p>
  </w:footnote>
  <w:footnote w:id="137">
    <w:p w14:paraId="4D0FDB0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proofErr w:type="spellStart"/>
      <w:r w:rsidRPr="00FF1B50">
        <w:rPr>
          <w:i/>
          <w:iCs/>
        </w:rPr>
        <w:t>Limnia</w:t>
      </w:r>
      <w:proofErr w:type="spellEnd"/>
      <w:r w:rsidRPr="00FF1B50">
        <w:rPr>
          <w:i/>
          <w:iCs/>
        </w:rPr>
        <w:t>, Inc. v. U.S. Dep’t of Energy</w:t>
      </w:r>
      <w:r w:rsidRPr="00FF1B50">
        <w:t xml:space="preserve">, 857 F.3d 379, 385-86 (D.C. Cir. 2017) (distinguishing between two remands, one of which was not appealable because it left the “‘core dispute unresolved,’” and the other of which was because it “did not return the ‘core dispute’ . . . back for further proceedings by the agency” but instead “effectively terminated” the </w:t>
      </w:r>
      <w:r>
        <w:t>case</w:t>
      </w:r>
      <w:r w:rsidRPr="00FF1B50">
        <w:t xml:space="preserve"> (quoting </w:t>
      </w:r>
      <w:r w:rsidRPr="00FF1B50">
        <w:rPr>
          <w:i/>
          <w:iCs/>
        </w:rPr>
        <w:t>Am. Haw. Cruises v. Skinner</w:t>
      </w:r>
      <w:r w:rsidRPr="00FF1B50">
        <w:t xml:space="preserve">, 893 F.2d 1400, 1403 (D.C. Cir. 1990))); </w:t>
      </w:r>
      <w:r w:rsidRPr="00FF1B50">
        <w:rPr>
          <w:i/>
          <w:iCs/>
        </w:rPr>
        <w:t>In re Long-Distance Tele. Serv. Fed. Excise Tax Refund Litig.</w:t>
      </w:r>
      <w:r w:rsidRPr="00FF1B50">
        <w:t xml:space="preserve">, 751 F.3d at 633 (remand appealable where it was effectively final because agency intended not to comply with it). </w:t>
      </w:r>
      <w:r w:rsidRPr="00FF1B50">
        <w:rPr>
          <w:i/>
          <w:iCs/>
        </w:rPr>
        <w:t>But see</w:t>
      </w:r>
      <w:r w:rsidRPr="00FF1B50">
        <w:t xml:space="preserve"> </w:t>
      </w:r>
      <w:r w:rsidRPr="00FF1B50">
        <w:rPr>
          <w:i/>
          <w:iCs/>
        </w:rPr>
        <w:t>Sierra Club</w:t>
      </w:r>
      <w:r w:rsidRPr="00FF1B50">
        <w:t xml:space="preserve">, 716 F.3d at 657-58 (remand requiring further environmental review required substantial further proceedings and so was not appealable); </w:t>
      </w:r>
      <w:r w:rsidRPr="00FF1B50">
        <w:rPr>
          <w:i/>
          <w:iCs/>
        </w:rPr>
        <w:t>Pueblo of Sandia</w:t>
      </w:r>
      <w:r w:rsidRPr="00FF1B50">
        <w:t xml:space="preserve">, 231 F.3d at 881-82 (intervenor-defendant could not appeal remand that contemplated substantial further proceedings by </w:t>
      </w:r>
      <w:r>
        <w:t>agency</w:t>
      </w:r>
      <w:r w:rsidRPr="00FF1B50">
        <w:t xml:space="preserve">). </w:t>
      </w:r>
    </w:p>
  </w:footnote>
  <w:footnote w:id="138">
    <w:p w14:paraId="7453BF2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proofErr w:type="spellStart"/>
      <w:r w:rsidRPr="00FF1B50">
        <w:rPr>
          <w:i/>
          <w:iCs/>
        </w:rPr>
        <w:t>Limnia</w:t>
      </w:r>
      <w:proofErr w:type="spellEnd"/>
      <w:r w:rsidRPr="00FF1B50">
        <w:rPr>
          <w:i/>
          <w:iCs/>
        </w:rPr>
        <w:t>, Inc.</w:t>
      </w:r>
      <w:r w:rsidRPr="00FF1B50">
        <w:t xml:space="preserve">, 857 F.3d at 386 (plaintiff could appeal remand because it “effectively terminated” the </w:t>
      </w:r>
      <w:r>
        <w:t>case</w:t>
      </w:r>
      <w:r w:rsidRPr="00FF1B50">
        <w:t>).</w:t>
      </w:r>
    </w:p>
  </w:footnote>
  <w:footnote w:id="139">
    <w:p w14:paraId="4BD8A91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Koyo Seiko Co. v. United States</w:t>
      </w:r>
      <w:r w:rsidRPr="00FF1B50">
        <w:t xml:space="preserve">, 95 F.3d 1094, 1097 (Fed. Cir. 1996) (remand to agency to fix “two computer programming errors” required only ministerial action, and so was appealable by plaintiff); </w:t>
      </w:r>
      <w:r w:rsidRPr="00FF1B50">
        <w:rPr>
          <w:i/>
          <w:iCs/>
        </w:rPr>
        <w:t>Travelstead</w:t>
      </w:r>
      <w:r w:rsidRPr="00FF1B50">
        <w:t>, 978 F.2d at 1248 (</w:t>
      </w:r>
      <w:r>
        <w:t>agency</w:t>
      </w:r>
      <w:r w:rsidRPr="00FF1B50">
        <w:t xml:space="preserve"> could appeal remand of its decision denying waiver of indebtedness on veteran’s home loan because</w:t>
      </w:r>
      <w:r>
        <w:t xml:space="preserve"> </w:t>
      </w:r>
      <w:r w:rsidRPr="00FF1B50">
        <w:t xml:space="preserve">remand effectively terminated the litigation). </w:t>
      </w:r>
    </w:p>
  </w:footnote>
  <w:footnote w:id="140">
    <w:p w14:paraId="51DC79B4" w14:textId="0E3865B0"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Compare</w:t>
      </w:r>
      <w:r w:rsidRPr="00FF1B50">
        <w:t xml:space="preserve"> </w:t>
      </w:r>
      <w:r w:rsidRPr="00FF1B50">
        <w:rPr>
          <w:i/>
          <w:iCs/>
        </w:rPr>
        <w:t>Cabot Corp.</w:t>
      </w:r>
      <w:r w:rsidRPr="00FF1B50">
        <w:t xml:space="preserve">, 788 F.2d at 1543-44 (remand to U.S. International Trade Administration not final (under 28 U.S.C. § 1295) and not appealable by agency under practical-finality or collateral-order doctrine); </w:t>
      </w:r>
      <w:r w:rsidRPr="00FF1B50">
        <w:rPr>
          <w:i/>
          <w:iCs/>
        </w:rPr>
        <w:t>Jeannette Sheet Glass Corp.</w:t>
      </w:r>
      <w:r w:rsidRPr="00FF1B50">
        <w:t xml:space="preserve">, 803 F.2d at 1583 (remand to International Trade Commission not appealable by plaintiff, explaining that </w:t>
      </w:r>
      <w:r w:rsidRPr="00FF1B50">
        <w:rPr>
          <w:i/>
          <w:iCs/>
        </w:rPr>
        <w:t>Cabot Corp.</w:t>
      </w:r>
      <w:r w:rsidRPr="00FF1B50">
        <w:t xml:space="preserve"> established a “broad[ ]” rule and was binding) </w:t>
      </w:r>
      <w:r w:rsidRPr="00FF1B50">
        <w:rPr>
          <w:i/>
          <w:iCs/>
        </w:rPr>
        <w:t>with</w:t>
      </w:r>
      <w:r w:rsidRPr="00FF1B50">
        <w:t xml:space="preserve"> cases cited in </w:t>
      </w:r>
      <w:r w:rsidRPr="00FF1B50">
        <w:rPr>
          <w:i/>
          <w:iCs/>
        </w:rPr>
        <w:t>supra</w:t>
      </w:r>
      <w:r w:rsidRPr="00FF1B50">
        <w:t xml:space="preserve"> note </w:t>
      </w:r>
      <w:r>
        <w:rPr>
          <w:highlight w:val="cyan"/>
        </w:rPr>
        <w:fldChar w:fldCharType="begin"/>
      </w:r>
      <w:r>
        <w:instrText xml:space="preserve"> NOTEREF _Ref211360052 \h </w:instrText>
      </w:r>
      <w:r>
        <w:rPr>
          <w:highlight w:val="cyan"/>
        </w:rPr>
        <w:instrText xml:space="preserve"> \* MERGEFORMAT </w:instrText>
      </w:r>
      <w:r>
        <w:rPr>
          <w:highlight w:val="cyan"/>
        </w:rPr>
      </w:r>
      <w:r>
        <w:rPr>
          <w:highlight w:val="cyan"/>
        </w:rPr>
        <w:fldChar w:fldCharType="separate"/>
      </w:r>
      <w:r>
        <w:t>138</w:t>
      </w:r>
      <w:r>
        <w:rPr>
          <w:highlight w:val="cyan"/>
        </w:rPr>
        <w:fldChar w:fldCharType="end"/>
      </w:r>
      <w:r>
        <w:t>.</w:t>
      </w:r>
    </w:p>
  </w:footnote>
  <w:footnote w:id="141">
    <w:p w14:paraId="1235C2C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Littlefield v. Mashpee Wampanoag Indian Tribe</w:t>
      </w:r>
      <w:r w:rsidRPr="00FF1B50">
        <w:t>, 951 F.3d 30, 36 (1st Cir. 2020).</w:t>
      </w:r>
    </w:p>
  </w:footnote>
  <w:footnote w:id="142">
    <w:p w14:paraId="337D7A8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Littlefield</w:t>
      </w:r>
      <w:r w:rsidRPr="00FF1B50">
        <w:t xml:space="preserve">, 951 F.3d at 36 (remand final and appealable as to tribal defendant, as Ninth Circuit’s criteria were satisfied and there “is no gain, and only potential loss, to judicial efficiency by dismissing this appeal”); </w:t>
      </w:r>
      <w:r w:rsidRPr="00FF1B50">
        <w:rPr>
          <w:i/>
          <w:iCs/>
        </w:rPr>
        <w:t>Mall Props., Inc.</w:t>
      </w:r>
      <w:r w:rsidRPr="00FF1B50">
        <w:t xml:space="preserve">, 841 F.2d at 443-44 (remand not appealable by intervenor-defendant city in part because of efficiency gains from final-judgment rule). </w:t>
      </w:r>
    </w:p>
  </w:footnote>
  <w:footnote w:id="143">
    <w:p w14:paraId="6FD3202D" w14:textId="77777777" w:rsidR="00092031" w:rsidRPr="003A59DD" w:rsidRDefault="00092031" w:rsidP="00092031">
      <w:pPr>
        <w:pStyle w:val="FootnoteText"/>
        <w:rPr>
          <w:lang w:val="it-IT"/>
        </w:rPr>
      </w:pPr>
      <w:r w:rsidRPr="00FF1B50">
        <w:rPr>
          <w:rStyle w:val="FootnoteReference"/>
          <w:rFonts w:cs="Times New Roman"/>
        </w:rPr>
        <w:footnoteRef/>
      </w:r>
      <w:r w:rsidRPr="003A59DD">
        <w:rPr>
          <w:lang w:val="it-IT"/>
        </w:rPr>
        <w:t xml:space="preserve"> </w:t>
      </w:r>
      <w:r w:rsidRPr="003A59DD">
        <w:rPr>
          <w:i/>
          <w:iCs/>
          <w:lang w:val="it-IT"/>
        </w:rPr>
        <w:t>Perales v. Sullivan</w:t>
      </w:r>
      <w:r w:rsidRPr="003A59DD">
        <w:rPr>
          <w:lang w:val="it-IT"/>
        </w:rPr>
        <w:t xml:space="preserve">, 948 F.2d 1348, 1353 (2d Cir. 1991). </w:t>
      </w:r>
    </w:p>
  </w:footnote>
  <w:footnote w:id="144">
    <w:p w14:paraId="11865DF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N.Y. Legal Assistance Grp.</w:t>
      </w:r>
      <w:r w:rsidRPr="00FF1B50">
        <w:t xml:space="preserve">, 2024 WL 64220, at *2 (avoiding question of jurisdiction over </w:t>
      </w:r>
      <w:r>
        <w:t xml:space="preserve">appeal of </w:t>
      </w:r>
      <w:r w:rsidRPr="00FF1B50">
        <w:t xml:space="preserve">remand </w:t>
      </w:r>
      <w:r>
        <w:t xml:space="preserve">to agency </w:t>
      </w:r>
      <w:r w:rsidRPr="00FF1B50">
        <w:t xml:space="preserve">by remanding certain issues to district court); </w:t>
      </w:r>
      <w:r w:rsidRPr="00FF1B50">
        <w:rPr>
          <w:i/>
          <w:iCs/>
        </w:rPr>
        <w:t>Silver v. Smith</w:t>
      </w:r>
      <w:r w:rsidRPr="00FF1B50">
        <w:t>, 70 Fed. Appx. 17, 19 (2d Cir. 2003) (citing rule to deny appeal by plaintiffs of putative remand to IRS).</w:t>
      </w:r>
    </w:p>
  </w:footnote>
  <w:footnote w:id="145">
    <w:p w14:paraId="6ACF1A0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Bey v. City of New York</w:t>
      </w:r>
      <w:r w:rsidRPr="00FF1B50">
        <w:t>, 999 F.3d 157, 163 (2d Cir. 2021) (“When assessing whether a particular decision meets that [</w:t>
      </w:r>
      <w:r w:rsidRPr="00FF1B50">
        <w:rPr>
          <w:i/>
          <w:iCs/>
        </w:rPr>
        <w:t>sic</w:t>
      </w:r>
      <w:r w:rsidRPr="00FF1B50">
        <w:t xml:space="preserve">] criteria, we eschew formalism in favor of a pragmatic approach. We instead look to whether, following the district court’s decision, further proceedings are contemplated or required.”) (internal citation omitted); </w:t>
      </w:r>
      <w:r w:rsidRPr="00FF1B50">
        <w:rPr>
          <w:i/>
          <w:iCs/>
        </w:rPr>
        <w:t>Mead</w:t>
      </w:r>
      <w:r w:rsidRPr="00FF1B50">
        <w:t>, 768 F.3d at 109 (“[W]e leave for another day the question of whether our case law governing the finality of administrative remands permits an immediate appeal by an ERISA plan administrator when the district court’s remand order cannot be construed as having retained jurisdiction over the case.”).</w:t>
      </w:r>
    </w:p>
  </w:footnote>
  <w:footnote w:id="146">
    <w:p w14:paraId="26257354" w14:textId="77777777" w:rsidR="00092031" w:rsidRPr="00FF1B50" w:rsidRDefault="00092031" w:rsidP="00092031">
      <w:pPr>
        <w:pStyle w:val="FootnoteText"/>
      </w:pPr>
      <w:r w:rsidRPr="00FF1B50">
        <w:rPr>
          <w:rStyle w:val="FootnoteReference"/>
          <w:rFonts w:cs="Times New Roman"/>
        </w:rPr>
        <w:footnoteRef/>
      </w:r>
      <w:r w:rsidRPr="00FF1B50">
        <w:t xml:space="preserve"> </w:t>
      </w:r>
      <w:proofErr w:type="spellStart"/>
      <w:r w:rsidRPr="00FF1B50">
        <w:rPr>
          <w:i/>
          <w:iCs/>
        </w:rPr>
        <w:t>Papotto</w:t>
      </w:r>
      <w:proofErr w:type="spellEnd"/>
      <w:r w:rsidRPr="00FF1B50">
        <w:t xml:space="preserve">, 731 F.3d at 270 (citing </w:t>
      </w:r>
      <w:r w:rsidRPr="00FF1B50">
        <w:rPr>
          <w:i/>
          <w:iCs/>
        </w:rPr>
        <w:t>Kreider</w:t>
      </w:r>
      <w:r w:rsidRPr="00FF1B50">
        <w:t xml:space="preserve">, 190 F.3d at 118). </w:t>
      </w:r>
      <w:proofErr w:type="spellStart"/>
      <w:r w:rsidRPr="00FF1B50">
        <w:rPr>
          <w:i/>
          <w:iCs/>
        </w:rPr>
        <w:t>Papotto</w:t>
      </w:r>
      <w:proofErr w:type="spellEnd"/>
      <w:r w:rsidRPr="00FF1B50">
        <w:t xml:space="preserve"> was an ERISA case but announced the Third Circuit’s rule for all administrative-agency remands. It and </w:t>
      </w:r>
      <w:r w:rsidRPr="00FF1B50">
        <w:rPr>
          <w:i/>
          <w:iCs/>
        </w:rPr>
        <w:t>Kreider</w:t>
      </w:r>
      <w:r w:rsidRPr="00FF1B50">
        <w:t xml:space="preserve"> synthesized this test from prior cases applying various combinations of the collateral-order doctrine’s three criteria. </w:t>
      </w:r>
      <w:r w:rsidRPr="00FF1B50">
        <w:rPr>
          <w:i/>
          <w:iCs/>
        </w:rPr>
        <w:t>See, e.g.</w:t>
      </w:r>
      <w:r w:rsidRPr="00FF1B50">
        <w:t xml:space="preserve">, </w:t>
      </w:r>
      <w:r w:rsidRPr="00FF1B50">
        <w:rPr>
          <w:i/>
          <w:iCs/>
        </w:rPr>
        <w:t xml:space="preserve">Bhd. of </w:t>
      </w:r>
      <w:proofErr w:type="spellStart"/>
      <w:r w:rsidRPr="00FF1B50">
        <w:rPr>
          <w:i/>
          <w:iCs/>
        </w:rPr>
        <w:t>Maint</w:t>
      </w:r>
      <w:proofErr w:type="spellEnd"/>
      <w:r w:rsidRPr="00FF1B50">
        <w:rPr>
          <w:i/>
          <w:iCs/>
        </w:rPr>
        <w:t>. of Way Emps. v. Consol. Rail Corp.</w:t>
      </w:r>
      <w:r w:rsidRPr="00FF1B50">
        <w:t xml:space="preserve">, 864 F.2d 283, 286 (3d Cir. 1988) (“Our precedent holds that when the issue on appeal is limited to the right to a procedure that once granted is not susceptible as a practical matter to subsequent review, remand orders directing such procedures are final.”); </w:t>
      </w:r>
      <w:r w:rsidRPr="00FF1B50">
        <w:rPr>
          <w:i/>
          <w:iCs/>
        </w:rPr>
        <w:t>AJA Assocs.</w:t>
      </w:r>
      <w:r w:rsidRPr="00FF1B50">
        <w:t>, 817 F.2d at 1073 (</w:t>
      </w:r>
      <w:r>
        <w:t>agency</w:t>
      </w:r>
      <w:r w:rsidRPr="00FF1B50">
        <w:t xml:space="preserve"> could appeal remand that could not receive later appellate review); </w:t>
      </w:r>
      <w:r w:rsidRPr="00FF1B50">
        <w:rPr>
          <w:i/>
          <w:iCs/>
        </w:rPr>
        <w:t>United Steelworkers of Am. Local 1913 v. Union R.R. Co.</w:t>
      </w:r>
      <w:r w:rsidRPr="00FF1B50">
        <w:t>, 648 F.2d 905, 910 (3d Cir. 1981) (railroad company could appeal remand to railway labor board that effectively ended the litigation and involved issue that would be unreviewable later).</w:t>
      </w:r>
    </w:p>
  </w:footnote>
  <w:footnote w:id="147">
    <w:p w14:paraId="05C624A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United Steelworkers of Am. Loc. 1913</w:t>
      </w:r>
      <w:r w:rsidRPr="00FF1B50">
        <w:t xml:space="preserve">, 648 F.2d at 910 (railroad company could appeal remand to railway labor board that effectively ended the litigation and involved issue that would be unreviewable later). In two other cases, the government also appealed; it is unclear how the Third Circuit would have ruled had that not been the case. </w:t>
      </w:r>
      <w:r w:rsidRPr="00FF1B50">
        <w:rPr>
          <w:i/>
          <w:iCs/>
        </w:rPr>
        <w:t>See United States v. Spears</w:t>
      </w:r>
      <w:r w:rsidRPr="00FF1B50">
        <w:t xml:space="preserve">, 859 F.2d 284, 287 (3d Cir. 1988); </w:t>
      </w:r>
      <w:r w:rsidRPr="00FF1B50">
        <w:rPr>
          <w:i/>
          <w:iCs/>
        </w:rPr>
        <w:t>Horizons Int’l, Inc. v. Baldrige</w:t>
      </w:r>
      <w:r w:rsidRPr="00FF1B50">
        <w:t>, 811 F.2d 154, 156 (3d Cir. 1987).</w:t>
      </w:r>
    </w:p>
  </w:footnote>
  <w:footnote w:id="148">
    <w:p w14:paraId="1D77D01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Shipbuilders Council of Am. v. U.S. Coast Guard</w:t>
      </w:r>
      <w:r w:rsidRPr="00FF1B50">
        <w:t>, 578 F.3d 234, 240 (4th Cir. 2009) (</w:t>
      </w:r>
      <w:r>
        <w:t>agency</w:t>
      </w:r>
      <w:r w:rsidRPr="00FF1B50">
        <w:t xml:space="preserve"> could appeal portions of remand of </w:t>
      </w:r>
      <w:r>
        <w:t>coastal-vessel</w:t>
      </w:r>
      <w:r w:rsidRPr="00FF1B50">
        <w:t xml:space="preserve"> decision, but intervenor-defendant vessel owner could not appeal other portions given availability of later review); </w:t>
      </w:r>
      <w:r w:rsidRPr="00FF1B50">
        <w:rPr>
          <w:i/>
          <w:iCs/>
        </w:rPr>
        <w:t>W. Va. Highlands Conservancy, Inc. v. Norton</w:t>
      </w:r>
      <w:r w:rsidRPr="00FF1B50">
        <w:t>, 343 F.3d 239, 240 (4th Cir. 2003) (</w:t>
      </w:r>
      <w:r>
        <w:t>agency</w:t>
      </w:r>
      <w:r w:rsidRPr="00FF1B50">
        <w:t xml:space="preserve"> could appeal remand requiring calculation of attorney’s fees owed to plaintiffs because review would be unavailable after fees award); </w:t>
      </w:r>
      <w:r w:rsidRPr="00FF1B50">
        <w:rPr>
          <w:i/>
          <w:iCs/>
        </w:rPr>
        <w:t>Hanauer v. Reich</w:t>
      </w:r>
      <w:r w:rsidRPr="00FF1B50">
        <w:t xml:space="preserve">, 82 F.3d 1304, 1307 (4th Cir. 1996) (Labor Secretary could appeal remand under Federal Employees’ Compensation Act because it was, if executed by agency, made unreviewable by statute); </w:t>
      </w:r>
      <w:r w:rsidRPr="00FF1B50">
        <w:rPr>
          <w:i/>
          <w:iCs/>
        </w:rPr>
        <w:t>Colvin v. Sullivan</w:t>
      </w:r>
      <w:r w:rsidRPr="00FF1B50">
        <w:t xml:space="preserve">, </w:t>
      </w:r>
      <w:bookmarkStart w:id="44" w:name="OLE_LINK1"/>
      <w:r w:rsidRPr="00FF1B50">
        <w:t>939 F.2d 153</w:t>
      </w:r>
      <w:bookmarkEnd w:id="44"/>
      <w:r w:rsidRPr="00FF1B50">
        <w:t>, 155 (4th Cir. 1991) (</w:t>
      </w:r>
      <w:r>
        <w:t>agency</w:t>
      </w:r>
      <w:r w:rsidRPr="00FF1B50">
        <w:t xml:space="preserve"> could appeal remand requiring recalculation of foster care reimbursement owed to Maryland due to later </w:t>
      </w:r>
      <w:proofErr w:type="spellStart"/>
      <w:r w:rsidRPr="00FF1B50">
        <w:t>unreviewability</w:t>
      </w:r>
      <w:proofErr w:type="spellEnd"/>
      <w:r w:rsidRPr="00FF1B50">
        <w:t xml:space="preserve">); </w:t>
      </w:r>
      <w:r w:rsidRPr="00FF1B50">
        <w:rPr>
          <w:i/>
          <w:iCs/>
        </w:rPr>
        <w:t>see also Nielsen v. Hagel</w:t>
      </w:r>
      <w:r w:rsidRPr="00FF1B50">
        <w:t>, 666 Fed. Appx. 225, 230 (4th Cir. 2016) (</w:t>
      </w:r>
      <w:r>
        <w:t xml:space="preserve">agency </w:t>
      </w:r>
      <w:r w:rsidRPr="00FF1B50">
        <w:t xml:space="preserve">could appeal remand of decision on equal employment opportunity complaint due to later </w:t>
      </w:r>
      <w:proofErr w:type="spellStart"/>
      <w:r w:rsidRPr="00FF1B50">
        <w:t>unreviewability</w:t>
      </w:r>
      <w:proofErr w:type="spellEnd"/>
      <w:r w:rsidRPr="00FF1B50">
        <w:t>).</w:t>
      </w:r>
    </w:p>
  </w:footnote>
  <w:footnote w:id="149">
    <w:p w14:paraId="1875C9A9" w14:textId="77777777" w:rsidR="00092031" w:rsidRPr="00FF1B50" w:rsidRDefault="00092031" w:rsidP="00092031">
      <w:pPr>
        <w:pStyle w:val="FootnoteText"/>
      </w:pPr>
      <w:r w:rsidRPr="00FF1B50">
        <w:rPr>
          <w:rStyle w:val="FootnoteReference"/>
          <w:rFonts w:cs="Times New Roman"/>
        </w:rPr>
        <w:footnoteRef/>
      </w:r>
      <w:r w:rsidRPr="00FF1B50">
        <w:t xml:space="preserve"> In </w:t>
      </w:r>
      <w:r w:rsidRPr="00FF1B50">
        <w:rPr>
          <w:i/>
          <w:iCs/>
        </w:rPr>
        <w:t>Shipbuilders Council of America</w:t>
      </w:r>
      <w:r w:rsidRPr="00FF1B50">
        <w:t xml:space="preserve">, the Fourth Circuit found jurisdiction over part of the private intervenor-defendant’s appeal because the agency also appealed. As to other parts of the intervenor-defendant’s appeal, the court stated that it “need not reach the question of whether such an order could be appealed by a party other than the agency, because the order itself is not final and therefore not properly subject to review under the collateral order doctrine.” 578 F.3d at 240. And in </w:t>
      </w:r>
      <w:r w:rsidRPr="00FF1B50">
        <w:rPr>
          <w:i/>
          <w:iCs/>
        </w:rPr>
        <w:t>Culbertson v. Sec’y of Health &amp; Hum. Servs.</w:t>
      </w:r>
      <w:r w:rsidRPr="00FF1B50">
        <w:t xml:space="preserve">, 859 F.2d 319, 323 (4th Cir. 1988), the Fourth Circuit found jurisdiction over an individual claimant’s appeal of a remand to the Social Security Agency. The court nodded to practical finality and the now-defunct “death knell” doctrine but relied most on the idea that the remand would lead to a final denial of the claim (i.e., it effectively ended the litigation). </w:t>
      </w:r>
    </w:p>
  </w:footnote>
  <w:footnote w:id="150">
    <w:p w14:paraId="79C615A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Vista Health Plan, Inc. v. U.S. Dep’t of Health &amp; Human Servs.</w:t>
      </w:r>
      <w:r w:rsidRPr="00FF1B50">
        <w:t xml:space="preserve">, 31 F.4th 946, 951 (5th Cir. 2022) (remand not appealable by plaintiffs because </w:t>
      </w:r>
      <w:r>
        <w:t>it</w:t>
      </w:r>
      <w:r w:rsidRPr="00FF1B50">
        <w:t xml:space="preserve"> “was more than ‘ministerial’ in nature”); </w:t>
      </w:r>
      <w:r w:rsidRPr="00FF1B50">
        <w:rPr>
          <w:i/>
          <w:iCs/>
        </w:rPr>
        <w:t>Adkins v. Silverman</w:t>
      </w:r>
      <w:r w:rsidRPr="00FF1B50">
        <w:t>, 899 F.3d 395, 401 (5th Cir. 2018) (</w:t>
      </w:r>
      <w:r>
        <w:t xml:space="preserve">agency </w:t>
      </w:r>
      <w:r w:rsidRPr="00FF1B50">
        <w:t xml:space="preserve">could appeal remand because it required only a “ministerial accounting to calculate” new terms of insurance policies); </w:t>
      </w:r>
      <w:r w:rsidRPr="00FF1B50">
        <w:rPr>
          <w:i/>
          <w:iCs/>
        </w:rPr>
        <w:t xml:space="preserve">see also BNSF Ry. Co. v. Am. Train Dispatchers </w:t>
      </w:r>
      <w:proofErr w:type="spellStart"/>
      <w:r w:rsidRPr="00FF1B50">
        <w:rPr>
          <w:i/>
          <w:iCs/>
        </w:rPr>
        <w:t>Ass’n</w:t>
      </w:r>
      <w:proofErr w:type="spellEnd"/>
      <w:r w:rsidRPr="00FF1B50">
        <w:t>, 426 Fed. Appx. 265, 267 (5th Cir. 2011) (“[T]he distinction between remands based on conclusions of law and remands to consider further evidence is unavailing.”).</w:t>
      </w:r>
    </w:p>
  </w:footnote>
  <w:footnote w:id="151">
    <w:p w14:paraId="3F3ACABE"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Schuck v. Frank</w:t>
      </w:r>
      <w:r w:rsidRPr="00FF1B50">
        <w:t xml:space="preserve">, 27 F.3d 194, 196-97 (6th Cir. 1994) (applying these criteria to hold that remand was final and appealable as to agency); </w:t>
      </w:r>
      <w:r w:rsidRPr="00FF1B50">
        <w:rPr>
          <w:i/>
          <w:iCs/>
        </w:rPr>
        <w:t>see also</w:t>
      </w:r>
      <w:r w:rsidRPr="00FF1B50">
        <w:t xml:space="preserve"> </w:t>
      </w:r>
      <w:r w:rsidRPr="00FF1B50">
        <w:rPr>
          <w:i/>
          <w:iCs/>
        </w:rPr>
        <w:t xml:space="preserve">Nat’l Air Traffic Controllers </w:t>
      </w:r>
      <w:proofErr w:type="spellStart"/>
      <w:r w:rsidRPr="00FF1B50">
        <w:rPr>
          <w:i/>
          <w:iCs/>
        </w:rPr>
        <w:t>Ass’n</w:t>
      </w:r>
      <w:proofErr w:type="spellEnd"/>
      <w:r w:rsidRPr="00FF1B50">
        <w:t xml:space="preserve">, 2007 WL 2141941, at *2-3 (applying these criteria to hold that plaintiffs—and even the agency if it had tried—could not appeal remand); </w:t>
      </w:r>
      <w:r w:rsidRPr="00FF1B50">
        <w:rPr>
          <w:i/>
          <w:iCs/>
        </w:rPr>
        <w:t>Ackerman v. U.S. Dep’t of Agric.</w:t>
      </w:r>
      <w:r w:rsidRPr="00FF1B50">
        <w:t xml:space="preserve">, No. 22-1056, 2022 WL 2965613, *1 (6th Cir. 2022) (applying these criteria to hold that plaintiffs could not appeal remand); </w:t>
      </w:r>
      <w:r w:rsidRPr="00FF1B50">
        <w:rPr>
          <w:i/>
          <w:iCs/>
        </w:rPr>
        <w:t>see also</w:t>
      </w:r>
      <w:r w:rsidRPr="00FF1B50">
        <w:t xml:space="preserve"> </w:t>
      </w:r>
      <w:r w:rsidRPr="00FF1B50">
        <w:rPr>
          <w:i/>
          <w:iCs/>
        </w:rPr>
        <w:t xml:space="preserve">Local 1982, Int’l Longshoremen’s </w:t>
      </w:r>
      <w:proofErr w:type="spellStart"/>
      <w:r w:rsidRPr="00FF1B50">
        <w:rPr>
          <w:i/>
          <w:iCs/>
        </w:rPr>
        <w:t>Ass’n</w:t>
      </w:r>
      <w:proofErr w:type="spellEnd"/>
      <w:r w:rsidRPr="00FF1B50">
        <w:rPr>
          <w:i/>
          <w:iCs/>
        </w:rPr>
        <w:t> v. Midwest Terminals of Toledo, Int’l, Inc.</w:t>
      </w:r>
      <w:r w:rsidRPr="00FF1B50">
        <w:t xml:space="preserve">, 944 F.3d 607, 612-13 (6th Cir. 2019) (Thapar, J., concurring) (emphasizing the general </w:t>
      </w:r>
      <w:proofErr w:type="spellStart"/>
      <w:r w:rsidRPr="00FF1B50">
        <w:t>unreviewability</w:t>
      </w:r>
      <w:proofErr w:type="spellEnd"/>
      <w:r w:rsidRPr="00FF1B50">
        <w:t xml:space="preserve"> of remands of all kinds).</w:t>
      </w:r>
    </w:p>
  </w:footnote>
  <w:footnote w:id="152">
    <w:p w14:paraId="4D80B1B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Matter of Riggsby</w:t>
      </w:r>
      <w:r w:rsidRPr="00FF1B50">
        <w:t>, 745 F.2d 1153, 1156 (7th Cir. 1984).</w:t>
      </w:r>
    </w:p>
  </w:footnote>
  <w:footnote w:id="153">
    <w:p w14:paraId="5D2E996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Am. Train Dispatchers Dep’t of Int’l Bhd. of Locomotive </w:t>
      </w:r>
      <w:proofErr w:type="spellStart"/>
      <w:r w:rsidRPr="00FF1B50">
        <w:rPr>
          <w:i/>
          <w:iCs/>
        </w:rPr>
        <w:t>Eng’rs</w:t>
      </w:r>
      <w:proofErr w:type="spellEnd"/>
      <w:r w:rsidRPr="00FF1B50">
        <w:rPr>
          <w:i/>
          <w:iCs/>
        </w:rPr>
        <w:t> v. Norfolk S. Ry. Co.</w:t>
      </w:r>
      <w:r w:rsidRPr="00FF1B50">
        <w:t>, 67 F.3d 301, *3 (7th Cir. 1995) (unpublished).</w:t>
      </w:r>
    </w:p>
  </w:footnote>
  <w:footnote w:id="154">
    <w:p w14:paraId="5FBF57F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Perlman v. Swiss Bank Corp. Comprehensive Disability Prot. Plan</w:t>
      </w:r>
      <w:r w:rsidRPr="00FF1B50">
        <w:t>, 195 F.3d 975, 980 (7th Cir. 1999).</w:t>
      </w:r>
    </w:p>
  </w:footnote>
  <w:footnote w:id="155">
    <w:p w14:paraId="4A9F436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Travis v. Sullivan</w:t>
      </w:r>
      <w:r w:rsidRPr="00FF1B50">
        <w:t xml:space="preserve">, 985 F.2d 919, 922-23 (7th Cir. 1993) (citing </w:t>
      </w:r>
      <w:r w:rsidRPr="00FF1B50">
        <w:rPr>
          <w:i/>
          <w:iCs/>
        </w:rPr>
        <w:t>Crowder</w:t>
      </w:r>
      <w:r w:rsidRPr="00FF1B50">
        <w:t>, 897 F.2d at 252-53) (employing notion of “practical finality” .</w:t>
      </w:r>
    </w:p>
  </w:footnote>
  <w:footnote w:id="156">
    <w:p w14:paraId="5AE98CA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Perlman</w:t>
      </w:r>
      <w:r w:rsidRPr="00FF1B50">
        <w:t xml:space="preserve">, 195 F.3d at 980; </w:t>
      </w:r>
      <w:r w:rsidRPr="00FF1B50">
        <w:rPr>
          <w:i/>
          <w:iCs/>
        </w:rPr>
        <w:t>Matter of Riggsby</w:t>
      </w:r>
      <w:r w:rsidRPr="00FF1B50">
        <w:t>, 745 F.2d at 1156.</w:t>
      </w:r>
    </w:p>
  </w:footnote>
  <w:footnote w:id="157">
    <w:p w14:paraId="4CC4B788"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Izaak Walton League of Am., Inc. v. Kimbell</w:t>
      </w:r>
      <w:r w:rsidRPr="00FF1B50">
        <w:t>, 558 F.3d 751, 763 (8th Cir. 2009) (“The collateral order doctrine or a similar administrative law exception to the final judgment rule may well apply when an agency seeks to appeal a remand order to raise an issue that could not be appealed after the proceedings on remand.”).</w:t>
      </w:r>
    </w:p>
  </w:footnote>
  <w:footnote w:id="158">
    <w:p w14:paraId="31C1BB5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City of Council Bluffs, Iowa v. U.S. Dep’t of Interior</w:t>
      </w:r>
      <w:r w:rsidRPr="00FF1B50">
        <w:t xml:space="preserve">, 11 F.4th 852, 856 (8th Cir. 2021) (citing </w:t>
      </w:r>
      <w:proofErr w:type="spellStart"/>
      <w:r w:rsidRPr="00FF1B50">
        <w:t>unreviewability</w:t>
      </w:r>
      <w:proofErr w:type="spellEnd"/>
      <w:r w:rsidRPr="00FF1B50">
        <w:t xml:space="preserve"> and ministerial-proceedings criteria to reject appeal by plaintiff cities and states of </w:t>
      </w:r>
      <w:r>
        <w:t>remand</w:t>
      </w:r>
      <w:r w:rsidRPr="00FF1B50">
        <w:t xml:space="preserve">); </w:t>
      </w:r>
      <w:r w:rsidRPr="00FF1B50">
        <w:rPr>
          <w:i/>
          <w:iCs/>
        </w:rPr>
        <w:t>Davies v. Johanns</w:t>
      </w:r>
      <w:r w:rsidRPr="00FF1B50">
        <w:t>, 477 F.3d 968, 971 (8th Cir. 2007) (</w:t>
      </w:r>
      <w:r>
        <w:t>agency</w:t>
      </w:r>
      <w:r w:rsidRPr="00FF1B50">
        <w:t xml:space="preserve"> could appeal remand of farm appreciation survey under all these criteria).</w:t>
      </w:r>
    </w:p>
  </w:footnote>
  <w:footnote w:id="159">
    <w:p w14:paraId="703CD7C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City of Council Bluffs, Iowa</w:t>
      </w:r>
      <w:r w:rsidRPr="00FF1B50">
        <w:t xml:space="preserve">, 11 F.4th at 856 (plaintiff cities and states could not appeal district court remand to National Indian Gaming Commission); </w:t>
      </w:r>
      <w:r w:rsidRPr="00FF1B50">
        <w:rPr>
          <w:i/>
          <w:iCs/>
        </w:rPr>
        <w:t>Izaak Walton League of Am.</w:t>
      </w:r>
      <w:r w:rsidRPr="00FF1B50">
        <w:t xml:space="preserve">, 558 F.3d at 763 (private intervenor-defendant could not appeal remand </w:t>
      </w:r>
      <w:r>
        <w:t>absent</w:t>
      </w:r>
      <w:r w:rsidRPr="00FF1B50">
        <w:t xml:space="preserve"> agency appeal); </w:t>
      </w:r>
      <w:r w:rsidRPr="00FF1B50">
        <w:rPr>
          <w:i/>
          <w:iCs/>
        </w:rPr>
        <w:t>Giordano</w:t>
      </w:r>
      <w:r w:rsidRPr="00FF1B50">
        <w:t xml:space="preserve">, 565 F.2d at 1017-18 (plaintiffs could not appeal remand </w:t>
      </w:r>
      <w:r>
        <w:t>to agency</w:t>
      </w:r>
      <w:r w:rsidRPr="00FF1B50">
        <w:t xml:space="preserve"> for rehearing with new evidence).</w:t>
      </w:r>
    </w:p>
  </w:footnote>
  <w:footnote w:id="160">
    <w:p w14:paraId="692E47E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Alsea Valley Alliance</w:t>
      </w:r>
      <w:r w:rsidRPr="00FF1B50">
        <w:t xml:space="preserve">, 358 F.3d at 1184 (quoting </w:t>
      </w:r>
      <w:r w:rsidRPr="00FF1B50">
        <w:rPr>
          <w:i/>
          <w:iCs/>
        </w:rPr>
        <w:t>Collord</w:t>
      </w:r>
      <w:r w:rsidRPr="00FF1B50">
        <w:t>, 154 F.3d at 935).</w:t>
      </w:r>
    </w:p>
  </w:footnote>
  <w:footnote w:id="161">
    <w:p w14:paraId="2F8950B2" w14:textId="24A1D486"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supra </w:t>
      </w:r>
      <w:r>
        <w:t xml:space="preserve">note </w:t>
      </w:r>
      <w:r>
        <w:rPr>
          <w:highlight w:val="cyan"/>
        </w:rPr>
        <w:fldChar w:fldCharType="begin"/>
      </w:r>
      <w:r>
        <w:instrText xml:space="preserve"> NOTEREF _Ref211360073 \h </w:instrText>
      </w:r>
      <w:r>
        <w:rPr>
          <w:highlight w:val="cyan"/>
        </w:rPr>
        <w:instrText xml:space="preserve"> \* MERGEFORMAT </w:instrText>
      </w:r>
      <w:r>
        <w:rPr>
          <w:highlight w:val="cyan"/>
        </w:rPr>
      </w:r>
      <w:r>
        <w:rPr>
          <w:highlight w:val="cyan"/>
        </w:rPr>
        <w:fldChar w:fldCharType="separate"/>
      </w:r>
      <w:r>
        <w:t>68</w:t>
      </w:r>
      <w:r>
        <w:rPr>
          <w:highlight w:val="cyan"/>
        </w:rPr>
        <w:fldChar w:fldCharType="end"/>
      </w:r>
      <w:r>
        <w:t xml:space="preserve"> and accompanying text</w:t>
      </w:r>
      <w:r w:rsidRPr="00FF1B50">
        <w:t xml:space="preserve"> (describing collateral-order doctrine’s three-part test); </w:t>
      </w:r>
      <w:r w:rsidRPr="00FF1B50">
        <w:rPr>
          <w:i/>
          <w:iCs/>
        </w:rPr>
        <w:t>see also</w:t>
      </w:r>
      <w:r w:rsidRPr="00FF1B50">
        <w:t xml:space="preserve"> </w:t>
      </w:r>
      <w:r w:rsidRPr="00FF1B50">
        <w:rPr>
          <w:i/>
          <w:iCs/>
        </w:rPr>
        <w:t>Borntrager v. Cent. States, Se. &amp; Sw. Areas Pension Fund</w:t>
      </w:r>
      <w:r w:rsidRPr="00FF1B50">
        <w:t>, 425 F.3d 1087, 1091-92 (8th Cir. 2005) (describing similarity between Ninth Circuit test and collateral-order doctrine).</w:t>
      </w:r>
    </w:p>
  </w:footnote>
  <w:footnote w:id="162">
    <w:p w14:paraId="41E98618"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Ctr. for Biological Diversity</w:t>
      </w:r>
      <w:r w:rsidRPr="00FF1B50">
        <w:t xml:space="preserve">, 69 F.4th at 594; </w:t>
      </w:r>
      <w:r w:rsidRPr="00FF1B50">
        <w:rPr>
          <w:i/>
          <w:iCs/>
        </w:rPr>
        <w:t>Alsea Valley Alliance</w:t>
      </w:r>
      <w:r w:rsidRPr="00FF1B50">
        <w:t xml:space="preserve">, 358 F.3d at 1184. </w:t>
      </w:r>
    </w:p>
  </w:footnote>
  <w:footnote w:id="163">
    <w:p w14:paraId="36CA20DC" w14:textId="77777777" w:rsidR="00092031" w:rsidRPr="00FF1B50" w:rsidRDefault="00092031" w:rsidP="00092031">
      <w:pPr>
        <w:pStyle w:val="FootnoteText"/>
      </w:pPr>
      <w:r w:rsidRPr="00FF1B50">
        <w:rPr>
          <w:rStyle w:val="FootnoteReference"/>
          <w:rFonts w:cs="Times New Roman"/>
        </w:rPr>
        <w:footnoteRef/>
      </w:r>
      <w:r w:rsidRPr="00FF1B50">
        <w:t xml:space="preserve"> Arguably the “importance” requirement is implicit, and implicitly met, in the Ninth Circuit’s case law, if not also the Ninth Circuit’s requirement that a remand “forces an agency to apply a potentially erroneous rule.” Still, the Ninth Circuit does not require an explicit finding of legal “importance,” even though the Supreme Court has stressed that “importance” is, well, important. </w:t>
      </w:r>
      <w:r w:rsidRPr="00FF1B50">
        <w:rPr>
          <w:i/>
          <w:iCs/>
        </w:rPr>
        <w:t>See</w:t>
      </w:r>
      <w:r w:rsidRPr="00FF1B50">
        <w:t xml:space="preserve"> </w:t>
      </w:r>
      <w:r w:rsidRPr="00FF1B50">
        <w:rPr>
          <w:i/>
          <w:iCs/>
        </w:rPr>
        <w:t>Digital Equip. Corp.</w:t>
      </w:r>
      <w:r w:rsidRPr="00FF1B50">
        <w:t xml:space="preserve">, 511 U.S. at 878-79. </w:t>
      </w:r>
    </w:p>
  </w:footnote>
  <w:footnote w:id="164">
    <w:p w14:paraId="035B5F1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Alsea Valley Alliance</w:t>
      </w:r>
      <w:r w:rsidRPr="00FF1B50">
        <w:t xml:space="preserve">, 358 F.3d at 1184; </w:t>
      </w:r>
      <w:r w:rsidRPr="00FF1B50">
        <w:rPr>
          <w:i/>
          <w:iCs/>
        </w:rPr>
        <w:t>see also Collord</w:t>
      </w:r>
      <w:r w:rsidRPr="00FF1B50">
        <w:t xml:space="preserve">, 154 F.3d at 935 (“On remand, the Board is required to determine the </w:t>
      </w:r>
      <w:proofErr w:type="spellStart"/>
      <w:r w:rsidRPr="00FF1B50">
        <w:t>Collords</w:t>
      </w:r>
      <w:proofErr w:type="spellEnd"/>
      <w:r w:rsidRPr="00FF1B50">
        <w:t xml:space="preserve">’ eligibility for fees under the EAJA. If the district court's interpretation is erroneous, the remand will result in a wasted proceeding applying an erroneous rule of law.”); </w:t>
      </w:r>
      <w:r w:rsidRPr="00FF1B50">
        <w:rPr>
          <w:i/>
          <w:iCs/>
        </w:rPr>
        <w:t>Stone</w:t>
      </w:r>
      <w:r w:rsidRPr="00FF1B50">
        <w:t>, 722 F.2d at 467 (“The court recognized that if the court of appeals were to dismiss for lack of jurisdiction, the next proceeding would be the ALJ’s application of a possibly incorrect standard to the facts. If this standard were indeed wrong, the proceeding would be wasted.”).</w:t>
      </w:r>
    </w:p>
  </w:footnote>
  <w:footnote w:id="165">
    <w:p w14:paraId="635C57B6" w14:textId="4112F498"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Sierra Forest Legacy v. Sherman</w:t>
      </w:r>
      <w:r w:rsidRPr="00FF1B50">
        <w:t xml:space="preserve">, 646 F.3d 1161, 1175 (9th Cir. 2011) (choosing to ignore </w:t>
      </w:r>
      <w:proofErr w:type="spellStart"/>
      <w:r w:rsidRPr="00FF1B50">
        <w:t>unreviewability</w:t>
      </w:r>
      <w:proofErr w:type="spellEnd"/>
      <w:r w:rsidRPr="00FF1B50">
        <w:t xml:space="preserve"> requirement); </w:t>
      </w:r>
      <w:r w:rsidRPr="00FF1B50">
        <w:rPr>
          <w:i/>
          <w:iCs/>
        </w:rPr>
        <w:t>see also United States v. U.S. Bd. of Water Comm’rs</w:t>
      </w:r>
      <w:r w:rsidRPr="00FF1B50">
        <w:t xml:space="preserve">, 893 F.3d 578, 594 (9th Cir. 2018) (reiterating “considerations” language from </w:t>
      </w:r>
      <w:r w:rsidRPr="00FF1B50">
        <w:rPr>
          <w:i/>
          <w:iCs/>
        </w:rPr>
        <w:t>Sierra Forest Legacy</w:t>
      </w:r>
      <w:r w:rsidRPr="00FF1B50">
        <w:t xml:space="preserve">). </w:t>
      </w:r>
      <w:r w:rsidRPr="00FF1B50">
        <w:rPr>
          <w:i/>
          <w:iCs/>
        </w:rPr>
        <w:t>But see</w:t>
      </w:r>
      <w:r w:rsidRPr="00FF1B50">
        <w:t xml:space="preserve"> </w:t>
      </w:r>
      <w:r w:rsidRPr="00FF1B50">
        <w:rPr>
          <w:i/>
          <w:iCs/>
        </w:rPr>
        <w:t>Gallatin Wildlife Ass’n v. U.S. Forest Serv.</w:t>
      </w:r>
      <w:r w:rsidRPr="00FF1B50">
        <w:t xml:space="preserve">, 743 Fed. Appx. 753, 756 (9th Cir. 2018) (stating that “[w]e may treat a remand order as a final decision </w:t>
      </w:r>
      <w:r w:rsidRPr="00FF1B50">
        <w:rPr>
          <w:i/>
          <w:iCs/>
        </w:rPr>
        <w:t>only</w:t>
      </w:r>
      <w:r w:rsidRPr="00FF1B50">
        <w:t xml:space="preserve"> if” the Ninth Circuit’s three criteria are met (emphasis added)). </w:t>
      </w:r>
      <w:r w:rsidRPr="00FF1B50">
        <w:rPr>
          <w:i/>
          <w:iCs/>
        </w:rPr>
        <w:t>Sierra Forest Legacy</w:t>
      </w:r>
      <w:r w:rsidRPr="00FF1B50">
        <w:t xml:space="preserve">’s repudiation of any firm test brings the Ninth Circuit closer than any other to the case-by-case balancing the Supreme Court established in </w:t>
      </w:r>
      <w:r w:rsidRPr="00FF1B50">
        <w:rPr>
          <w:i/>
          <w:iCs/>
        </w:rPr>
        <w:t>Gillespie</w:t>
      </w:r>
      <w:r w:rsidRPr="00FF1B50">
        <w:t xml:space="preserve"> (and subsequently rejected). </w:t>
      </w:r>
      <w:r w:rsidRPr="00FF1B50">
        <w:rPr>
          <w:i/>
          <w:iCs/>
        </w:rPr>
        <w:t>See supra</w:t>
      </w:r>
      <w:r w:rsidRPr="00FF1B50">
        <w:t xml:space="preserve"> </w:t>
      </w:r>
      <w:r>
        <w:t xml:space="preserve">notes </w:t>
      </w:r>
      <w:r>
        <w:fldChar w:fldCharType="begin"/>
      </w:r>
      <w:r>
        <w:instrText xml:space="preserve"> NOTEREF _Ref211359351 \h  \* MERGEFORMAT </w:instrText>
      </w:r>
      <w:r>
        <w:fldChar w:fldCharType="separate"/>
      </w:r>
      <w:r>
        <w:t>53</w:t>
      </w:r>
      <w:r>
        <w:fldChar w:fldCharType="end"/>
      </w:r>
      <w:r>
        <w:t>-</w:t>
      </w:r>
      <w:r>
        <w:fldChar w:fldCharType="begin"/>
      </w:r>
      <w:r>
        <w:instrText xml:space="preserve"> NOTEREF _Ref211358922 \h  \* MERGEFORMAT </w:instrText>
      </w:r>
      <w:r>
        <w:fldChar w:fldCharType="separate"/>
      </w:r>
      <w:r>
        <w:t>97</w:t>
      </w:r>
      <w:r>
        <w:fldChar w:fldCharType="end"/>
      </w:r>
      <w:r>
        <w:t xml:space="preserve"> and accompanying text</w:t>
      </w:r>
      <w:r w:rsidRPr="00FF1B50">
        <w:t>.</w:t>
      </w:r>
    </w:p>
  </w:footnote>
  <w:footnote w:id="166">
    <w:p w14:paraId="689DD73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proofErr w:type="spellStart"/>
      <w:r w:rsidRPr="00FF1B50">
        <w:rPr>
          <w:i/>
          <w:iCs/>
        </w:rPr>
        <w:t>Nat’l</w:t>
      </w:r>
      <w:proofErr w:type="spellEnd"/>
      <w:r w:rsidRPr="00FF1B50">
        <w:rPr>
          <w:i/>
          <w:iCs/>
        </w:rPr>
        <w:t xml:space="preserve"> Wildlife Fed’n v. Nat’l Marine Fisheries Serv.</w:t>
      </w:r>
      <w:r w:rsidRPr="00FF1B50">
        <w:t xml:space="preserve">, 886 F.3d 803, 816 (9th Cir. 2018) (“A remand order is ordinarily final only for purposes of a </w:t>
      </w:r>
      <w:r w:rsidRPr="00FF1B50">
        <w:rPr>
          <w:i/>
          <w:iCs/>
        </w:rPr>
        <w:t>government</w:t>
      </w:r>
      <w:r w:rsidRPr="00FF1B50">
        <w:t xml:space="preserve"> appeal under 28 U.S.C. § 1291.”); </w:t>
      </w:r>
      <w:r w:rsidRPr="00FF1B50">
        <w:rPr>
          <w:i/>
          <w:iCs/>
        </w:rPr>
        <w:t>Oregon Wild v. Bureau of Land Mgmt.</w:t>
      </w:r>
      <w:r w:rsidRPr="00FF1B50">
        <w:t>, 690 Fed. Appx. 987, 988 (9th Cir. 2017) (“When, as here, the agency subject to the remand order chooses not to appeal, private litigants generally cannot appeal the remand order.”)</w:t>
      </w:r>
      <w:r>
        <w:t xml:space="preserve">; </w:t>
      </w:r>
      <w:r w:rsidRPr="00FF1B50">
        <w:rPr>
          <w:i/>
          <w:iCs/>
        </w:rPr>
        <w:t>Alsea Valley Alliance</w:t>
      </w:r>
      <w:r w:rsidRPr="00FF1B50">
        <w:t>, 358 F.3d at 1184</w:t>
      </w:r>
      <w:r>
        <w:t xml:space="preserve"> (“</w:t>
      </w:r>
      <w:r w:rsidRPr="00FF1B50">
        <w:t xml:space="preserve">In previous cases, the remand orders we have recognized as satisfying this requirement [of </w:t>
      </w:r>
      <w:proofErr w:type="spellStart"/>
      <w:r w:rsidRPr="00FF1B50">
        <w:t>unreviewability</w:t>
      </w:r>
      <w:proofErr w:type="spellEnd"/>
      <w:r w:rsidRPr="00FF1B50">
        <w:t>] have been uniform in one respect: all were challenged on appeal by an administrative agency. This is no mere coincidence. Rather, it underscores that only agencies compelled to refashion their own rules face the unique prospect of being deprived of review altogether.”</w:t>
      </w:r>
      <w:r>
        <w:t>).</w:t>
      </w:r>
    </w:p>
  </w:footnote>
  <w:footnote w:id="167">
    <w:p w14:paraId="0A55C9E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Crow Indian Tribe v. United States</w:t>
      </w:r>
      <w:r w:rsidRPr="00FF1B50">
        <w:t xml:space="preserve">, 965 F.3d 662, 676 (9th Cir. 2020) (private intervenor-defendants could appeal remand, in largest part because issue would later be unreviewable as to those parties (although </w:t>
      </w:r>
      <w:r>
        <w:t>agency</w:t>
      </w:r>
      <w:r w:rsidRPr="00FF1B50">
        <w:t xml:space="preserve"> also appealed)); </w:t>
      </w:r>
      <w:r w:rsidRPr="00FF1B50">
        <w:rPr>
          <w:i/>
          <w:iCs/>
        </w:rPr>
        <w:t>U.S. Bd. of Water Comm’rs</w:t>
      </w:r>
      <w:r w:rsidRPr="00FF1B50">
        <w:t>, 893 F.3d at 594-95 (nonprofit plaintiff could appeal remand</w:t>
      </w:r>
      <w:r>
        <w:t xml:space="preserve"> to agency</w:t>
      </w:r>
      <w:r w:rsidRPr="00FF1B50">
        <w:t xml:space="preserve">, although it mattered that another agency joined as an appellant); </w:t>
      </w:r>
      <w:r w:rsidRPr="00FF1B50">
        <w:rPr>
          <w:i/>
          <w:iCs/>
        </w:rPr>
        <w:t>Sierra Forest Legacy</w:t>
      </w:r>
      <w:r w:rsidRPr="00FF1B50">
        <w:t xml:space="preserve">, 646 F.3d at 1175 (nonprofit and state plaintiffs could appeal narrow remand that failed to address majority of plaintiffs’ claims, and where “the work of both the district court and the agency is complete”); </w:t>
      </w:r>
      <w:r w:rsidRPr="00FF1B50">
        <w:rPr>
          <w:i/>
          <w:iCs/>
        </w:rPr>
        <w:t>Pauly</w:t>
      </w:r>
      <w:r w:rsidRPr="00FF1B50">
        <w:t xml:space="preserve">, 348 F.3d at 1148 (plaintiff farmers could appeal remand because </w:t>
      </w:r>
      <w:r>
        <w:t>it</w:t>
      </w:r>
      <w:r w:rsidRPr="00FF1B50">
        <w:t xml:space="preserve"> left only ministerial action for agency to complete); </w:t>
      </w:r>
      <w:r w:rsidRPr="00FF1B50">
        <w:rPr>
          <w:i/>
          <w:iCs/>
        </w:rPr>
        <w:t xml:space="preserve">Skagit </w:t>
      </w:r>
      <w:proofErr w:type="spellStart"/>
      <w:r w:rsidRPr="00FF1B50">
        <w:rPr>
          <w:i/>
          <w:iCs/>
        </w:rPr>
        <w:t>Cnty</w:t>
      </w:r>
      <w:proofErr w:type="spellEnd"/>
      <w:r w:rsidRPr="00FF1B50">
        <w:rPr>
          <w:i/>
          <w:iCs/>
        </w:rPr>
        <w:t>.</w:t>
      </w:r>
      <w:r w:rsidRPr="00FF1B50">
        <w:t>, 80 F.3d at 384 (plaintiff Medicare provider could appeal remand where remand was “meaningless” because it could not provide the relief the provider sought)</w:t>
      </w:r>
      <w:r>
        <w:t xml:space="preserve">. Many unpublished decisions are to the same effect. </w:t>
      </w:r>
      <w:r>
        <w:rPr>
          <w:i/>
          <w:iCs/>
        </w:rPr>
        <w:t>Se</w:t>
      </w:r>
      <w:r w:rsidRPr="00FF1B50">
        <w:rPr>
          <w:i/>
          <w:iCs/>
        </w:rPr>
        <w:t>e, e.g.</w:t>
      </w:r>
      <w:r w:rsidRPr="00FF1B50">
        <w:t>,</w:t>
      </w:r>
      <w:r w:rsidRPr="00FF1B50">
        <w:rPr>
          <w:i/>
          <w:iCs/>
        </w:rPr>
        <w:t xml:space="preserve"> Neighbors Against Bison Slaughter v. Nat’l Park Serv.</w:t>
      </w:r>
      <w:r w:rsidRPr="00FF1B50">
        <w:t>, No. 21-35144, 2022 WL 1315302, *1 (9th Cir. May 3, 2022) (nonprofit plaintiffs could appeal remand because it “conclusively resolved Plaintiffs’ claim</w:t>
      </w:r>
      <w:r>
        <w:t>” and issue would be later be unreviewable</w:t>
      </w:r>
      <w:r w:rsidRPr="00FF1B50">
        <w:t xml:space="preserve"> (internal quotation marks omitted))</w:t>
      </w:r>
      <w:r>
        <w:t>.</w:t>
      </w:r>
    </w:p>
  </w:footnote>
  <w:footnote w:id="168">
    <w:p w14:paraId="1830290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Ctr. for Biological Diversity</w:t>
      </w:r>
      <w:r w:rsidRPr="00FF1B50">
        <w:t xml:space="preserve">, 69 F.4th at 595 (proposed private intervenor-defendants could not appeal remand of decision granting rights-of-way because issue could be reviewed later); </w:t>
      </w:r>
      <w:r w:rsidRPr="00FF1B50">
        <w:rPr>
          <w:i/>
          <w:iCs/>
        </w:rPr>
        <w:t>Zen Magnets, LLC v. Consumer Product Safety Comm’n</w:t>
      </w:r>
      <w:r w:rsidRPr="00FF1B50">
        <w:t xml:space="preserve">, 968 F.3d 1156, 1165-66 (9th Cir. 2020) (Ninth Circuit lacked jurisdiction over portions of plaintiff’s cross-appeal from remand not covered by government’s appeal because </w:t>
      </w:r>
      <w:proofErr w:type="spellStart"/>
      <w:r w:rsidRPr="00FF1B50">
        <w:t>unreviewability</w:t>
      </w:r>
      <w:proofErr w:type="spellEnd"/>
      <w:r w:rsidRPr="00FF1B50">
        <w:t xml:space="preserve"> factor was absent); </w:t>
      </w:r>
      <w:proofErr w:type="spellStart"/>
      <w:r w:rsidRPr="00FF1B50">
        <w:rPr>
          <w:i/>
          <w:iCs/>
        </w:rPr>
        <w:t>Nat’l</w:t>
      </w:r>
      <w:proofErr w:type="spellEnd"/>
      <w:r w:rsidRPr="00FF1B50">
        <w:rPr>
          <w:i/>
          <w:iCs/>
        </w:rPr>
        <w:t xml:space="preserve"> Wildlife </w:t>
      </w:r>
      <w:proofErr w:type="spellStart"/>
      <w:r w:rsidRPr="00FF1B50">
        <w:rPr>
          <w:i/>
          <w:iCs/>
        </w:rPr>
        <w:t>Fed’n</w:t>
      </w:r>
      <w:proofErr w:type="spellEnd"/>
      <w:r w:rsidRPr="00FF1B50">
        <w:t xml:space="preserve">, 886 F.3d at 816 (prior interim remand was not final as to plaintiffs because it was not “extremely narrow”); </w:t>
      </w:r>
      <w:r w:rsidRPr="00FF1B50">
        <w:rPr>
          <w:i/>
          <w:iCs/>
        </w:rPr>
        <w:t>Pit River Tribe v. U.S. Forest Serv.</w:t>
      </w:r>
      <w:r w:rsidRPr="00FF1B50">
        <w:t>, 615 F.3d 1069, 1076 (9th Cir. 2010) (tribal and nonprofit plaintiffs could not appeal remand because review could be had later, even though remand essentially dismissed the case</w:t>
      </w:r>
      <w:r>
        <w:t xml:space="preserve">). Many unpublished decisions reach the same result. </w:t>
      </w:r>
      <w:r>
        <w:rPr>
          <w:i/>
          <w:iCs/>
        </w:rPr>
        <w:t>Se</w:t>
      </w:r>
      <w:r w:rsidRPr="00FF1B50">
        <w:rPr>
          <w:i/>
          <w:iCs/>
        </w:rPr>
        <w:t>e, e.g.</w:t>
      </w:r>
      <w:r w:rsidRPr="00FF1B50">
        <w:t>,</w:t>
      </w:r>
      <w:r w:rsidRPr="00FF1B50">
        <w:rPr>
          <w:i/>
          <w:iCs/>
        </w:rPr>
        <w:t xml:space="preserve"> Montana Env’t Info. Ctr.</w:t>
      </w:r>
      <w:r w:rsidRPr="00FF1B50">
        <w:t xml:space="preserve">, 2023 WL 8166779, at *1 (intervenor-defendant mining company could not appeal remand </w:t>
      </w:r>
      <w:r>
        <w:t>to agency</w:t>
      </w:r>
      <w:r w:rsidRPr="00FF1B50">
        <w:t xml:space="preserve">; separability and wasted proceeding criteria were met, but </w:t>
      </w:r>
      <w:proofErr w:type="spellStart"/>
      <w:r w:rsidRPr="00FF1B50">
        <w:t>unreviewability</w:t>
      </w:r>
      <w:proofErr w:type="spellEnd"/>
      <w:r w:rsidRPr="00FF1B50">
        <w:t xml:space="preserve"> criterion was not)</w:t>
      </w:r>
      <w:r>
        <w:t>.</w:t>
      </w:r>
    </w:p>
  </w:footnote>
  <w:footnote w:id="169">
    <w:p w14:paraId="0AA266D5" w14:textId="77777777" w:rsidR="00092031" w:rsidRPr="00FF1B50" w:rsidRDefault="00092031" w:rsidP="00092031">
      <w:pPr>
        <w:pStyle w:val="FootnoteText"/>
      </w:pPr>
      <w:r w:rsidRPr="00FF1B50">
        <w:rPr>
          <w:rStyle w:val="FootnoteReference"/>
          <w:rFonts w:cs="Times New Roman"/>
        </w:rPr>
        <w:footnoteRef/>
      </w:r>
      <w:r w:rsidRPr="00FF1B50">
        <w:t xml:space="preserve"> </w:t>
      </w:r>
      <w:proofErr w:type="spellStart"/>
      <w:r w:rsidRPr="00FF1B50">
        <w:rPr>
          <w:i/>
          <w:iCs/>
        </w:rPr>
        <w:t>Nat’l</w:t>
      </w:r>
      <w:proofErr w:type="spellEnd"/>
      <w:r w:rsidRPr="00FF1B50">
        <w:rPr>
          <w:i/>
          <w:iCs/>
        </w:rPr>
        <w:t xml:space="preserve"> Wildlife </w:t>
      </w:r>
      <w:proofErr w:type="spellStart"/>
      <w:r w:rsidRPr="00FF1B50">
        <w:rPr>
          <w:i/>
          <w:iCs/>
        </w:rPr>
        <w:t>Fed’n</w:t>
      </w:r>
      <w:proofErr w:type="spellEnd"/>
      <w:r w:rsidRPr="00FF1B50">
        <w:t xml:space="preserve">, 886 F.3d at 816 (quoting </w:t>
      </w:r>
      <w:r w:rsidRPr="00FF1B50">
        <w:rPr>
          <w:i/>
          <w:iCs/>
        </w:rPr>
        <w:t>Sierra Forest Legacy</w:t>
      </w:r>
      <w:r w:rsidRPr="00FF1B50">
        <w:t>, 646 F.3d at 1175).</w:t>
      </w:r>
    </w:p>
  </w:footnote>
  <w:footnote w:id="170">
    <w:p w14:paraId="134FADD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(quoting </w:t>
      </w:r>
      <w:r w:rsidRPr="00FF1B50">
        <w:rPr>
          <w:i/>
          <w:iCs/>
        </w:rPr>
        <w:t>Pauly</w:t>
      </w:r>
      <w:r w:rsidRPr="00FF1B50">
        <w:t>, 348 F.3d at 1148).</w:t>
      </w:r>
    </w:p>
  </w:footnote>
  <w:footnote w:id="171">
    <w:p w14:paraId="72CC7D8C" w14:textId="77777777" w:rsidR="00092031" w:rsidRPr="00FF1B50" w:rsidRDefault="00092031" w:rsidP="00092031">
      <w:pPr>
        <w:pStyle w:val="FootnoteText"/>
      </w:pPr>
      <w:r w:rsidRPr="00FF1B50">
        <w:rPr>
          <w:rStyle w:val="FootnoteReference"/>
          <w:rFonts w:cs="Times New Roman"/>
        </w:rPr>
        <w:footnoteRef/>
      </w:r>
      <w:r w:rsidRPr="00FF1B50">
        <w:t xml:space="preserve"> Countless Ninth Circuit decisions allow appeals by agencies; I will cite </w:t>
      </w:r>
      <w:r>
        <w:t>just two</w:t>
      </w:r>
      <w:r w:rsidRPr="00FF1B50">
        <w:t xml:space="preserve"> of the most recent ones: </w:t>
      </w:r>
      <w:r w:rsidRPr="00FF1B50">
        <w:rPr>
          <w:i/>
          <w:iCs/>
        </w:rPr>
        <w:t>Bair v. Cal. Dep’t of Transp.</w:t>
      </w:r>
      <w:r w:rsidRPr="00FF1B50">
        <w:t xml:space="preserve">, 982 F.3d 569, 577 (9th Cir. 2020) (conclusorily stating that, under </w:t>
      </w:r>
      <w:r w:rsidRPr="00FF1B50">
        <w:rPr>
          <w:i/>
          <w:iCs/>
        </w:rPr>
        <w:t>Alsea Valley Alliance</w:t>
      </w:r>
      <w:r w:rsidRPr="00FF1B50">
        <w:t xml:space="preserve"> and other administrative-remand-rule cases, court had jurisdiction over appeal by California Department of Transportation of remand under National Environmental Policy Act); </w:t>
      </w:r>
      <w:r w:rsidRPr="00FF1B50">
        <w:rPr>
          <w:i/>
          <w:iCs/>
        </w:rPr>
        <w:t>Crow Indian Tribe</w:t>
      </w:r>
      <w:r w:rsidRPr="00FF1B50">
        <w:t>, 965 F.3d at 676 (U.S. Fish and Wildlife Service could appeal remand because a “remand of agency’s rulemaking is a final order as to the government and therefore appealable”)</w:t>
      </w:r>
      <w:r>
        <w:t>.</w:t>
      </w:r>
    </w:p>
  </w:footnote>
  <w:footnote w:id="172">
    <w:p w14:paraId="29F95467" w14:textId="77777777" w:rsidR="00092031" w:rsidRPr="00FF1B50" w:rsidRDefault="00092031" w:rsidP="00092031">
      <w:pPr>
        <w:pStyle w:val="FootnoteText"/>
      </w:pPr>
      <w:r w:rsidRPr="00FF1B50">
        <w:rPr>
          <w:rStyle w:val="FootnoteReference"/>
          <w:rFonts w:cs="Times New Roman"/>
        </w:rPr>
        <w:footnoteRef/>
      </w:r>
      <w:r w:rsidRPr="00FF1B50">
        <w:t xml:space="preserve"> The “same as it ever was” should need no attribution, but for anyone younger than Gen X: Talking Heads, </w:t>
      </w:r>
      <w:r w:rsidRPr="00FF1B50">
        <w:rPr>
          <w:i/>
          <w:iCs/>
        </w:rPr>
        <w:t>Once in a Lifetime</w:t>
      </w:r>
      <w:r w:rsidRPr="00FF1B50">
        <w:t xml:space="preserve"> (Sire Records, 1981). The 2020 case is </w:t>
      </w:r>
      <w:r w:rsidRPr="00FF1B50">
        <w:rPr>
          <w:i/>
          <w:iCs/>
        </w:rPr>
        <w:t>Crow Indian Tribe</w:t>
      </w:r>
      <w:r w:rsidRPr="00FF1B50">
        <w:t>, 965 F.3d at 676 (holding that agency defendants could appeal “since, absent an appeal, the agency would not be able to obtain review of the remand ordering it to conduct further proceedings,” and non-agency intervenor-defendants could appeal under the Ninth Circuit’s three-factor test).</w:t>
      </w:r>
    </w:p>
  </w:footnote>
  <w:footnote w:id="173">
    <w:p w14:paraId="5D27C68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W. Energy All.</w:t>
      </w:r>
      <w:r w:rsidRPr="00FF1B50">
        <w:t xml:space="preserve">, 709 F.3d at 1049 (explaining that the practical-finality doctrine borrows concepts from but is “broader” than the collateral-order doctrine); </w:t>
      </w:r>
      <w:r w:rsidRPr="00FF1B50">
        <w:rPr>
          <w:i/>
          <w:iCs/>
        </w:rPr>
        <w:t>Graham</w:t>
      </w:r>
      <w:r w:rsidRPr="00FF1B50">
        <w:t xml:space="preserve">, 501 F.3d at 1158 (distinguishing practical-finality and collateral-order doctrines); </w:t>
      </w:r>
      <w:r w:rsidRPr="00FF1B50">
        <w:rPr>
          <w:i/>
          <w:iCs/>
        </w:rPr>
        <w:t>Bender</w:t>
      </w:r>
      <w:r w:rsidRPr="00FF1B50">
        <w:t>, 744 F.2d at 1427 (establishes balancing test apart from collateral-order doctrine to assess finality).</w:t>
      </w:r>
    </w:p>
  </w:footnote>
  <w:footnote w:id="174">
    <w:p w14:paraId="59F77A4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0D2EF4">
        <w:rPr>
          <w:i/>
          <w:iCs/>
        </w:rPr>
        <w:t>See, e.g.</w:t>
      </w:r>
      <w:r w:rsidRPr="00FF1B50">
        <w:t xml:space="preserve">, </w:t>
      </w:r>
      <w:r w:rsidRPr="000D2EF4">
        <w:rPr>
          <w:i/>
          <w:iCs/>
        </w:rPr>
        <w:t>Bender</w:t>
      </w:r>
      <w:r w:rsidRPr="00FF1B50">
        <w:t>, 744 F.2d at 1427-28 (holding that government’s appeal of remand was appealable under the practical-finality, but not the collateral-order, doctrine).</w:t>
      </w:r>
    </w:p>
  </w:footnote>
  <w:footnote w:id="175">
    <w:p w14:paraId="061B358A" w14:textId="77777777" w:rsidR="00092031" w:rsidRPr="00FF1B50" w:rsidRDefault="00092031" w:rsidP="00092031">
      <w:pPr>
        <w:pStyle w:val="FootnoteText"/>
      </w:pPr>
      <w:r w:rsidRPr="00FF1B50">
        <w:rPr>
          <w:rStyle w:val="FootnoteReference"/>
          <w:rFonts w:cs="Times New Roman"/>
        </w:rPr>
        <w:footnoteRef/>
      </w:r>
      <w:r w:rsidRPr="00FF1B50">
        <w:t xml:space="preserve"> That is, an appeal may lie from a remand in a case involving a challenge to an agency’s rule (legislative), or where the agency is acting as a party to an action (adversarial), rather than as a decision-making body (adjudicative). The “adversarial” category is the most confusing; the Tenth Circuit’s most illuminating discussion of it is in </w:t>
      </w:r>
      <w:r w:rsidRPr="00FF1B50">
        <w:rPr>
          <w:i/>
          <w:iCs/>
        </w:rPr>
        <w:t>American Wild Horse Preservation Campaign v. Jewell</w:t>
      </w:r>
      <w:r w:rsidRPr="00FF1B50">
        <w:t>, 847 F.3d 1174, 1185 (10th Cir. 2016). “Adjudicative” agency actions may still be subject to appeal, though far less frequently than “legislative” or “adversarial” ones.</w:t>
      </w:r>
    </w:p>
  </w:footnote>
  <w:footnote w:id="176">
    <w:p w14:paraId="5CE19BA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New Mexico Health Connections v. U.S. Dep’t of Health &amp; Human Servs.</w:t>
      </w:r>
      <w:r w:rsidRPr="00FF1B50">
        <w:t xml:space="preserve">, 946 F.3d 1138, 1158 &amp; n.17 (10th Cir. 2019); </w:t>
      </w:r>
      <w:r w:rsidRPr="00FF1B50">
        <w:rPr>
          <w:i/>
          <w:iCs/>
        </w:rPr>
        <w:t>W. Energy All.</w:t>
      </w:r>
      <w:r w:rsidRPr="00FF1B50">
        <w:t>, 709 F.3d at 1049-50.</w:t>
      </w:r>
    </w:p>
  </w:footnote>
  <w:footnote w:id="177">
    <w:p w14:paraId="561CB85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Rocky Mtn. Wild v. Dallas</w:t>
      </w:r>
      <w:r w:rsidRPr="00FF1B50">
        <w:t xml:space="preserve">, 98 F.4th 1263, 1282-86 &amp; n.4 (10th Cir. 2024) (applying these criteria to hold that remand to federal agencies of land-management decision and endangered species biological opinion was appealable by agencies (and by intervenor-defendant under pendent jurisdiction)); </w:t>
      </w:r>
      <w:r w:rsidRPr="00FF1B50">
        <w:rPr>
          <w:i/>
          <w:iCs/>
        </w:rPr>
        <w:t>New Mexico Health Connections</w:t>
      </w:r>
      <w:r w:rsidRPr="00FF1B50">
        <w:t xml:space="preserve">, 946 F.3d at 1158 &amp; n.17 (administrative-remand rule did not apply because relevant agency decision was legislative and district-court order did not require further administrative proceedings, but even if rule did apply, order was appealable by agency because it satisfied relevant criteria); </w:t>
      </w:r>
      <w:r w:rsidRPr="00FF1B50">
        <w:rPr>
          <w:i/>
          <w:iCs/>
        </w:rPr>
        <w:t>Miami Tribe of Okla.</w:t>
      </w:r>
      <w:r w:rsidRPr="00FF1B50">
        <w:t xml:space="preserve">, 656 F.3d at 1140 (prior remand would not have been appealable by agency because it contemplated further district court proceedings); </w:t>
      </w:r>
      <w:r w:rsidRPr="00FF1B50">
        <w:rPr>
          <w:i/>
          <w:iCs/>
        </w:rPr>
        <w:t>Trout Unlimited v. U.S. Dep’t of Agric.</w:t>
      </w:r>
      <w:r w:rsidRPr="00FF1B50">
        <w:t xml:space="preserve">, 441 F.3d 1214, 1218-19 (10th Cir. 2006) (describing “urgent and important test,” to be followed by </w:t>
      </w:r>
      <w:r w:rsidRPr="00FF1B50">
        <w:rPr>
          <w:i/>
          <w:iCs/>
        </w:rPr>
        <w:t>Bender</w:t>
      </w:r>
      <w:r w:rsidRPr="00FF1B50">
        <w:t xml:space="preserve"> balancing test, and under them concluding that remand of water-storage permit was not final as to intervenor-defendants); </w:t>
      </w:r>
      <w:r w:rsidRPr="00FF1B50">
        <w:rPr>
          <w:i/>
          <w:iCs/>
        </w:rPr>
        <w:t>Baca-Prieto</w:t>
      </w:r>
      <w:r w:rsidRPr="00FF1B50">
        <w:t>, 95 F.3d at 1008-09 (citing early version of these tests, and Tenth Circuit’s special consideration of remands in administrative-agency context, to hold that Immigration and Nationalization Service could appeal remand requiring it to grant habeas relief).</w:t>
      </w:r>
    </w:p>
  </w:footnote>
  <w:footnote w:id="178">
    <w:p w14:paraId="26D9ED8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Merit Energy Co., LLC v. Haaland</w:t>
      </w:r>
      <w:r w:rsidRPr="00FF1B50">
        <w:t xml:space="preserve">, Nos. 21-8047 and 21-8048, 2022 WL 17844513, *4 (10th Cir. 2022) (administrative-remand rule did not bar plaintiffs’ appeal of remand because relevant agency decision was “quasi-legislative” or adversarial, and the remand effectively ended the litigation); </w:t>
      </w:r>
      <w:r w:rsidRPr="00FF1B50">
        <w:rPr>
          <w:i/>
          <w:iCs/>
        </w:rPr>
        <w:t>Am. Wild Horse Pres. Campaign</w:t>
      </w:r>
      <w:r w:rsidRPr="00FF1B50">
        <w:t xml:space="preserve">, 847 F.3d at 1184-85 (plaintiff could appeal remand because agency decision was adversarial). </w:t>
      </w:r>
      <w:r w:rsidRPr="00FF1B50">
        <w:rPr>
          <w:i/>
          <w:iCs/>
        </w:rPr>
        <w:t>Compare, e.g.</w:t>
      </w:r>
      <w:r w:rsidRPr="00FF1B50">
        <w:t xml:space="preserve">, </w:t>
      </w:r>
      <w:r w:rsidRPr="00FF1B50">
        <w:rPr>
          <w:i/>
          <w:iCs/>
        </w:rPr>
        <w:t>Cotton Petroleum Corp.</w:t>
      </w:r>
      <w:r w:rsidRPr="00FF1B50">
        <w:t xml:space="preserve">, 870 F.2d at 1522 (applying </w:t>
      </w:r>
      <w:r w:rsidRPr="00FF1B50">
        <w:rPr>
          <w:i/>
          <w:iCs/>
        </w:rPr>
        <w:t>Bender</w:t>
      </w:r>
      <w:r w:rsidRPr="00FF1B50">
        <w:t xml:space="preserve"> test to allow appeal of remand by plaintiffs) </w:t>
      </w:r>
      <w:r w:rsidRPr="00FF1B50">
        <w:rPr>
          <w:i/>
          <w:iCs/>
        </w:rPr>
        <w:t>with, e.g.</w:t>
      </w:r>
      <w:r w:rsidRPr="00FF1B50">
        <w:t xml:space="preserve">, </w:t>
      </w:r>
      <w:r w:rsidRPr="00FF1B50">
        <w:rPr>
          <w:i/>
          <w:iCs/>
        </w:rPr>
        <w:t>W. Energy Alliance v. Salazar</w:t>
      </w:r>
      <w:r w:rsidRPr="00FF1B50">
        <w:t xml:space="preserve">, 709 F.3d 1040, 1049-51 (10th Cir. 2013) (remand of land-use plan not final as to plaintiffs because “importance” and “urgency” criteria unmet); </w:t>
      </w:r>
      <w:r w:rsidRPr="00FF1B50">
        <w:rPr>
          <w:i/>
          <w:iCs/>
        </w:rPr>
        <w:t>S. Utah Wilderness Alliance v. Kempthorne</w:t>
      </w:r>
      <w:r w:rsidRPr="00FF1B50">
        <w:t xml:space="preserve">, 525 F.3d 966, 970 (10th Cir. 2008) (remand of decision approving oil and gas leases on public lands not final as to proposed intervenor-defendant lessees because “importance” and “urgency” criteria were unmet); </w:t>
      </w:r>
      <w:r w:rsidRPr="00FF1B50">
        <w:rPr>
          <w:i/>
          <w:iCs/>
        </w:rPr>
        <w:t>Rocky Mtn. Wild v. Dallas</w:t>
      </w:r>
      <w:r w:rsidRPr="00FF1B50">
        <w:t xml:space="preserve">, Nos. 17-1366 and 17-1413, 2018 WL 11225766, *4-5 (10th Cir. 2018) (remand to U.S. Forest Service not final as to intervenor-defendants); </w:t>
      </w:r>
      <w:r w:rsidRPr="00FF1B50">
        <w:rPr>
          <w:i/>
          <w:iCs/>
        </w:rPr>
        <w:t>Dine Citizens Against Ruining Our Env’t v. Klein</w:t>
      </w:r>
      <w:r w:rsidRPr="00FF1B50">
        <w:t>, 439 Fed. Appx. 679, 681-82 (10th Cir. 2011) (remand of decision granting application to revise mining plan not final as to intervenor-defendant mining company; issue “important” but not “urgent” and could be reviewed later)</w:t>
      </w:r>
      <w:r>
        <w:t>.</w:t>
      </w:r>
    </w:p>
  </w:footnote>
  <w:footnote w:id="179">
    <w:p w14:paraId="117A25C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World Fuel Corp.</w:t>
      </w:r>
      <w:r w:rsidRPr="00FF1B50">
        <w:t xml:space="preserve">, 568 F.3d at 1349 (Office of Foreign Assets Control in Treasury Department could not appeal remand directing it to develop new legal standard, which is distinct from imposing a specific legal standard); </w:t>
      </w:r>
      <w:r w:rsidRPr="00FF1B50">
        <w:rPr>
          <w:i/>
          <w:iCs/>
        </w:rPr>
        <w:t xml:space="preserve">MCI </w:t>
      </w:r>
      <w:proofErr w:type="spellStart"/>
      <w:r w:rsidRPr="00FF1B50">
        <w:rPr>
          <w:i/>
          <w:iCs/>
        </w:rPr>
        <w:t>Telecomms</w:t>
      </w:r>
      <w:proofErr w:type="spellEnd"/>
      <w:r w:rsidRPr="00FF1B50">
        <w:rPr>
          <w:i/>
          <w:iCs/>
        </w:rPr>
        <w:t xml:space="preserve">. Corp. v. BellSouth </w:t>
      </w:r>
      <w:proofErr w:type="spellStart"/>
      <w:r w:rsidRPr="00FF1B50">
        <w:rPr>
          <w:i/>
          <w:iCs/>
        </w:rPr>
        <w:t>Telecomms</w:t>
      </w:r>
      <w:proofErr w:type="spellEnd"/>
      <w:r w:rsidRPr="00FF1B50">
        <w:rPr>
          <w:i/>
          <w:iCs/>
        </w:rPr>
        <w:t>. Corp.</w:t>
      </w:r>
      <w:r w:rsidRPr="00FF1B50">
        <w:t xml:space="preserve">, 298 F.3d 1269, 1271 (11th Cir. 2002) (per curiam) (state public service commission could appeal remand that imposed specific interpretation of federal </w:t>
      </w:r>
      <w:r>
        <w:t>law</w:t>
      </w:r>
      <w:r w:rsidRPr="00FF1B50">
        <w:t xml:space="preserve">). Earlier cases relied on more mixed rationales. </w:t>
      </w:r>
      <w:r w:rsidRPr="00FF1B50">
        <w:rPr>
          <w:i/>
          <w:iCs/>
        </w:rPr>
        <w:t>See, e.g.,</w:t>
      </w:r>
      <w:r w:rsidRPr="00FF1B50">
        <w:t xml:space="preserve"> </w:t>
      </w:r>
      <w:r w:rsidRPr="00FF1B50">
        <w:rPr>
          <w:i/>
          <w:iCs/>
        </w:rPr>
        <w:t>Pierre</w:t>
      </w:r>
      <w:r w:rsidRPr="00FF1B50">
        <w:t xml:space="preserve">, 825 F.2d at 1504 (INS could appeal remand to reconsider asylum application because only ministerial action was required); </w:t>
      </w:r>
      <w:r w:rsidRPr="00FF1B50">
        <w:rPr>
          <w:i/>
          <w:iCs/>
        </w:rPr>
        <w:t>Huie</w:t>
      </w:r>
      <w:r w:rsidRPr="00FF1B50">
        <w:t>, 788 F.2d at 701-03 (agency could appeal remand under collateral-order doctrine criteria).</w:t>
      </w:r>
    </w:p>
  </w:footnote>
  <w:footnote w:id="180">
    <w:p w14:paraId="160896BE"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 xml:space="preserve">Fla. Wildlife </w:t>
      </w:r>
      <w:proofErr w:type="spellStart"/>
      <w:r w:rsidRPr="00FF1B50">
        <w:rPr>
          <w:i/>
          <w:iCs/>
        </w:rPr>
        <w:t>Fed’n</w:t>
      </w:r>
      <w:proofErr w:type="spellEnd"/>
      <w:r w:rsidRPr="00FF1B50">
        <w:rPr>
          <w:i/>
          <w:iCs/>
        </w:rPr>
        <w:t>, Inc. v. Adm’r, U.S. Env’t Prot. Agency</w:t>
      </w:r>
      <w:r w:rsidRPr="00FF1B50">
        <w:t>, 737 F.3d 689, 694 (11th Cir. 2013) (per curiam) (environmental NGO plaintiffs could not appeal remand that “simply requires an agency to engage in fresh rulemaking based on the evidence, or to explain why a new rulemaking was not necessary”).</w:t>
      </w:r>
    </w:p>
  </w:footnote>
  <w:footnote w:id="181">
    <w:p w14:paraId="628BC12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MCI </w:t>
      </w:r>
      <w:proofErr w:type="spellStart"/>
      <w:r w:rsidRPr="00FF1B50">
        <w:rPr>
          <w:i/>
          <w:iCs/>
        </w:rPr>
        <w:t>Telecomms</w:t>
      </w:r>
      <w:proofErr w:type="spellEnd"/>
      <w:r w:rsidRPr="00FF1B50">
        <w:rPr>
          <w:i/>
          <w:iCs/>
        </w:rPr>
        <w:t>. Corp.</w:t>
      </w:r>
      <w:r w:rsidRPr="00FF1B50">
        <w:t xml:space="preserve">, 298 F.3d at 1271. </w:t>
      </w:r>
      <w:r>
        <w:t xml:space="preserve">Note that </w:t>
      </w:r>
      <w:r w:rsidRPr="00FF1B50">
        <w:t xml:space="preserve">the court permitted both a state agency defendant </w:t>
      </w:r>
      <w:r w:rsidRPr="00FF1B50">
        <w:rPr>
          <w:i/>
          <w:iCs/>
        </w:rPr>
        <w:t>and</w:t>
      </w:r>
      <w:r w:rsidRPr="00FF1B50">
        <w:t xml:space="preserve"> a private defendant to appeal a remand</w:t>
      </w:r>
      <w:r>
        <w:t xml:space="preserve"> in this case, though without discussion as to the private defendant</w:t>
      </w:r>
      <w:r w:rsidRPr="00FF1B50">
        <w:t xml:space="preserve">. </w:t>
      </w:r>
      <w:r w:rsidRPr="00FF1B50">
        <w:rPr>
          <w:i/>
          <w:iCs/>
        </w:rPr>
        <w:t>Id</w:t>
      </w:r>
      <w:r w:rsidRPr="00FF1B50">
        <w:t xml:space="preserve">. at 1272. </w:t>
      </w:r>
    </w:p>
  </w:footnote>
  <w:footnote w:id="182">
    <w:p w14:paraId="267CDB1E"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World Fuel Corp.</w:t>
      </w:r>
      <w:r w:rsidRPr="00FF1B50">
        <w:t>, 568 F.3d at 1349 (</w:t>
      </w:r>
      <w:r>
        <w:t xml:space="preserve">agency </w:t>
      </w:r>
      <w:r w:rsidRPr="00FF1B50">
        <w:t xml:space="preserve">could not appeal remand directing it to develop new legal standard, </w:t>
      </w:r>
      <w:r>
        <w:t>reasoning</w:t>
      </w:r>
      <w:r w:rsidRPr="00FF1B50">
        <w:t xml:space="preserve"> that developing a new legal standard is distinct from imposing an existing one).</w:t>
      </w:r>
    </w:p>
  </w:footnote>
  <w:footnote w:id="183">
    <w:p w14:paraId="1EEED65B" w14:textId="77777777" w:rsidR="00092031" w:rsidRPr="00FF1B50" w:rsidRDefault="00092031" w:rsidP="00092031">
      <w:pPr>
        <w:pStyle w:val="FootnoteText"/>
      </w:pPr>
      <w:r w:rsidRPr="00FF1B50">
        <w:rPr>
          <w:rStyle w:val="FootnoteReference"/>
          <w:rFonts w:cs="Times New Roman"/>
        </w:rPr>
        <w:footnoteRef/>
      </w:r>
      <w:r w:rsidRPr="00FF1B50">
        <w:t xml:space="preserve"> Unavailability of later review is a factor in all circuits and thus only mentioned in the table if it is especially important in that circuit’s test.</w:t>
      </w:r>
    </w:p>
  </w:footnote>
  <w:footnote w:id="184">
    <w:p w14:paraId="4BA22D56" w14:textId="10B4B7CF"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notes</w:t>
      </w:r>
      <w:r>
        <w:t xml:space="preserve"> </w:t>
      </w:r>
      <w:r>
        <w:fldChar w:fldCharType="begin"/>
      </w:r>
      <w:r>
        <w:instrText xml:space="preserve"> NOTEREF _Ref211360164 \h  \* MERGEFORMAT </w:instrText>
      </w:r>
      <w:r>
        <w:fldChar w:fldCharType="separate"/>
      </w:r>
      <w:r>
        <w:t>145</w:t>
      </w:r>
      <w:r>
        <w:fldChar w:fldCharType="end"/>
      </w:r>
      <w:r>
        <w:t>-</w:t>
      </w:r>
      <w:r>
        <w:fldChar w:fldCharType="begin"/>
      </w:r>
      <w:r>
        <w:instrText xml:space="preserve"> NOTEREF _Ref211360171 \h  \* MERGEFORMAT </w:instrText>
      </w:r>
      <w:r>
        <w:fldChar w:fldCharType="separate"/>
      </w:r>
      <w:r>
        <w:t>146</w:t>
      </w:r>
      <w:r>
        <w:fldChar w:fldCharType="end"/>
      </w:r>
      <w:r>
        <w:t xml:space="preserve">, </w:t>
      </w:r>
      <w:r>
        <w:fldChar w:fldCharType="begin"/>
      </w:r>
      <w:r>
        <w:instrText xml:space="preserve"> NOTEREF _Ref211360180 \h  \* MERGEFORMAT </w:instrText>
      </w:r>
      <w:r>
        <w:fldChar w:fldCharType="separate"/>
      </w:r>
      <w:r>
        <w:t>174</w:t>
      </w:r>
      <w:r>
        <w:fldChar w:fldCharType="end"/>
      </w:r>
      <w:r>
        <w:t>-</w:t>
      </w:r>
      <w:r>
        <w:fldChar w:fldCharType="begin"/>
      </w:r>
      <w:r>
        <w:instrText xml:space="preserve"> NOTEREF _Ref211360188 \h  \* MERGEFORMAT </w:instrText>
      </w:r>
      <w:r>
        <w:fldChar w:fldCharType="separate"/>
      </w:r>
      <w:r>
        <w:t>176</w:t>
      </w:r>
      <w:r>
        <w:fldChar w:fldCharType="end"/>
      </w:r>
      <w:r w:rsidRPr="00FF1B50">
        <w:t xml:space="preserve"> and accompanying text.</w:t>
      </w:r>
    </w:p>
  </w:footnote>
  <w:footnote w:id="185">
    <w:p w14:paraId="27B212A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Sierra Club</w:t>
      </w:r>
      <w:r w:rsidRPr="00FF1B50">
        <w:t xml:space="preserve">, 716 F.3d at 656-57 (D.C. Circuit); </w:t>
      </w:r>
      <w:r w:rsidRPr="00FF1B50">
        <w:rPr>
          <w:i/>
          <w:iCs/>
        </w:rPr>
        <w:t>Izaak Walton League of Am.</w:t>
      </w:r>
      <w:r w:rsidRPr="00FF1B50">
        <w:t xml:space="preserve">, 558 F.3d at 763 (Eighth Circuit); </w:t>
      </w:r>
      <w:r w:rsidRPr="00FF1B50">
        <w:rPr>
          <w:i/>
          <w:iCs/>
        </w:rPr>
        <w:t>Trout Unlimited</w:t>
      </w:r>
      <w:r w:rsidRPr="00FF1B50">
        <w:t>, 441 F.3d at 1218-19 (Tenth Circuit).</w:t>
      </w:r>
    </w:p>
  </w:footnote>
  <w:footnote w:id="186">
    <w:p w14:paraId="7581BB3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Cherokee Nation v. Bernhardt</w:t>
      </w:r>
      <w:r w:rsidRPr="00FF1B50">
        <w:t xml:space="preserve">, 936 F.3d 1142, 1152 (10th Cir. 2019) (allowing appeal by intervenor-defendant tribe where agency also appealed). Even when they do so, the courts often still evaluate whether the remand is appealable by intervenors. </w:t>
      </w:r>
      <w:r w:rsidRPr="00FF1B50">
        <w:rPr>
          <w:i/>
          <w:iCs/>
        </w:rPr>
        <w:t>See, e.g.</w:t>
      </w:r>
      <w:r w:rsidRPr="00FF1B50">
        <w:t xml:space="preserve">, </w:t>
      </w:r>
      <w:r w:rsidRPr="00FF1B50">
        <w:rPr>
          <w:i/>
          <w:iCs/>
        </w:rPr>
        <w:t>Crow Indian Tribe</w:t>
      </w:r>
      <w:r w:rsidRPr="00FF1B50">
        <w:t xml:space="preserve">, 965 F.3d at 676 (court had jurisdiction to consider intervenor-defendants’ appeal of remand on issue not covered by agency appeal because issue was “conclusively determined by the district court and cannot be taken into account in the [agency] proceedings on remand”). And the courts are careful to limit their review to the issues the agency raises. </w:t>
      </w:r>
      <w:r w:rsidRPr="00FF1B50">
        <w:rPr>
          <w:i/>
          <w:iCs/>
        </w:rPr>
        <w:t>See, e.g.</w:t>
      </w:r>
      <w:r w:rsidRPr="00FF1B50">
        <w:t xml:space="preserve">, </w:t>
      </w:r>
      <w:r w:rsidRPr="00FF1B50">
        <w:rPr>
          <w:i/>
          <w:iCs/>
        </w:rPr>
        <w:t>Zen Magnets, LLC</w:t>
      </w:r>
      <w:r w:rsidRPr="00FF1B50">
        <w:t xml:space="preserve">, 968 F.3d at 1165-66 (holding Ninth Circuit lacked jurisdiction over those portions of plaintiff’s cross-appeal of remand that were not covered by government’s appeal because </w:t>
      </w:r>
      <w:r>
        <w:t>later-</w:t>
      </w:r>
      <w:proofErr w:type="spellStart"/>
      <w:r w:rsidRPr="00FF1B50">
        <w:t>unreviewability</w:t>
      </w:r>
      <w:proofErr w:type="spellEnd"/>
      <w:r w:rsidRPr="00FF1B50">
        <w:t xml:space="preserve"> factor was absent).</w:t>
      </w:r>
    </w:p>
  </w:footnote>
  <w:footnote w:id="187">
    <w:p w14:paraId="0CF95D65" w14:textId="7FFC3A91"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supra </w:t>
      </w:r>
      <w:r w:rsidRPr="00FF1B50">
        <w:t xml:space="preserve">note </w:t>
      </w:r>
      <w:r>
        <w:rPr>
          <w:highlight w:val="cyan"/>
        </w:rPr>
        <w:fldChar w:fldCharType="begin"/>
      </w:r>
      <w:r>
        <w:instrText xml:space="preserve"> NOTEREF _Ref211360143 \h </w:instrText>
      </w:r>
      <w:r>
        <w:rPr>
          <w:highlight w:val="cyan"/>
        </w:rPr>
        <w:instrText xml:space="preserve"> \* MERGEFORMAT </w:instrText>
      </w:r>
      <w:r>
        <w:rPr>
          <w:highlight w:val="cyan"/>
        </w:rPr>
      </w:r>
      <w:r>
        <w:rPr>
          <w:highlight w:val="cyan"/>
        </w:rPr>
        <w:fldChar w:fldCharType="separate"/>
      </w:r>
      <w:r>
        <w:t>165</w:t>
      </w:r>
      <w:r>
        <w:rPr>
          <w:highlight w:val="cyan"/>
        </w:rPr>
        <w:fldChar w:fldCharType="end"/>
      </w:r>
      <w:r>
        <w:t xml:space="preserve"> </w:t>
      </w:r>
      <w:r w:rsidRPr="00FF1B50">
        <w:t>and accompanying text.</w:t>
      </w:r>
    </w:p>
  </w:footnote>
  <w:footnote w:id="188">
    <w:p w14:paraId="5580A8C2"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Pauly</w:t>
      </w:r>
      <w:r w:rsidRPr="00FF1B50">
        <w:t xml:space="preserve">, 348 F.3d at 1148 (holding plaintiff farmers could appeal remand to Department of Agriculture because it left only ministerial action for agency to complete); </w:t>
      </w:r>
      <w:r w:rsidRPr="00FF1B50">
        <w:rPr>
          <w:i/>
          <w:iCs/>
        </w:rPr>
        <w:t>Koyo Seiko Co.</w:t>
      </w:r>
      <w:r w:rsidRPr="00FF1B50">
        <w:t xml:space="preserve">, 95 F.3d at 1097 (remanding to agency to fix “two computer programming errors” required only ministerial action, and so was appealable by plaintiff); </w:t>
      </w:r>
      <w:r w:rsidRPr="00FF1B50">
        <w:rPr>
          <w:i/>
          <w:iCs/>
        </w:rPr>
        <w:t>see also</w:t>
      </w:r>
      <w:r w:rsidRPr="00FF1B50">
        <w:t xml:space="preserve"> 15B Fed. </w:t>
      </w:r>
      <w:proofErr w:type="spellStart"/>
      <w:r w:rsidRPr="00FF1B50">
        <w:t>Prac</w:t>
      </w:r>
      <w:proofErr w:type="spellEnd"/>
      <w:r w:rsidRPr="00FF1B50">
        <w:t>. &amp; Proc. Juris. § 3914.32 (“</w:t>
      </w:r>
      <w:r w:rsidRPr="00FF1B50">
        <w:rPr>
          <w:rFonts w:eastAsia="Quattrocento"/>
        </w:rPr>
        <w:t>Appeal also may be available on final judgment theory if the remand leaves nothing for the agency to do but complete a ministerial function.”).</w:t>
      </w:r>
    </w:p>
  </w:footnote>
  <w:footnote w:id="189">
    <w:p w14:paraId="43D6F5BD" w14:textId="77777777" w:rsidR="00092031" w:rsidRPr="00FF1B50" w:rsidRDefault="00092031" w:rsidP="00092031">
      <w:pPr>
        <w:pStyle w:val="FootnoteText"/>
      </w:pPr>
      <w:r w:rsidRPr="00FF1B50">
        <w:rPr>
          <w:rStyle w:val="FootnoteReference"/>
          <w:rFonts w:cs="Times New Roman"/>
        </w:rPr>
        <w:footnoteRef/>
      </w:r>
      <w:r w:rsidRPr="00FF1B50">
        <w:t xml:space="preserve"> Probably before now I should have offered this possible defense of the Ninth Circuit’s variance (trenchantly raised by the intrepid editors of the </w:t>
      </w:r>
      <w:r w:rsidRPr="00FF1B50">
        <w:rPr>
          <w:i/>
          <w:iCs/>
        </w:rPr>
        <w:t>Stanford Law Review</w:t>
      </w:r>
      <w:r w:rsidRPr="00FF1B50">
        <w:t xml:space="preserve">): Apart from the D.C. Circuit, the Ninth Circuit sees more APA cases than any other circuit. </w:t>
      </w:r>
      <w:r w:rsidRPr="00293B71">
        <w:rPr>
          <w:i/>
          <w:iCs/>
        </w:rPr>
        <w:t>See</w:t>
      </w:r>
      <w:r w:rsidRPr="00293B71">
        <w:t xml:space="preserve"> Administrative Office of the U.S. Courts, Table C-3—U.S. District Courts—Civil Cases Filed, by Jurisdiction, Nature of Suit, and District (12 months ending June 30, 2025) (downloadable .xlsx)</w:t>
      </w:r>
      <w:r>
        <w:t xml:space="preserve">, </w:t>
      </w:r>
      <w:hyperlink r:id="rId5" w:history="1">
        <w:r w:rsidRPr="0004032B">
          <w:rPr>
            <w:rStyle w:val="Hyperlink"/>
            <w:rFonts w:cs="Times New Roman"/>
          </w:rPr>
          <w:t>https://www.uscourts.gov/data-news/reports/statistical-reports/statistical-tables-federal-judiciary/statistical-tables-federal-judiciary-june-2025?utm_source=chatgpt.com</w:t>
        </w:r>
      </w:hyperlink>
      <w:r>
        <w:t xml:space="preserve"> (author calculations aggregating APA cases across districts within each circuit)</w:t>
      </w:r>
      <w:r w:rsidRPr="00FF1B50">
        <w:t xml:space="preserve">. More occasions to apply (or not) the administrative-remand rule could mean greater variance in outcomes. A future empirical analysis could compare the number of non-agency appeals of APA remands, and the number of such appeals permitted, across the circuits. </w:t>
      </w:r>
    </w:p>
  </w:footnote>
  <w:footnote w:id="190">
    <w:p w14:paraId="289E36A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Pauly</w:t>
      </w:r>
      <w:r w:rsidRPr="00FF1B50">
        <w:t xml:space="preserve">, 348 F.3d at 1148 (holding plaintiff farmers could appeal remand to Department of Agriculture solely because it left only ministerial action for agency to complete); </w:t>
      </w:r>
      <w:r w:rsidRPr="00FF1B50">
        <w:rPr>
          <w:i/>
          <w:iCs/>
        </w:rPr>
        <w:t>Chang v. United States</w:t>
      </w:r>
      <w:r w:rsidRPr="00FF1B50">
        <w:t xml:space="preserve">, 327 F.3d 911, 925 (9th Cir. 2003) (allowing appeal by plaintiff solely because of risk of wasted proceeding (the agency also appealed)); </w:t>
      </w:r>
      <w:r w:rsidRPr="00FF1B50">
        <w:rPr>
          <w:i/>
          <w:iCs/>
        </w:rPr>
        <w:t xml:space="preserve">Skagit </w:t>
      </w:r>
      <w:proofErr w:type="spellStart"/>
      <w:r w:rsidRPr="00FF1B50">
        <w:rPr>
          <w:i/>
          <w:iCs/>
        </w:rPr>
        <w:t>Cnty</w:t>
      </w:r>
      <w:proofErr w:type="spellEnd"/>
      <w:r w:rsidRPr="00FF1B50">
        <w:rPr>
          <w:i/>
          <w:iCs/>
        </w:rPr>
        <w:t>.</w:t>
      </w:r>
      <w:r w:rsidRPr="00FF1B50">
        <w:t xml:space="preserve">, 80 F.3d at 384 (same). </w:t>
      </w:r>
    </w:p>
  </w:footnote>
  <w:footnote w:id="191">
    <w:p w14:paraId="58A30965" w14:textId="7BF27FE1" w:rsidR="00092031" w:rsidRPr="00FF1B50" w:rsidRDefault="00092031" w:rsidP="00092031">
      <w:pPr>
        <w:pStyle w:val="FootnoteText"/>
      </w:pPr>
      <w:r w:rsidRPr="00FF1B50">
        <w:rPr>
          <w:rStyle w:val="FootnoteReference"/>
          <w:rFonts w:cs="Times New Roman"/>
        </w:rPr>
        <w:footnoteRef/>
      </w:r>
      <w:r w:rsidRPr="00FF1B50">
        <w:rPr>
          <w:lang w:val="nb-NO"/>
        </w:rPr>
        <w:t xml:space="preserve"> </w:t>
      </w:r>
      <w:r w:rsidRPr="00FF1B50">
        <w:rPr>
          <w:i/>
          <w:iCs/>
          <w:lang w:val="nb-NO"/>
        </w:rPr>
        <w:t>Sierra Forest Legacy</w:t>
      </w:r>
      <w:r w:rsidRPr="00FF1B50">
        <w:rPr>
          <w:lang w:val="nb-NO"/>
        </w:rPr>
        <w:t xml:space="preserve">, 646 F.3d at 1176. </w:t>
      </w:r>
      <w:r w:rsidRPr="00FF1B50">
        <w:t xml:space="preserve">I discuss these and similar Ninth Circuit cases </w:t>
      </w:r>
      <w:r w:rsidRPr="00FF1B50">
        <w:rPr>
          <w:i/>
          <w:iCs/>
        </w:rPr>
        <w:t>infra</w:t>
      </w:r>
      <w:r w:rsidRPr="00FF1B50">
        <w:t xml:space="preserve"> </w:t>
      </w:r>
      <w:r>
        <w:t xml:space="preserve">notes </w:t>
      </w:r>
      <w:r>
        <w:fldChar w:fldCharType="begin"/>
      </w:r>
      <w:r>
        <w:instrText xml:space="preserve"> NOTEREF _Ref211360217 \h  \* MERGEFORMAT </w:instrText>
      </w:r>
      <w:r>
        <w:fldChar w:fldCharType="separate"/>
      </w:r>
      <w:r>
        <w:t>227</w:t>
      </w:r>
      <w:r>
        <w:fldChar w:fldCharType="end"/>
      </w:r>
      <w:r>
        <w:t>-</w:t>
      </w:r>
      <w:r>
        <w:fldChar w:fldCharType="begin"/>
      </w:r>
      <w:r>
        <w:instrText xml:space="preserve"> NOTEREF _Ref211360226 \h  \* MERGEFORMAT </w:instrText>
      </w:r>
      <w:r>
        <w:fldChar w:fldCharType="separate"/>
      </w:r>
      <w:r>
        <w:t>251</w:t>
      </w:r>
      <w:r>
        <w:fldChar w:fldCharType="end"/>
      </w:r>
      <w:r>
        <w:t xml:space="preserve">, </w:t>
      </w:r>
      <w:r>
        <w:fldChar w:fldCharType="begin"/>
      </w:r>
      <w:r>
        <w:instrText xml:space="preserve"> NOTEREF _Ref211360236 \h  \* MERGEFORMAT </w:instrText>
      </w:r>
      <w:r>
        <w:fldChar w:fldCharType="separate"/>
      </w:r>
      <w:r>
        <w:t>263</w:t>
      </w:r>
      <w:r>
        <w:fldChar w:fldCharType="end"/>
      </w:r>
      <w:r>
        <w:t>-</w:t>
      </w:r>
      <w:r>
        <w:fldChar w:fldCharType="begin"/>
      </w:r>
      <w:r>
        <w:instrText xml:space="preserve"> NOTEREF _Ref211359143 \h  \* MERGEFORMAT </w:instrText>
      </w:r>
      <w:r>
        <w:fldChar w:fldCharType="separate"/>
      </w:r>
      <w:r>
        <w:t>270</w:t>
      </w:r>
      <w:r>
        <w:fldChar w:fldCharType="end"/>
      </w:r>
      <w:r>
        <w:t xml:space="preserve"> and accompanying text</w:t>
      </w:r>
      <w:r w:rsidRPr="00FF1B50">
        <w:t>.</w:t>
      </w:r>
    </w:p>
  </w:footnote>
  <w:footnote w:id="192">
    <w:p w14:paraId="01AC3D0A" w14:textId="2120E38F" w:rsidR="00092031" w:rsidRPr="00FF1B50" w:rsidRDefault="00092031" w:rsidP="00092031">
      <w:pPr>
        <w:pStyle w:val="FootnoteText"/>
      </w:pPr>
      <w:r w:rsidRPr="00FF1B50">
        <w:rPr>
          <w:rStyle w:val="FootnoteReference"/>
          <w:rFonts w:cs="Times New Roman"/>
        </w:rPr>
        <w:footnoteRef/>
      </w:r>
      <w:r w:rsidRPr="00FF1B50">
        <w:t xml:space="preserve"> Lammon, </w:t>
      </w:r>
      <w:r w:rsidRPr="00FF1B50">
        <w:rPr>
          <w:i/>
          <w:iCs/>
        </w:rPr>
        <w:t>supra</w:t>
      </w:r>
      <w:r w:rsidRPr="00FF1B50">
        <w:t xml:space="preserve"> note </w:t>
      </w:r>
      <w:r>
        <w:rPr>
          <w:highlight w:val="cyan"/>
        </w:rPr>
        <w:fldChar w:fldCharType="begin"/>
      </w:r>
      <w:r>
        <w:instrText xml:space="preserve"> NOTEREF _Ref211359331 \h </w:instrText>
      </w:r>
      <w:r>
        <w:rPr>
          <w:highlight w:val="cyan"/>
        </w:rPr>
        <w:instrText xml:space="preserve"> \* MERGEFORMAT </w:instrText>
      </w:r>
      <w:r>
        <w:rPr>
          <w:highlight w:val="cyan"/>
        </w:rPr>
      </w:r>
      <w:r>
        <w:rPr>
          <w:highlight w:val="cyan"/>
        </w:rPr>
        <w:fldChar w:fldCharType="separate"/>
      </w:r>
      <w:r>
        <w:t>13</w:t>
      </w:r>
      <w:r>
        <w:rPr>
          <w:highlight w:val="cyan"/>
        </w:rPr>
        <w:fldChar w:fldCharType="end"/>
      </w:r>
      <w:r w:rsidRPr="00FF1B50">
        <w:t xml:space="preserve">, </w:t>
      </w:r>
      <w:r w:rsidRPr="00FF1B50">
        <w:rPr>
          <w:rFonts w:eastAsia="Quattrocento"/>
        </w:rPr>
        <w:t xml:space="preserve">93 </w:t>
      </w:r>
      <w:r w:rsidRPr="00F6080E">
        <w:rPr>
          <w:rFonts w:eastAsia="Quattrocento"/>
          <w:smallCaps/>
        </w:rPr>
        <w:t>Wash. L. Rev.</w:t>
      </w:r>
      <w:r w:rsidRPr="00FF1B50">
        <w:rPr>
          <w:rFonts w:eastAsia="Quattrocento"/>
        </w:rPr>
        <w:t xml:space="preserve"> </w:t>
      </w:r>
      <w:proofErr w:type="gramStart"/>
      <w:r w:rsidRPr="00FF1B50">
        <w:t>at</w:t>
      </w:r>
      <w:proofErr w:type="gramEnd"/>
      <w:r w:rsidRPr="00FF1B50">
        <w:t xml:space="preserve"> 1836.</w:t>
      </w:r>
    </w:p>
  </w:footnote>
  <w:footnote w:id="193">
    <w:p w14:paraId="47AE57D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w:t>
      </w:r>
    </w:p>
  </w:footnote>
  <w:footnote w:id="194">
    <w:p w14:paraId="066C9739" w14:textId="4D1EC3E3"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Compare</w:t>
      </w:r>
      <w:r w:rsidRPr="00FF1B50">
        <w:t xml:space="preserve"> </w:t>
      </w:r>
      <w:r w:rsidRPr="00FF1B50">
        <w:rPr>
          <w:i/>
          <w:iCs/>
        </w:rPr>
        <w:t>Friends of Hope Valley</w:t>
      </w:r>
      <w:r w:rsidRPr="00FF1B50">
        <w:t xml:space="preserve">, 203 Fed. Appx. at 883 </w:t>
      </w:r>
      <w:r w:rsidRPr="00FF1B50">
        <w:rPr>
          <w:i/>
          <w:iCs/>
        </w:rPr>
        <w:t>with</w:t>
      </w:r>
      <w:r w:rsidRPr="00FF1B50">
        <w:t xml:space="preserve"> </w:t>
      </w:r>
      <w:r w:rsidRPr="00FF1B50">
        <w:rPr>
          <w:i/>
          <w:iCs/>
        </w:rPr>
        <w:t>Sierra Forest Legacy</w:t>
      </w:r>
      <w:r w:rsidRPr="00FF1B50">
        <w:t xml:space="preserve">, 646 F.3d at 1175-76, </w:t>
      </w:r>
      <w:r w:rsidRPr="00FF1B50">
        <w:rPr>
          <w:i/>
          <w:iCs/>
        </w:rPr>
        <w:t>and</w:t>
      </w:r>
      <w:r w:rsidRPr="00FF1B50">
        <w:t xml:space="preserve"> </w:t>
      </w:r>
      <w:r w:rsidRPr="00FF1B50">
        <w:rPr>
          <w:i/>
          <w:iCs/>
        </w:rPr>
        <w:t>Bitterroot Ridge Runners Snowmobile Club</w:t>
      </w:r>
      <w:r w:rsidRPr="00FF1B50">
        <w:t xml:space="preserve">, 833 Fed. Appx. at 90; </w:t>
      </w:r>
      <w:r w:rsidRPr="00FF1B50">
        <w:rPr>
          <w:i/>
          <w:iCs/>
        </w:rPr>
        <w:t>see also infra</w:t>
      </w:r>
      <w:r w:rsidRPr="00FF1B50">
        <w:t xml:space="preserve"> </w:t>
      </w:r>
      <w:r>
        <w:t xml:space="preserve">notes </w:t>
      </w:r>
      <w:r>
        <w:fldChar w:fldCharType="begin"/>
      </w:r>
      <w:r>
        <w:instrText xml:space="preserve"> NOTEREF _Ref211360217 \h  \* MERGEFORMAT </w:instrText>
      </w:r>
      <w:r>
        <w:fldChar w:fldCharType="separate"/>
      </w:r>
      <w:r>
        <w:t>227</w:t>
      </w:r>
      <w:r>
        <w:fldChar w:fldCharType="end"/>
      </w:r>
      <w:r>
        <w:t>-</w:t>
      </w:r>
      <w:r>
        <w:fldChar w:fldCharType="begin"/>
      </w:r>
      <w:r>
        <w:instrText xml:space="preserve"> NOTEREF _Ref211360226 \h  \* MERGEFORMAT </w:instrText>
      </w:r>
      <w:r>
        <w:fldChar w:fldCharType="separate"/>
      </w:r>
      <w:r>
        <w:t>251</w:t>
      </w:r>
      <w:r>
        <w:fldChar w:fldCharType="end"/>
      </w:r>
      <w:r>
        <w:t xml:space="preserve">, </w:t>
      </w:r>
      <w:r>
        <w:fldChar w:fldCharType="begin"/>
      </w:r>
      <w:r>
        <w:instrText xml:space="preserve"> NOTEREF _Ref211360236 \h  \* MERGEFORMAT </w:instrText>
      </w:r>
      <w:r>
        <w:fldChar w:fldCharType="separate"/>
      </w:r>
      <w:r>
        <w:t>263</w:t>
      </w:r>
      <w:r>
        <w:fldChar w:fldCharType="end"/>
      </w:r>
      <w:r>
        <w:t>-</w:t>
      </w:r>
      <w:r>
        <w:fldChar w:fldCharType="begin"/>
      </w:r>
      <w:r>
        <w:instrText xml:space="preserve"> NOTEREF _Ref211359143 \h  \* MERGEFORMAT </w:instrText>
      </w:r>
      <w:r>
        <w:fldChar w:fldCharType="separate"/>
      </w:r>
      <w:r>
        <w:t>270</w:t>
      </w:r>
      <w:r>
        <w:fldChar w:fldCharType="end"/>
      </w:r>
      <w:r>
        <w:t xml:space="preserve"> and accompanying text</w:t>
      </w:r>
      <w:r w:rsidRPr="00FF1B50">
        <w:t xml:space="preserve"> (discussing these and other cases).</w:t>
      </w:r>
    </w:p>
  </w:footnote>
  <w:footnote w:id="195">
    <w:p w14:paraId="0EF20E19" w14:textId="2F738B8B"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In re Long-Distance Tele. Serv. Fed. Excise Tax Refund Litig.</w:t>
      </w:r>
      <w:r w:rsidRPr="00FF1B50">
        <w:t xml:space="preserve">, 751 F.3d at 633 (D.C. Circuit stating that the administrative-remand rule “is not absolute,” and allowing appeal by plaintiffs despite that court’s long precedent denying such appeals). Interestingly, the Tenth Circuit has gone the other direction—pretty early on allowing appeals by plaintiffs in </w:t>
      </w:r>
      <w:r w:rsidRPr="00FF1B50">
        <w:rPr>
          <w:i/>
          <w:iCs/>
        </w:rPr>
        <w:t>Cotton Petroleum Corp.</w:t>
      </w:r>
      <w:r w:rsidRPr="00FF1B50">
        <w:t xml:space="preserve">, 870 F.2d at 1522, but restricting appeals by non-agency parties in later cases, </w:t>
      </w:r>
      <w:r w:rsidRPr="00FF1B50">
        <w:rPr>
          <w:i/>
          <w:iCs/>
        </w:rPr>
        <w:t>see, e.g.</w:t>
      </w:r>
      <w:r w:rsidRPr="00FF1B50">
        <w:t xml:space="preserve">, </w:t>
      </w:r>
      <w:r w:rsidRPr="00FF1B50">
        <w:rPr>
          <w:i/>
          <w:iCs/>
        </w:rPr>
        <w:t>W. Energy Alliance</w:t>
      </w:r>
      <w:r w:rsidRPr="00FF1B50">
        <w:t xml:space="preserve">, 709 F.3d at 1049-51; </w:t>
      </w:r>
      <w:r w:rsidRPr="00FF1B50">
        <w:rPr>
          <w:i/>
          <w:iCs/>
        </w:rPr>
        <w:t>Stubblefield v. Windsor Cap. Grp.</w:t>
      </w:r>
      <w:r w:rsidRPr="00FF1B50">
        <w:t xml:space="preserve">, 74 F.3d 990, 996 (10th Cir. 1996); </w:t>
      </w:r>
      <w:r w:rsidRPr="00FF1B50">
        <w:rPr>
          <w:i/>
          <w:iCs/>
        </w:rPr>
        <w:t>Boughton v. Cotter Corp.</w:t>
      </w:r>
      <w:r w:rsidRPr="00FF1B50">
        <w:t xml:space="preserve">, 10 F.3d 746, 752 (10th Cir. 1993)); </w:t>
      </w:r>
      <w:r w:rsidRPr="00FF1B50">
        <w:rPr>
          <w:i/>
          <w:iCs/>
        </w:rPr>
        <w:t>see also supra</w:t>
      </w:r>
      <w:r w:rsidRPr="00FF1B50">
        <w:t xml:space="preserve"> notes</w:t>
      </w:r>
      <w:r>
        <w:t xml:space="preserve"> </w:t>
      </w:r>
      <w:r>
        <w:fldChar w:fldCharType="begin"/>
      </w:r>
      <w:r>
        <w:instrText xml:space="preserve"> NOTEREF _Ref211360188 \h  \* MERGEFORMAT </w:instrText>
      </w:r>
      <w:r>
        <w:fldChar w:fldCharType="separate"/>
      </w:r>
      <w:r>
        <w:t>176</w:t>
      </w:r>
      <w:r>
        <w:fldChar w:fldCharType="end"/>
      </w:r>
      <w:r>
        <w:t>-</w:t>
      </w:r>
      <w:r>
        <w:fldChar w:fldCharType="begin"/>
      </w:r>
      <w:r>
        <w:instrText xml:space="preserve"> NOTEREF _Ref211359555 \h  \* MERGEFORMAT </w:instrText>
      </w:r>
      <w:r>
        <w:fldChar w:fldCharType="separate"/>
      </w:r>
      <w:r>
        <w:t>177</w:t>
      </w:r>
      <w:r>
        <w:fldChar w:fldCharType="end"/>
      </w:r>
      <w:r w:rsidRPr="00FF1B50">
        <w:t xml:space="preserve"> and accompanying text (discussing when Tenth Circuit allows non-agency appeals).</w:t>
      </w:r>
    </w:p>
  </w:footnote>
  <w:footnote w:id="196">
    <w:p w14:paraId="771384E2"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Bruce Johnsen &amp; Moin A. Yahya, “The Evolution of Sherman Act Jurisdiction: A Roadmap for Competitive Federalism,” 7 </w:t>
      </w:r>
      <w:r w:rsidRPr="00F45AE4">
        <w:rPr>
          <w:smallCaps/>
        </w:rPr>
        <w:t>U. Pa. J. Const. L.</w:t>
      </w:r>
      <w:r w:rsidRPr="00FF1B50">
        <w:t xml:space="preserve"> 403, 460 (2004) (“Regulatory statutes inject sudden uncertainty into a common law judicial system based on stare decisis, which is ideally suited to incremental adjustments in response to changing circumstances. Absent established precedent or clear understanding of the statute's objective, a common law system begins a slow iterative process of case-by-case adjudication to resolve the uncertainty.”).</w:t>
      </w:r>
    </w:p>
  </w:footnote>
  <w:footnote w:id="197">
    <w:p w14:paraId="42DDCDF5" w14:textId="7EBD3054"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w:t>
      </w:r>
      <w:proofErr w:type="gramStart"/>
      <w:r w:rsidRPr="00FF1B50">
        <w:rPr>
          <w:i/>
          <w:iCs/>
        </w:rPr>
        <w:t>supra</w:t>
      </w:r>
      <w:r w:rsidRPr="00FF1B50">
        <w:t xml:space="preserve"> Part</w:t>
      </w:r>
      <w:proofErr w:type="gramEnd"/>
      <w:r w:rsidRPr="00FF1B50">
        <w:t xml:space="preserve"> I.B; </w:t>
      </w:r>
      <w:r w:rsidRPr="00FF1B50">
        <w:rPr>
          <w:rFonts w:eastAsia="Quattrocento"/>
        </w:rPr>
        <w:t xml:space="preserve">Lammon, </w:t>
      </w:r>
      <w:r w:rsidRPr="00FF1B50">
        <w:rPr>
          <w:rFonts w:eastAsia="Quattrocento"/>
          <w:i/>
          <w:iCs/>
        </w:rPr>
        <w:t>supra</w:t>
      </w:r>
      <w:r w:rsidRPr="00FF1B50">
        <w:rPr>
          <w:rFonts w:eastAsia="Quattrocento"/>
        </w:rPr>
        <w:t xml:space="preserve"> note</w:t>
      </w:r>
      <w:r>
        <w:rPr>
          <w:rFonts w:eastAsia="Quattrocento"/>
        </w:rPr>
        <w:t xml:space="preserve"> </w:t>
      </w:r>
      <w:r>
        <w:rPr>
          <w:rFonts w:eastAsia="Quattrocento"/>
        </w:rPr>
        <w:fldChar w:fldCharType="begin"/>
      </w:r>
      <w:r>
        <w:rPr>
          <w:rFonts w:eastAsia="Quattrocento"/>
        </w:rPr>
        <w:instrText xml:space="preserve"> NOTEREF _Ref211359331 \h  \* MERGEFORMAT </w:instrText>
      </w:r>
      <w:r>
        <w:rPr>
          <w:rFonts w:eastAsia="Quattrocento"/>
        </w:rPr>
      </w:r>
      <w:r>
        <w:rPr>
          <w:rFonts w:eastAsia="Quattrocento"/>
        </w:rPr>
        <w:fldChar w:fldCharType="separate"/>
      </w:r>
      <w:r>
        <w:rPr>
          <w:rFonts w:eastAsia="Quattrocento"/>
        </w:rPr>
        <w:t>13</w:t>
      </w:r>
      <w:r>
        <w:rPr>
          <w:rFonts w:eastAsia="Quattrocento"/>
        </w:rPr>
        <w:fldChar w:fldCharType="end"/>
      </w:r>
      <w:r w:rsidRPr="00FF1B50">
        <w:rPr>
          <w:rFonts w:eastAsia="Quattrocento"/>
        </w:rPr>
        <w:t xml:space="preserve">, 51 </w:t>
      </w:r>
      <w:r w:rsidRPr="00862E0E">
        <w:rPr>
          <w:rFonts w:eastAsia="Quattrocento"/>
          <w:smallCaps/>
        </w:rPr>
        <w:t>U. Rich. L. Rev.</w:t>
      </w:r>
      <w:r w:rsidRPr="00FF1B50">
        <w:rPr>
          <w:rFonts w:eastAsia="Quattrocento"/>
        </w:rPr>
        <w:t xml:space="preserve"> at 373-74 (“[T]he balancing approach’s persistence—in the face of the Supreme Court seemingly burying it—suggests that appellate judges cannot resist approaching their jurisdiction with some flexibility.”); </w:t>
      </w:r>
      <w:r w:rsidRPr="00FF1B50">
        <w:rPr>
          <w:rFonts w:eastAsia="Quattrocento"/>
          <w:i/>
          <w:iCs/>
        </w:rPr>
        <w:t>see also id.</w:t>
      </w:r>
      <w:r w:rsidRPr="00FF1B50">
        <w:rPr>
          <w:rFonts w:eastAsia="Quattrocento"/>
        </w:rPr>
        <w:t xml:space="preserve"> at 411-12 (discussing this tendency in more detail).</w:t>
      </w:r>
    </w:p>
  </w:footnote>
  <w:footnote w:id="198">
    <w:p w14:paraId="5233139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Part I.B.</w:t>
      </w:r>
    </w:p>
  </w:footnote>
  <w:footnote w:id="199">
    <w:p w14:paraId="0C832455" w14:textId="77777777" w:rsidR="00092031" w:rsidRPr="00FF1B50" w:rsidRDefault="00092031" w:rsidP="00092031">
      <w:pPr>
        <w:pStyle w:val="FootnoteText"/>
      </w:pPr>
      <w:r w:rsidRPr="00FF1B50">
        <w:rPr>
          <w:rStyle w:val="FootnoteReference"/>
          <w:rFonts w:cs="Times New Roman"/>
        </w:rPr>
        <w:footnoteRef/>
      </w:r>
      <w:r w:rsidRPr="00FF1B50">
        <w:t xml:space="preserve"> The circuits have described, and usually defended, this “asymmetry.” </w:t>
      </w:r>
      <w:r w:rsidRPr="00FF1B50">
        <w:rPr>
          <w:i/>
          <w:iCs/>
        </w:rPr>
        <w:t>See, e.g.</w:t>
      </w:r>
      <w:r w:rsidRPr="00FF1B50">
        <w:t xml:space="preserve">, </w:t>
      </w:r>
      <w:r w:rsidRPr="00FF1B50">
        <w:rPr>
          <w:i/>
          <w:iCs/>
        </w:rPr>
        <w:t>Rocky Mtn. Wild</w:t>
      </w:r>
      <w:r w:rsidRPr="00FF1B50">
        <w:t xml:space="preserve">, 2018 WL 11225766, at *3; </w:t>
      </w:r>
      <w:r w:rsidRPr="00FF1B50">
        <w:rPr>
          <w:i/>
          <w:iCs/>
        </w:rPr>
        <w:t>Sierra Club</w:t>
      </w:r>
      <w:r w:rsidRPr="00FF1B50">
        <w:t xml:space="preserve">, 716 F.3d at 656-57; </w:t>
      </w:r>
      <w:r w:rsidRPr="00FF1B50">
        <w:rPr>
          <w:i/>
          <w:iCs/>
        </w:rPr>
        <w:t xml:space="preserve">Nat’l Air Traffic Controllers </w:t>
      </w:r>
      <w:proofErr w:type="spellStart"/>
      <w:r w:rsidRPr="00FF1B50">
        <w:rPr>
          <w:i/>
          <w:iCs/>
        </w:rPr>
        <w:t>Ass’n</w:t>
      </w:r>
      <w:proofErr w:type="spellEnd"/>
      <w:r w:rsidRPr="00FF1B50">
        <w:t xml:space="preserve">, 2007 WL 2141941, at *2; </w:t>
      </w:r>
      <w:r w:rsidRPr="00FF1B50">
        <w:rPr>
          <w:i/>
          <w:iCs/>
        </w:rPr>
        <w:t xml:space="preserve">Lake Pilots </w:t>
      </w:r>
      <w:proofErr w:type="spellStart"/>
      <w:r w:rsidRPr="00FF1B50">
        <w:rPr>
          <w:i/>
          <w:iCs/>
        </w:rPr>
        <w:t>Ass’n</w:t>
      </w:r>
      <w:proofErr w:type="spellEnd"/>
      <w:r w:rsidRPr="00FF1B50">
        <w:t xml:space="preserve">, 359 F.3d at 625; </w:t>
      </w:r>
      <w:r w:rsidRPr="00FF1B50">
        <w:rPr>
          <w:i/>
          <w:iCs/>
        </w:rPr>
        <w:t>Occidental Petroleum Corp.</w:t>
      </w:r>
      <w:r w:rsidRPr="00FF1B50">
        <w:t>,</w:t>
      </w:r>
      <w:r w:rsidRPr="00FF1B50">
        <w:rPr>
          <w:i/>
          <w:iCs/>
        </w:rPr>
        <w:t xml:space="preserve"> </w:t>
      </w:r>
      <w:r w:rsidRPr="00FF1B50">
        <w:t xml:space="preserve">873 F.2d at 331-32; </w:t>
      </w:r>
      <w:r w:rsidRPr="00FF1B50">
        <w:rPr>
          <w:i/>
          <w:iCs/>
        </w:rPr>
        <w:t>see also</w:t>
      </w:r>
      <w:r w:rsidRPr="00FF1B50">
        <w:t xml:space="preserve"> </w:t>
      </w:r>
      <w:r w:rsidRPr="00FF1B50">
        <w:rPr>
          <w:i/>
          <w:iCs/>
        </w:rPr>
        <w:t xml:space="preserve">Bhd. of </w:t>
      </w:r>
      <w:proofErr w:type="spellStart"/>
      <w:r w:rsidRPr="00FF1B50">
        <w:rPr>
          <w:i/>
          <w:iCs/>
        </w:rPr>
        <w:t>Maint</w:t>
      </w:r>
      <w:proofErr w:type="spellEnd"/>
      <w:r w:rsidRPr="00FF1B50">
        <w:rPr>
          <w:i/>
          <w:iCs/>
        </w:rPr>
        <w:t>. of Way Emps.</w:t>
      </w:r>
      <w:r w:rsidRPr="00FF1B50">
        <w:t>, 864 F.2d at 287 (Third Circuit adhering to that court’s traditional administrative-remand rule but making plain its discomfort “with leaving in place without review a district-court order which on its face appears to be in stark violation of the principle of limited judicial review of arbitration orders”).</w:t>
      </w:r>
    </w:p>
  </w:footnote>
  <w:footnote w:id="200">
    <w:p w14:paraId="1E158542"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Robert L. Rabin, </w:t>
      </w:r>
      <w:r w:rsidRPr="00FF1B50">
        <w:rPr>
          <w:i/>
          <w:iCs/>
        </w:rPr>
        <w:t>Federal Regulation in Historical Perspective</w:t>
      </w:r>
      <w:r w:rsidRPr="00FF1B50">
        <w:t xml:space="preserve">, 38 </w:t>
      </w:r>
      <w:r w:rsidRPr="00862E0E">
        <w:rPr>
          <w:smallCaps/>
        </w:rPr>
        <w:t>Stan. L. Rev.</w:t>
      </w:r>
      <w:r w:rsidRPr="00FF1B50">
        <w:t xml:space="preserve"> 1189, 1194 (1986); </w:t>
      </w:r>
      <w:r>
        <w:t xml:space="preserve">Linda R. </w:t>
      </w:r>
      <w:r w:rsidRPr="00FF1B50">
        <w:t xml:space="preserve">Cohen &amp; </w:t>
      </w:r>
      <w:r>
        <w:t xml:space="preserve">Matthew L. </w:t>
      </w:r>
      <w:r w:rsidRPr="00FF1B50">
        <w:t>Spitzer,</w:t>
      </w:r>
      <w:r>
        <w:t xml:space="preserve"> </w:t>
      </w:r>
      <w:r w:rsidRPr="004671F4">
        <w:rPr>
          <w:i/>
          <w:iCs/>
        </w:rPr>
        <w:t>Judicial Deference to Agency Action: A Rational Choice Theory and an Empirical Test</w:t>
      </w:r>
      <w:r w:rsidRPr="00FF1B50">
        <w:t xml:space="preserve">, 69 </w:t>
      </w:r>
      <w:r w:rsidRPr="004671F4">
        <w:rPr>
          <w:smallCaps/>
        </w:rPr>
        <w:t>S. Cal. L. Rev.</w:t>
      </w:r>
      <w:r w:rsidRPr="00FF1B50">
        <w:t xml:space="preserve"> </w:t>
      </w:r>
      <w:r>
        <w:t>431,</w:t>
      </w:r>
      <w:r w:rsidRPr="00FF1B50">
        <w:t xml:space="preserve"> 474-75</w:t>
      </w:r>
      <w:r>
        <w:t xml:space="preserve"> (1996)</w:t>
      </w:r>
      <w:r w:rsidRPr="00FF1B50">
        <w:t xml:space="preserve">; </w:t>
      </w:r>
      <w:r w:rsidRPr="00FF1B50">
        <w:rPr>
          <w:i/>
          <w:iCs/>
        </w:rPr>
        <w:t>see also</w:t>
      </w:r>
      <w:r w:rsidRPr="00FF1B50">
        <w:t xml:space="preserve"> Matthew C. Stephenson, </w:t>
      </w:r>
      <w:r w:rsidRPr="00FF1B50">
        <w:rPr>
          <w:i/>
          <w:iCs/>
        </w:rPr>
        <w:t>Mixed Signals: Reconsidering the Political Economy of Judicial Deference to Administrative Agencies</w:t>
      </w:r>
      <w:r w:rsidRPr="00FF1B50">
        <w:t xml:space="preserve">, 56 </w:t>
      </w:r>
      <w:r w:rsidRPr="004671F4">
        <w:rPr>
          <w:smallCaps/>
        </w:rPr>
        <w:t>Admin. L. Rev.</w:t>
      </w:r>
      <w:r w:rsidRPr="00FF1B50">
        <w:t xml:space="preserve"> 657 (2004) (critiquing Cohen and Spitzer’s conclusions but underscoring their assessment of changes in judicial deference over time). </w:t>
      </w:r>
    </w:p>
  </w:footnote>
  <w:footnote w:id="201">
    <w:p w14:paraId="3AA5E72E" w14:textId="3AF408BE"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Developments in the Law—Presidential Authority, V. Executive Appointments</w:t>
      </w:r>
      <w:r w:rsidRPr="00FF1B50">
        <w:t xml:space="preserve">, </w:t>
      </w:r>
      <w:r w:rsidRPr="00FF1B50">
        <w:rPr>
          <w:i/>
          <w:iCs/>
        </w:rPr>
        <w:t>supra</w:t>
      </w:r>
      <w:r w:rsidRPr="00FF1B50">
        <w:t xml:space="preserve"> note</w:t>
      </w:r>
      <w:r>
        <w:t xml:space="preserve"> </w:t>
      </w:r>
      <w:r>
        <w:fldChar w:fldCharType="begin"/>
      </w:r>
      <w:r>
        <w:instrText xml:space="preserve"> NOTEREF _Ref211346941 \h  \* MERGEFORMAT </w:instrText>
      </w:r>
      <w:r>
        <w:fldChar w:fldCharType="separate"/>
      </w:r>
      <w:r>
        <w:t>11</w:t>
      </w:r>
      <w:r>
        <w:fldChar w:fldCharType="end"/>
      </w:r>
      <w:r w:rsidRPr="00FF1B50">
        <w:t xml:space="preserve">, at 2138. There is a rich literature critiquing, and critiquing the critiques of, the current administrative state. </w:t>
      </w:r>
      <w:r w:rsidRPr="00FF1B50">
        <w:rPr>
          <w:i/>
          <w:iCs/>
        </w:rPr>
        <w:t>See, e.g.</w:t>
      </w:r>
      <w:r w:rsidRPr="00FF1B50">
        <w:t xml:space="preserve">, Joseph Postell, </w:t>
      </w:r>
      <w:r w:rsidRPr="00FF1B50">
        <w:rPr>
          <w:i/>
          <w:iCs/>
        </w:rPr>
        <w:t>Does American History Legitimize the Administrative State?</w:t>
      </w:r>
      <w:r w:rsidRPr="00FF1B50">
        <w:t xml:space="preserve">, 36 </w:t>
      </w:r>
      <w:r w:rsidRPr="00862E0E">
        <w:rPr>
          <w:smallCaps/>
        </w:rPr>
        <w:t>Regent U.L. Rev.</w:t>
      </w:r>
      <w:r w:rsidRPr="00FF1B50">
        <w:t xml:space="preserve"> 321, 326-39 (2024); Jon D. Michaels, </w:t>
      </w:r>
      <w:r w:rsidRPr="00FF1B50">
        <w:rPr>
          <w:i/>
          <w:iCs/>
        </w:rPr>
        <w:t>Constitutional Coup: Privatization’s Threat to the American Republic</w:t>
      </w:r>
      <w:r w:rsidRPr="00FF1B50">
        <w:t xml:space="preserve">, 143-230 (Harv. Univ. Press 2017); Ilan Wurman, </w:t>
      </w:r>
      <w:r w:rsidRPr="00FF1B50">
        <w:rPr>
          <w:i/>
          <w:iCs/>
        </w:rPr>
        <w:t>Constitutional Administration</w:t>
      </w:r>
      <w:r w:rsidRPr="00FF1B50">
        <w:t xml:space="preserve">, 69 </w:t>
      </w:r>
      <w:r w:rsidRPr="00862E0E">
        <w:rPr>
          <w:smallCaps/>
        </w:rPr>
        <w:t>Stan. L. Rev.</w:t>
      </w:r>
      <w:r w:rsidRPr="00FF1B50">
        <w:t xml:space="preserve"> 359, 364-81 (2017); David Freeman Engstrom, </w:t>
      </w:r>
      <w:r w:rsidRPr="00FF1B50">
        <w:rPr>
          <w:i/>
          <w:iCs/>
        </w:rPr>
        <w:t>Corralling Capture</w:t>
      </w:r>
      <w:r w:rsidRPr="00FF1B50">
        <w:t xml:space="preserve">, 36 </w:t>
      </w:r>
      <w:r w:rsidRPr="00FF1B50">
        <w:rPr>
          <w:smallCaps/>
        </w:rPr>
        <w:t xml:space="preserve">Harv. J.L. &amp; Pub. </w:t>
      </w:r>
      <w:proofErr w:type="spellStart"/>
      <w:r w:rsidRPr="00FF1B50">
        <w:rPr>
          <w:smallCaps/>
        </w:rPr>
        <w:t>Pol’y</w:t>
      </w:r>
      <w:proofErr w:type="spellEnd"/>
      <w:r w:rsidRPr="00FF1B50">
        <w:t xml:space="preserve"> 31, 31-39 (2013); C. Boyden Gray, </w:t>
      </w:r>
      <w:r w:rsidRPr="00FF1B50">
        <w:rPr>
          <w:i/>
          <w:iCs/>
        </w:rPr>
        <w:t>Congressional Abdication: Delegation Without Detail and Without Waiver</w:t>
      </w:r>
      <w:r w:rsidRPr="00FF1B50">
        <w:t xml:space="preserve">, 36 </w:t>
      </w:r>
      <w:r w:rsidRPr="00FF1B50">
        <w:rPr>
          <w:smallCaps/>
        </w:rPr>
        <w:t xml:space="preserve">Harv. J.L. &amp; Pub. </w:t>
      </w:r>
      <w:proofErr w:type="spellStart"/>
      <w:r w:rsidRPr="00FF1B50">
        <w:rPr>
          <w:smallCaps/>
        </w:rPr>
        <w:t>Pol’y</w:t>
      </w:r>
      <w:proofErr w:type="spellEnd"/>
      <w:r w:rsidRPr="00FF1B50">
        <w:rPr>
          <w:smallCaps/>
        </w:rPr>
        <w:t xml:space="preserve"> </w:t>
      </w:r>
      <w:r w:rsidRPr="00FF1B50">
        <w:t>41, 43 (2013).</w:t>
      </w:r>
    </w:p>
  </w:footnote>
  <w:footnote w:id="202">
    <w:p w14:paraId="09A29E04" w14:textId="0518D665"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Austin Vertesch, “Poseidon’s Executive: How the Unitary Executive Theory Could Impact Coastal Fisheries,” 15 </w:t>
      </w:r>
      <w:r w:rsidRPr="00FF1B50">
        <w:rPr>
          <w:smallCaps/>
        </w:rPr>
        <w:t xml:space="preserve">Ariz. J. </w:t>
      </w:r>
      <w:proofErr w:type="spellStart"/>
      <w:r w:rsidRPr="00FF1B50">
        <w:rPr>
          <w:smallCaps/>
        </w:rPr>
        <w:t>Envtl</w:t>
      </w:r>
      <w:proofErr w:type="spellEnd"/>
      <w:r w:rsidRPr="00FF1B50">
        <w:rPr>
          <w:smallCaps/>
        </w:rPr>
        <w:t xml:space="preserve">. L. &amp; </w:t>
      </w:r>
      <w:proofErr w:type="spellStart"/>
      <w:r w:rsidRPr="00FF1B50">
        <w:rPr>
          <w:smallCaps/>
        </w:rPr>
        <w:t>Pol’y</w:t>
      </w:r>
      <w:proofErr w:type="spellEnd"/>
      <w:r w:rsidRPr="00FF1B50">
        <w:t xml:space="preserve"> 198, 200 (2025) (“While the speed and breadth of [the administration’s early] actions have caught many off guard, for years high-ranking members of this administration have signaled their intentions to demolish the administrative state and radically reshape the federal government.”); </w:t>
      </w:r>
      <w:r w:rsidRPr="00FF1B50">
        <w:rPr>
          <w:i/>
          <w:iCs/>
        </w:rPr>
        <w:t>see also infra</w:t>
      </w:r>
      <w:r w:rsidRPr="00FF1B50">
        <w:t xml:space="preserve"> </w:t>
      </w:r>
      <w:r>
        <w:t xml:space="preserve">notes </w:t>
      </w:r>
      <w:r>
        <w:fldChar w:fldCharType="begin"/>
      </w:r>
      <w:r>
        <w:instrText xml:space="preserve"> NOTEREF _Ref211360356 \h  \* MERGEFORMAT </w:instrText>
      </w:r>
      <w:r>
        <w:fldChar w:fldCharType="separate"/>
      </w:r>
      <w:r>
        <w:t>273</w:t>
      </w:r>
      <w:r>
        <w:fldChar w:fldCharType="end"/>
      </w:r>
      <w:r>
        <w:t>-</w:t>
      </w:r>
      <w:r>
        <w:fldChar w:fldCharType="begin"/>
      </w:r>
      <w:r>
        <w:instrText xml:space="preserve"> NOTEREF _Ref211360373 \h  \* MERGEFORMAT </w:instrText>
      </w:r>
      <w:r>
        <w:fldChar w:fldCharType="separate"/>
      </w:r>
      <w:r>
        <w:t>277</w:t>
      </w:r>
      <w:r>
        <w:fldChar w:fldCharType="end"/>
      </w:r>
      <w:r w:rsidRPr="00FF1B50">
        <w:t xml:space="preserve"> and accompanying text (discussing recent Supreme Court decisions curtailing administrative-agency power).</w:t>
      </w:r>
    </w:p>
  </w:footnote>
  <w:footnote w:id="203">
    <w:p w14:paraId="3E94ABD0" w14:textId="24E592AC" w:rsidR="00092031" w:rsidRPr="00FF1B50" w:rsidRDefault="00092031" w:rsidP="00092031">
      <w:pPr>
        <w:pStyle w:val="FootnoteText"/>
      </w:pPr>
      <w:r w:rsidRPr="00FF1B50">
        <w:rPr>
          <w:rStyle w:val="FootnoteReference"/>
          <w:rFonts w:cs="Times New Roman"/>
        </w:rPr>
        <w:footnoteRef/>
      </w:r>
      <w:r w:rsidRPr="00FF1B50">
        <w:t xml:space="preserve"> Rachel E. Barkow, </w:t>
      </w:r>
      <w:r w:rsidRPr="00FF1B50">
        <w:rPr>
          <w:i/>
          <w:iCs/>
        </w:rPr>
        <w:t>The Ascent of the Administrative State and the Demise of Mercy</w:t>
      </w:r>
      <w:r w:rsidRPr="00FF1B50">
        <w:t xml:space="preserve">, 121 Harv. L. Rev. 1332, 1336 (2008); </w:t>
      </w:r>
      <w:r w:rsidRPr="00FF1B50">
        <w:rPr>
          <w:i/>
          <w:iCs/>
        </w:rPr>
        <w:t>see also</w:t>
      </w:r>
      <w:r w:rsidRPr="00FF1B50">
        <w:t xml:space="preserve"> Bagley, </w:t>
      </w:r>
      <w:r w:rsidRPr="00FF1B50">
        <w:rPr>
          <w:i/>
          <w:iCs/>
        </w:rPr>
        <w:t>supra</w:t>
      </w:r>
      <w:r w:rsidRPr="00FF1B50">
        <w:t xml:space="preserve"> note </w:t>
      </w:r>
      <w:r>
        <w:rPr>
          <w:highlight w:val="cyan"/>
        </w:rPr>
        <w:fldChar w:fldCharType="begin"/>
      </w:r>
      <w:r>
        <w:instrText xml:space="preserve"> NOTEREF _Ref211360390 \h </w:instrText>
      </w:r>
      <w:r>
        <w:rPr>
          <w:highlight w:val="cyan"/>
        </w:rPr>
        <w:instrText xml:space="preserve"> \* MERGEFORMAT </w:instrText>
      </w:r>
      <w:r>
        <w:rPr>
          <w:highlight w:val="cyan"/>
        </w:rPr>
      </w:r>
      <w:r>
        <w:rPr>
          <w:highlight w:val="cyan"/>
        </w:rPr>
        <w:fldChar w:fldCharType="separate"/>
      </w:r>
      <w:r>
        <w:t>30</w:t>
      </w:r>
      <w:r>
        <w:rPr>
          <w:highlight w:val="cyan"/>
        </w:rPr>
        <w:fldChar w:fldCharType="end"/>
      </w:r>
      <w:r w:rsidRPr="00FF1B50">
        <w:t xml:space="preserve">, at 315 (“Judges of whatever political stripe are acculturated into a legal community that views the administrative state as a leviathan that can be tamed only through zealous judicial oversight.”); M. Elizabeth Magill, </w:t>
      </w:r>
      <w:r w:rsidRPr="00FF1B50">
        <w:rPr>
          <w:i/>
          <w:iCs/>
        </w:rPr>
        <w:t>Agency Choice of Policymaking Form</w:t>
      </w:r>
      <w:r w:rsidRPr="00FF1B50">
        <w:t xml:space="preserve">, 71 </w:t>
      </w:r>
      <w:r w:rsidRPr="00FF1B50">
        <w:rPr>
          <w:smallCaps/>
        </w:rPr>
        <w:t xml:space="preserve">U. Chi. L. Rev. </w:t>
      </w:r>
      <w:r w:rsidRPr="00FF1B50">
        <w:t>1383, 1413 (2004) (“The dominant narrative of modern administrative law casts judges as key players who help tame, and thereby legitimate, the exercise of administrative power.”).</w:t>
      </w:r>
    </w:p>
  </w:footnote>
  <w:footnote w:id="204">
    <w:p w14:paraId="6890126B" w14:textId="163889E2" w:rsidR="00092031" w:rsidRPr="00FF1B50" w:rsidRDefault="00092031" w:rsidP="00092031">
      <w:pPr>
        <w:pStyle w:val="FootnoteText"/>
      </w:pPr>
      <w:r w:rsidRPr="00FF1B50">
        <w:rPr>
          <w:rStyle w:val="FootnoteReference"/>
          <w:rFonts w:cs="Times New Roman"/>
        </w:rPr>
        <w:footnoteRef/>
      </w:r>
      <w:r w:rsidRPr="00FF1B50">
        <w:t xml:space="preserve"> Daniel A. Farber &amp; Anne Joseph O’Connell, </w:t>
      </w:r>
      <w:r w:rsidRPr="00FF1B50">
        <w:rPr>
          <w:i/>
          <w:iCs/>
        </w:rPr>
        <w:t>The Lost World of Administrative Law</w:t>
      </w:r>
      <w:r w:rsidRPr="00FF1B50">
        <w:t xml:space="preserve">, 92 </w:t>
      </w:r>
      <w:r w:rsidRPr="00FF1B50">
        <w:rPr>
          <w:smallCaps/>
        </w:rPr>
        <w:t xml:space="preserve">Tex. L. Rev. </w:t>
      </w:r>
      <w:r w:rsidRPr="00FF1B50">
        <w:t xml:space="preserve">1137, 1143, 1170-71 (2014); Barkow, </w:t>
      </w:r>
      <w:r w:rsidRPr="00FF1B50">
        <w:rPr>
          <w:i/>
          <w:iCs/>
        </w:rPr>
        <w:t>supra</w:t>
      </w:r>
      <w:r w:rsidRPr="00FF1B50">
        <w:t xml:space="preserve"> note</w:t>
      </w:r>
      <w:r>
        <w:t xml:space="preserve"> </w:t>
      </w:r>
      <w:r>
        <w:fldChar w:fldCharType="begin"/>
      </w:r>
      <w:r>
        <w:instrText xml:space="preserve"> NOTEREF _Ref211360422 \h  \* MERGEFORMAT </w:instrText>
      </w:r>
      <w:r>
        <w:fldChar w:fldCharType="separate"/>
      </w:r>
      <w:r>
        <w:t>202</w:t>
      </w:r>
      <w:r>
        <w:fldChar w:fldCharType="end"/>
      </w:r>
      <w:r w:rsidRPr="00FF1B50">
        <w:t>, at 1336.</w:t>
      </w:r>
    </w:p>
  </w:footnote>
  <w:footnote w:id="205">
    <w:p w14:paraId="7A1F7420" w14:textId="4BE57462" w:rsidR="00092031" w:rsidRPr="00FF1B50" w:rsidRDefault="00092031" w:rsidP="00092031">
      <w:pPr>
        <w:pStyle w:val="FootnoteText"/>
      </w:pPr>
      <w:r w:rsidRPr="00FF1B50">
        <w:rPr>
          <w:rStyle w:val="FootnoteReference"/>
          <w:rFonts w:cs="Times New Roman"/>
        </w:rPr>
        <w:footnoteRef/>
      </w:r>
      <w:r w:rsidRPr="00FF1B50">
        <w:t xml:space="preserve"> Barkow, </w:t>
      </w:r>
      <w:r w:rsidRPr="00FF1B50">
        <w:rPr>
          <w:i/>
          <w:iCs/>
        </w:rPr>
        <w:t>supra</w:t>
      </w:r>
      <w:r w:rsidRPr="00FF1B50">
        <w:t xml:space="preserve"> note</w:t>
      </w:r>
      <w:r>
        <w:t xml:space="preserve"> </w:t>
      </w:r>
      <w:r>
        <w:fldChar w:fldCharType="begin"/>
      </w:r>
      <w:r>
        <w:instrText xml:space="preserve"> NOTEREF _Ref211360422 \h  \* MERGEFORMAT </w:instrText>
      </w:r>
      <w:r>
        <w:fldChar w:fldCharType="separate"/>
      </w:r>
      <w:r>
        <w:t>202</w:t>
      </w:r>
      <w:r>
        <w:fldChar w:fldCharType="end"/>
      </w:r>
      <w:r w:rsidRPr="00FF1B50">
        <w:t xml:space="preserve">, at 1355-58. Professor Bagley similarly explains that “[n]o longer episodic and unusual, judicial review [under the APA] became the norm—and it has stayed the norm. Indeed, it is fair to say that the necessity of robust judicial review has hardened into an infrequently challenged convention of administrative law.” Bagley, </w:t>
      </w:r>
      <w:r w:rsidRPr="00FF1B50">
        <w:rPr>
          <w:i/>
          <w:iCs/>
        </w:rPr>
        <w:t>supra</w:t>
      </w:r>
      <w:r w:rsidRPr="00FF1B50">
        <w:t xml:space="preserve"> note </w:t>
      </w:r>
      <w:r>
        <w:rPr>
          <w:highlight w:val="cyan"/>
        </w:rPr>
        <w:fldChar w:fldCharType="begin"/>
      </w:r>
      <w:r>
        <w:instrText xml:space="preserve"> NOTEREF _Ref211360390 \h </w:instrText>
      </w:r>
      <w:r>
        <w:rPr>
          <w:highlight w:val="cyan"/>
        </w:rPr>
        <w:instrText xml:space="preserve"> \* MERGEFORMAT </w:instrText>
      </w:r>
      <w:r>
        <w:rPr>
          <w:highlight w:val="cyan"/>
        </w:rPr>
      </w:r>
      <w:r>
        <w:rPr>
          <w:highlight w:val="cyan"/>
        </w:rPr>
        <w:fldChar w:fldCharType="separate"/>
      </w:r>
      <w:r>
        <w:t>30</w:t>
      </w:r>
      <w:r>
        <w:rPr>
          <w:highlight w:val="cyan"/>
        </w:rPr>
        <w:fldChar w:fldCharType="end"/>
      </w:r>
      <w:r w:rsidRPr="00FF1B50">
        <w:t xml:space="preserve">, at 261. </w:t>
      </w:r>
    </w:p>
  </w:footnote>
  <w:footnote w:id="206">
    <w:p w14:paraId="23B6E6F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John Prusak, Exclusive: 2022 Snowmobile Sales Data Shows Winners, Losers, </w:t>
      </w:r>
      <w:proofErr w:type="spellStart"/>
      <w:r w:rsidRPr="00FF1B50">
        <w:t>SnowGoer</w:t>
      </w:r>
      <w:proofErr w:type="spellEnd"/>
      <w:r w:rsidRPr="00FF1B50">
        <w:t xml:space="preserve"> (June 13, 2022) (displaying chart of national snowmobile use between 1980 and 2022, with a peak in the 1990s), </w:t>
      </w:r>
      <w:hyperlink r:id="rId6" w:history="1">
        <w:r w:rsidRPr="00FF1B50">
          <w:rPr>
            <w:rStyle w:val="Hyperlink"/>
            <w:rFonts w:cs="Times New Roman"/>
          </w:rPr>
          <w:t>https://snowgoer.com/latest-news/exclusive-2022-snowmobile-sales-data-shows-winners-losers/30784/</w:t>
        </w:r>
      </w:hyperlink>
      <w:r w:rsidRPr="00FF1B50">
        <w:t xml:space="preserve">; Hilary Eisen, Winter Wildlands Alliance, </w:t>
      </w:r>
      <w:r w:rsidRPr="00FF1B50">
        <w:rPr>
          <w:i/>
          <w:iCs/>
        </w:rPr>
        <w:t>Winter Recreation on National Forest Lands</w:t>
      </w:r>
      <w:r w:rsidRPr="00FF1B50">
        <w:t xml:space="preserve">, 2-3, 20 (June 2015) (discussing changes in snowmobile technology in 1990s that increased snowmobiles’ popularity, especially on National Forest System lands, and showing current snowmobile visits per year in the Lake Tahoe Basin), </w:t>
      </w:r>
      <w:hyperlink r:id="rId7" w:history="1">
        <w:r w:rsidRPr="00FF1B50">
          <w:rPr>
            <w:rStyle w:val="Hyperlink"/>
            <w:rFonts w:cs="Times New Roman"/>
          </w:rPr>
          <w:t>https://winterwildlands.org/wp-content/uploads/2015/06/2015-Winter-Rec-Report.pdf</w:t>
        </w:r>
      </w:hyperlink>
      <w:r w:rsidRPr="00FF1B50">
        <w:t xml:space="preserve">. </w:t>
      </w:r>
    </w:p>
  </w:footnote>
  <w:footnote w:id="207">
    <w:p w14:paraId="3AC83906" w14:textId="77777777" w:rsidR="00092031" w:rsidRPr="00FF1B50" w:rsidRDefault="00092031" w:rsidP="00092031">
      <w:pPr>
        <w:pStyle w:val="FootnoteText"/>
      </w:pPr>
      <w:r w:rsidRPr="00FF1B50">
        <w:rPr>
          <w:rStyle w:val="FootnoteReference"/>
          <w:rFonts w:cs="Times New Roman"/>
        </w:rPr>
        <w:footnoteRef/>
      </w:r>
      <w:r w:rsidRPr="00FF1B50">
        <w:t xml:space="preserve"> Memorandum of Opinion and Order, </w:t>
      </w:r>
      <w:r w:rsidRPr="00FF1B50">
        <w:rPr>
          <w:i/>
          <w:iCs/>
        </w:rPr>
        <w:t>Friends of Hope Valley v. U.S. Forest Serv.</w:t>
      </w:r>
      <w:r w:rsidRPr="00FF1B50">
        <w:t xml:space="preserve">, No. 2:00-cv-01900-DFL-KJM, 1-2 (E.D. Cal. Sept. 30, 2004); Christopher Reynolds, “A line in the snow,” </w:t>
      </w:r>
      <w:r w:rsidRPr="00FF1B50">
        <w:rPr>
          <w:i/>
          <w:iCs/>
        </w:rPr>
        <w:t>Los Angeles Times</w:t>
      </w:r>
      <w:r w:rsidRPr="00FF1B50">
        <w:t xml:space="preserve"> (Feb. 8, 2005), </w:t>
      </w:r>
      <w:hyperlink r:id="rId8" w:history="1">
        <w:r w:rsidRPr="00FF1B50">
          <w:rPr>
            <w:rStyle w:val="Hyperlink"/>
            <w:rFonts w:cs="Times New Roman"/>
          </w:rPr>
          <w:t>https://www.latimes.com/science/la-os-snowmobile8feb08-story.html</w:t>
        </w:r>
      </w:hyperlink>
      <w:r w:rsidRPr="00FF1B50">
        <w:t xml:space="preserve">. </w:t>
      </w:r>
      <w:r w:rsidRPr="00FF1B50">
        <w:rPr>
          <w:lang w:val="en-CA"/>
        </w:rPr>
        <w:t xml:space="preserve">Travel maps designate the areas of a given national forest that are suitable for specific uses, such as cross-country skiing and snowmobiling, and establish restrictions on those uses. </w:t>
      </w:r>
      <w:r w:rsidRPr="00FF1B50">
        <w:rPr>
          <w:i/>
          <w:iCs/>
        </w:rPr>
        <w:t>See</w:t>
      </w:r>
      <w:r w:rsidRPr="00FF1B50">
        <w:t xml:space="preserve"> U.S. Forest Service, “Interactive Travel Map,” </w:t>
      </w:r>
      <w:hyperlink r:id="rId9" w:history="1">
        <w:r w:rsidRPr="00FF1B50">
          <w:rPr>
            <w:rStyle w:val="Hyperlink"/>
            <w:rFonts w:cs="Times New Roman"/>
          </w:rPr>
          <w:t>https://www.fs.usda.gov/recreation/programs/ohv/</w:t>
        </w:r>
      </w:hyperlink>
      <w:r w:rsidRPr="00FF1B50">
        <w:t xml:space="preserve"> (last modified June 10, 2022). For the Carson Ranger District’s current winter recreation travel map, </w:t>
      </w:r>
      <w:r w:rsidRPr="00FF1B50">
        <w:rPr>
          <w:i/>
          <w:iCs/>
        </w:rPr>
        <w:t>see</w:t>
      </w:r>
      <w:r w:rsidRPr="00FF1B50">
        <w:t xml:space="preserve"> </w:t>
      </w:r>
      <w:hyperlink r:id="rId10" w:history="1">
        <w:r w:rsidRPr="00FF1B50">
          <w:rPr>
            <w:rStyle w:val="Hyperlink"/>
            <w:rFonts w:cs="Times New Roman"/>
          </w:rPr>
          <w:t>https://www.fs.usda.gov/Internet/FSE_DOCUMENTS/fseprd602655.pdf</w:t>
        </w:r>
      </w:hyperlink>
      <w:r w:rsidRPr="00FF1B50">
        <w:t xml:space="preserve"> (2010).</w:t>
      </w:r>
    </w:p>
  </w:footnote>
  <w:footnote w:id="208">
    <w:p w14:paraId="2E406F1A" w14:textId="77777777" w:rsidR="00092031" w:rsidRPr="00FF1B50" w:rsidRDefault="00092031" w:rsidP="00092031">
      <w:pPr>
        <w:pStyle w:val="FootnoteText"/>
      </w:pPr>
      <w:r w:rsidRPr="00FF1B50">
        <w:rPr>
          <w:rStyle w:val="FootnoteReference"/>
          <w:rFonts w:cs="Times New Roman"/>
        </w:rPr>
        <w:footnoteRef/>
      </w:r>
      <w:r w:rsidRPr="00FF1B50">
        <w:t xml:space="preserve"> Memorandum of Opinion and Order, </w:t>
      </w:r>
      <w:r w:rsidRPr="00FF1B50">
        <w:rPr>
          <w:i/>
          <w:iCs/>
        </w:rPr>
        <w:t>Friends of Hope Valley v. U.S. Forest Serv.</w:t>
      </w:r>
      <w:r w:rsidRPr="00FF1B50">
        <w:t>, No. 2:00-cv-01900-DFL-KJM, 1-2 (E.D. Cal. Sept. 30, 2004).</w:t>
      </w:r>
    </w:p>
  </w:footnote>
  <w:footnote w:id="209">
    <w:p w14:paraId="78F2FCB4"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4D250E">
        <w:rPr>
          <w:i/>
          <w:iCs/>
        </w:rPr>
        <w:t>Id.</w:t>
      </w:r>
      <w:r>
        <w:t xml:space="preserve"> at</w:t>
      </w:r>
      <w:r w:rsidRPr="00FF1B50">
        <w:t xml:space="preserve"> 2</w:t>
      </w:r>
      <w:r>
        <w:t>.</w:t>
      </w:r>
    </w:p>
  </w:footnote>
  <w:footnote w:id="210">
    <w:p w14:paraId="1CD57171" w14:textId="77777777" w:rsidR="00092031" w:rsidRPr="00FF1B50" w:rsidRDefault="00092031" w:rsidP="00092031">
      <w:pPr>
        <w:pStyle w:val="FootnoteText"/>
        <w:rPr>
          <w:i/>
          <w:iCs/>
        </w:rPr>
      </w:pPr>
      <w:r w:rsidRPr="00FF1B50">
        <w:rPr>
          <w:rStyle w:val="FootnoteReference"/>
          <w:rFonts w:cs="Times New Roman"/>
        </w:rPr>
        <w:footnoteRef/>
      </w:r>
      <w:r w:rsidRPr="00FF1B50">
        <w:t xml:space="preserve"> </w:t>
      </w:r>
      <w:r w:rsidRPr="00FF1B50">
        <w:rPr>
          <w:i/>
          <w:iCs/>
        </w:rPr>
        <w:t>Id.</w:t>
      </w:r>
    </w:p>
  </w:footnote>
  <w:footnote w:id="211">
    <w:p w14:paraId="436DACAE" w14:textId="77777777" w:rsidR="00092031" w:rsidRPr="00FF1B50" w:rsidRDefault="00092031" w:rsidP="00092031">
      <w:pPr>
        <w:pStyle w:val="FootnoteText"/>
      </w:pPr>
      <w:r w:rsidRPr="00FF1B50">
        <w:rPr>
          <w:rStyle w:val="FootnoteReference"/>
          <w:rFonts w:cs="Times New Roman"/>
        </w:rPr>
        <w:footnoteRef/>
      </w:r>
      <w:r w:rsidRPr="00FF1B50">
        <w:t xml:space="preserve"> Associated Press, “Latest snowmobile debate centers on small California road,” </w:t>
      </w:r>
      <w:r w:rsidRPr="00FF1B50">
        <w:rPr>
          <w:i/>
          <w:iCs/>
        </w:rPr>
        <w:t>Tahoe Daily Tribune</w:t>
      </w:r>
      <w:r w:rsidRPr="00FF1B50">
        <w:t xml:space="preserve"> (Dec. 25, 2001), </w:t>
      </w:r>
      <w:hyperlink r:id="rId11" w:history="1">
        <w:r w:rsidRPr="00FF1B50">
          <w:rPr>
            <w:rStyle w:val="Hyperlink"/>
            <w:rFonts w:cs="Times New Roman"/>
          </w:rPr>
          <w:t>https://www.tahoedailytribune.com/news/latest-snowmobile-debate-centers-on-small-california-road/</w:t>
        </w:r>
      </w:hyperlink>
      <w:r w:rsidRPr="00FF1B50">
        <w:t xml:space="preserve">. </w:t>
      </w:r>
    </w:p>
  </w:footnote>
  <w:footnote w:id="212">
    <w:p w14:paraId="618664A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lang w:val="en-CA"/>
        </w:rPr>
        <w:t>42 U.S.C. § 4321</w:t>
      </w:r>
      <w:r>
        <w:rPr>
          <w:lang w:val="en-CA"/>
        </w:rPr>
        <w:t xml:space="preserve"> </w:t>
      </w:r>
      <w:r w:rsidRPr="00CC6B1C">
        <w:rPr>
          <w:i/>
          <w:iCs/>
          <w:lang w:val="en-CA"/>
        </w:rPr>
        <w:t>et seq.</w:t>
      </w:r>
    </w:p>
  </w:footnote>
  <w:footnote w:id="213">
    <w:p w14:paraId="7BCF5105" w14:textId="77777777" w:rsidR="00092031" w:rsidRPr="00FF1B50" w:rsidRDefault="00092031" w:rsidP="00092031">
      <w:pPr>
        <w:pStyle w:val="FootnoteText"/>
      </w:pPr>
      <w:r w:rsidRPr="00FF1B50">
        <w:rPr>
          <w:rStyle w:val="FootnoteReference"/>
          <w:rFonts w:cs="Times New Roman"/>
        </w:rPr>
        <w:footnoteRef/>
      </w:r>
      <w:r w:rsidRPr="00FF1B50">
        <w:t xml:space="preserve"> Memorandum of Opinion and Order, </w:t>
      </w:r>
      <w:r w:rsidRPr="00FF1B50">
        <w:rPr>
          <w:i/>
          <w:iCs/>
        </w:rPr>
        <w:t>Friends of Hope Valley v. U.S. Forest Serv.</w:t>
      </w:r>
      <w:r w:rsidRPr="00FF1B50">
        <w:t>, No. 2:00-cv-01900-DFL-KJM, 6 (E.D. Cal. Sept. 30, 2004).</w:t>
      </w:r>
    </w:p>
  </w:footnote>
  <w:footnote w:id="214">
    <w:p w14:paraId="5B643988" w14:textId="77777777" w:rsidR="00092031" w:rsidRPr="00FF1B50" w:rsidRDefault="00092031" w:rsidP="00092031">
      <w:pPr>
        <w:pStyle w:val="FootnoteText"/>
      </w:pPr>
      <w:r w:rsidRPr="00FF1B50">
        <w:rPr>
          <w:rStyle w:val="FootnoteReference"/>
          <w:rFonts w:cs="Times New Roman"/>
        </w:rPr>
        <w:footnoteRef/>
      </w:r>
      <w:r w:rsidRPr="00FF1B50">
        <w:t xml:space="preserve"> Complaint for Declaratory and Injunctive Relief, </w:t>
      </w:r>
      <w:r w:rsidRPr="00FF1B50">
        <w:rPr>
          <w:i/>
          <w:iCs/>
        </w:rPr>
        <w:t>Friends of Hope Valley v. U.S. Forest Serv.</w:t>
      </w:r>
      <w:r w:rsidRPr="00FF1B50">
        <w:t xml:space="preserve">, E.D. Cal. No. 2:00-cv-01900-DFL-KJM, 16-17 (Sept. 1, 2000); Memorandum of Opinion and Order, </w:t>
      </w:r>
      <w:r w:rsidRPr="00FF1B50">
        <w:rPr>
          <w:i/>
          <w:iCs/>
        </w:rPr>
        <w:t>Friends of Hope Valley v. U.S. Forest Serv.</w:t>
      </w:r>
      <w:r w:rsidRPr="00FF1B50">
        <w:t>, No. 2:00-cv-01900-DFL-KJM, 6 (E.D. Cal. Sept. 30, 2004).</w:t>
      </w:r>
    </w:p>
  </w:footnote>
  <w:footnote w:id="215">
    <w:p w14:paraId="2EFFF4E4" w14:textId="77777777" w:rsidR="00092031" w:rsidRPr="00ED3F56" w:rsidRDefault="00092031" w:rsidP="00092031">
      <w:pPr>
        <w:pStyle w:val="FootnoteText"/>
      </w:pPr>
      <w:r w:rsidRPr="00FF1B50">
        <w:rPr>
          <w:rStyle w:val="FootnoteReference"/>
          <w:rFonts w:cs="Times New Roman"/>
        </w:rPr>
        <w:footnoteRef/>
      </w:r>
      <w:r w:rsidRPr="00FF1B50">
        <w:t xml:space="preserve"> Memorandum of Opinion and Order, </w:t>
      </w:r>
      <w:r w:rsidRPr="00FF1B50">
        <w:rPr>
          <w:i/>
          <w:iCs/>
        </w:rPr>
        <w:t>Friends of Hope Valley v. U.S. Forest Serv.</w:t>
      </w:r>
      <w:r w:rsidRPr="00FF1B50">
        <w:t>, No. 2:00-cv-01900-DFL-KJM, 6 (E.D. Cal. Sept. 30, 2004)</w:t>
      </w:r>
      <w:r>
        <w:t>.</w:t>
      </w:r>
    </w:p>
  </w:footnote>
  <w:footnote w:id="216">
    <w:p w14:paraId="2C62AA8B" w14:textId="16F27AB0" w:rsidR="00092031" w:rsidRPr="00FF1B50" w:rsidRDefault="00092031" w:rsidP="00092031">
      <w:pPr>
        <w:pStyle w:val="FootnoteText"/>
      </w:pPr>
      <w:r w:rsidRPr="00FF1B50">
        <w:rPr>
          <w:rStyle w:val="FootnoteReference"/>
          <w:rFonts w:cs="Times New Roman"/>
        </w:rPr>
        <w:footnoteRef/>
      </w:r>
      <w:r w:rsidRPr="00FF1B50">
        <w:t xml:space="preserve"> Another ground was a more obvious one: that the Friends were the prevailing parties and therefore lacked standing to appeal. I discuss this issue more fully </w:t>
      </w:r>
      <w:r w:rsidRPr="00FF1B50">
        <w:rPr>
          <w:i/>
          <w:iCs/>
        </w:rPr>
        <w:t>infra</w:t>
      </w:r>
      <w:r w:rsidRPr="00FF1B50">
        <w:t xml:space="preserve"> </w:t>
      </w:r>
      <w:r>
        <w:t xml:space="preserve">notes </w:t>
      </w:r>
      <w:r>
        <w:fldChar w:fldCharType="begin"/>
      </w:r>
      <w:r>
        <w:instrText xml:space="preserve"> NOTEREF _Ref211360457 \h  \* MERGEFORMAT </w:instrText>
      </w:r>
      <w:r>
        <w:fldChar w:fldCharType="separate"/>
      </w:r>
      <w:r>
        <w:t>244</w:t>
      </w:r>
      <w:r>
        <w:fldChar w:fldCharType="end"/>
      </w:r>
      <w:r>
        <w:t>-</w:t>
      </w:r>
      <w:r>
        <w:fldChar w:fldCharType="begin"/>
      </w:r>
      <w:r>
        <w:instrText xml:space="preserve"> NOTEREF _Ref211360472 \h  \* MERGEFORMAT </w:instrText>
      </w:r>
      <w:r>
        <w:fldChar w:fldCharType="separate"/>
      </w:r>
      <w:r>
        <w:t>250</w:t>
      </w:r>
      <w:r>
        <w:fldChar w:fldCharType="end"/>
      </w:r>
      <w:r>
        <w:t xml:space="preserve"> and accompanying text</w:t>
      </w:r>
      <w:r w:rsidRPr="00FF1B50">
        <w:t>.</w:t>
      </w:r>
    </w:p>
  </w:footnote>
  <w:footnote w:id="217">
    <w:p w14:paraId="6035568F" w14:textId="77777777" w:rsidR="00092031" w:rsidRPr="00FF1B50" w:rsidRDefault="00092031" w:rsidP="00092031">
      <w:pPr>
        <w:pStyle w:val="FootnoteText"/>
      </w:pPr>
      <w:r w:rsidRPr="00FF1B50">
        <w:rPr>
          <w:rStyle w:val="FootnoteReference"/>
          <w:rFonts w:cs="Times New Roman"/>
        </w:rPr>
        <w:footnoteRef/>
      </w:r>
      <w:r w:rsidRPr="00FF1B50">
        <w:t xml:space="preserve"> Brief of the Federal Appellee, </w:t>
      </w:r>
      <w:r w:rsidRPr="00FF1B50">
        <w:rPr>
          <w:i/>
          <w:iCs/>
        </w:rPr>
        <w:t>Friends of Hope Valley v. U.S. Forest Serv.</w:t>
      </w:r>
      <w:r w:rsidRPr="00FF1B50">
        <w:t>, No. 04-17376, 2005 WL 4120955, at *11-16 (Nov. 1, 2005).</w:t>
      </w:r>
    </w:p>
  </w:footnote>
  <w:footnote w:id="218">
    <w:p w14:paraId="7946916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Friends of Hope Valley</w:t>
      </w:r>
      <w:r w:rsidRPr="00FF1B50">
        <w:t>, 203 Fed. Appx. at 883.</w:t>
      </w:r>
    </w:p>
  </w:footnote>
  <w:footnote w:id="219">
    <w:p w14:paraId="2344F40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w:t>
      </w:r>
    </w:p>
  </w:footnote>
  <w:footnote w:id="220">
    <w:p w14:paraId="2751D79B" w14:textId="77777777" w:rsidR="00092031" w:rsidRPr="00FF1B50" w:rsidRDefault="00092031" w:rsidP="00092031">
      <w:pPr>
        <w:pStyle w:val="FootnoteText"/>
      </w:pPr>
      <w:r w:rsidRPr="00FF1B50">
        <w:rPr>
          <w:rStyle w:val="FootnoteReference"/>
          <w:rFonts w:cs="Times New Roman"/>
        </w:rPr>
        <w:footnoteRef/>
      </w:r>
      <w:r w:rsidRPr="00FF1B50">
        <w:t xml:space="preserve"> U.S. Forest Service, Humboldt-Toiyabe National Forest, Carson Ranger District, Decision Notice and Finding of No Significant Impact, 1 (Aug. 2007) (on file with the agency and author). Specifically, the Forest Service considered a larger area, hired a consultant, collaborated with local government, and prepared a new environmental review. </w:t>
      </w:r>
      <w:r w:rsidRPr="00FF1B50">
        <w:rPr>
          <w:i/>
          <w:iCs/>
        </w:rPr>
        <w:t>Id.</w:t>
      </w:r>
      <w:r w:rsidRPr="00FF1B50">
        <w:t xml:space="preserve"> </w:t>
      </w:r>
    </w:p>
  </w:footnote>
  <w:footnote w:id="221">
    <w:p w14:paraId="09C917D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4-5; </w:t>
      </w:r>
      <w:r w:rsidRPr="00FF1B50">
        <w:rPr>
          <w:i/>
          <w:iCs/>
        </w:rPr>
        <w:t>see also</w:t>
      </w:r>
      <w:r w:rsidRPr="00FF1B50">
        <w:t xml:space="preserve"> Sean McAlindin, “The debate over snowmobile access; Forest Service eye plans on snowmobiles,” </w:t>
      </w:r>
      <w:r w:rsidRPr="00FF1B50">
        <w:rPr>
          <w:i/>
          <w:iCs/>
        </w:rPr>
        <w:t>Tahoe Guide</w:t>
      </w:r>
      <w:r w:rsidRPr="00FF1B50">
        <w:t xml:space="preserve"> (Dec. 5, 2018), </w:t>
      </w:r>
      <w:hyperlink r:id="rId12" w:history="1">
        <w:r w:rsidRPr="00FF1B50">
          <w:rPr>
            <w:rStyle w:val="Hyperlink"/>
            <w:rFonts w:cs="Times New Roman"/>
          </w:rPr>
          <w:t>https://yourtahoeguide.com/2018/12/the-debate-over-snowmobile-access-forest-service-eye-plans-on-snowmobiles/</w:t>
        </w:r>
      </w:hyperlink>
      <w:r w:rsidRPr="00FF1B50">
        <w:t xml:space="preserve">. </w:t>
      </w:r>
    </w:p>
  </w:footnote>
  <w:footnote w:id="222">
    <w:p w14:paraId="02A49EB3" w14:textId="77777777" w:rsidR="00092031" w:rsidRPr="00FF1B50" w:rsidRDefault="00092031" w:rsidP="00092031">
      <w:pPr>
        <w:pStyle w:val="FootnoteText"/>
      </w:pPr>
      <w:r w:rsidRPr="00FF1B50">
        <w:rPr>
          <w:rStyle w:val="FootnoteReference"/>
          <w:rFonts w:cs="Times New Roman"/>
        </w:rPr>
        <w:footnoteRef/>
      </w:r>
      <w:r w:rsidRPr="00FF1B50">
        <w:t xml:space="preserve"> U.S. Forest Service, Humboldt-Toiyabe National Forest, Carson Ranger District, Decision Notice and Finding of No Significant Impact, 4-5 (Aug. 2007); Friends of Hope Valley, </w:t>
      </w:r>
      <w:r w:rsidRPr="00FF1B50">
        <w:rPr>
          <w:i/>
          <w:iCs/>
        </w:rPr>
        <w:t>Friends of Hope Valley Newsletter</w:t>
      </w:r>
      <w:r w:rsidRPr="00FF1B50">
        <w:t xml:space="preserve">, 1 (Spring 2008), </w:t>
      </w:r>
      <w:hyperlink r:id="rId13" w:history="1">
        <w:r w:rsidRPr="00FF1B50">
          <w:rPr>
            <w:rStyle w:val="Hyperlink"/>
            <w:rFonts w:cs="Times New Roman"/>
          </w:rPr>
          <w:t>https://www.friendsofhopevalley.org/2008newsletterweb.pdf</w:t>
        </w:r>
      </w:hyperlink>
      <w:r w:rsidRPr="00FF1B50">
        <w:t xml:space="preserve">. </w:t>
      </w:r>
    </w:p>
  </w:footnote>
  <w:footnote w:id="223">
    <w:p w14:paraId="0068FBB8" w14:textId="77777777" w:rsidR="00092031" w:rsidRPr="00FF1B50" w:rsidRDefault="00092031" w:rsidP="00092031">
      <w:pPr>
        <w:pStyle w:val="FootnoteText"/>
      </w:pPr>
      <w:r w:rsidRPr="00FF1B50">
        <w:rPr>
          <w:rStyle w:val="FootnoteReference"/>
          <w:rFonts w:cs="Times New Roman"/>
        </w:rPr>
        <w:footnoteRef/>
      </w:r>
      <w:r w:rsidRPr="00FF1B50">
        <w:t xml:space="preserve"> Friends of Hope Valley, </w:t>
      </w:r>
      <w:r w:rsidRPr="00FF1B50">
        <w:rPr>
          <w:i/>
          <w:iCs/>
        </w:rPr>
        <w:t>Friends of Hope Valley Newsletter</w:t>
      </w:r>
      <w:r w:rsidRPr="00FF1B50">
        <w:t xml:space="preserve">, 1 (Winter 2007), </w:t>
      </w:r>
      <w:hyperlink r:id="rId14" w:history="1">
        <w:r w:rsidRPr="00FF1B50">
          <w:rPr>
            <w:rStyle w:val="Hyperlink"/>
            <w:rFonts w:cs="Times New Roman"/>
          </w:rPr>
          <w:t>https://www.friendsofhopevalley.org/news07_winter.pdf</w:t>
        </w:r>
      </w:hyperlink>
      <w:r w:rsidRPr="00FF1B50">
        <w:t xml:space="preserve">; Friends of Hope Valley, </w:t>
      </w:r>
      <w:r w:rsidRPr="00FF1B50">
        <w:rPr>
          <w:i/>
          <w:iCs/>
        </w:rPr>
        <w:t>Friends of Hope Valley Newsletter</w:t>
      </w:r>
      <w:r w:rsidRPr="00FF1B50">
        <w:t xml:space="preserve">, 1 (Spring 2008), </w:t>
      </w:r>
      <w:hyperlink r:id="rId15" w:history="1">
        <w:r w:rsidRPr="00FF1B50">
          <w:rPr>
            <w:rStyle w:val="Hyperlink"/>
            <w:rFonts w:cs="Times New Roman"/>
          </w:rPr>
          <w:t>https://www.friendsofhopevalley.org/2008newsletterweb.pdf</w:t>
        </w:r>
      </w:hyperlink>
      <w:r w:rsidRPr="00FF1B50">
        <w:t xml:space="preserve">. </w:t>
      </w:r>
    </w:p>
  </w:footnote>
  <w:footnote w:id="224">
    <w:p w14:paraId="568D684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hyperlink r:id="rId16" w:history="1">
        <w:r w:rsidRPr="00FF1B50">
          <w:rPr>
            <w:rStyle w:val="Hyperlink"/>
            <w:rFonts w:cs="Times New Roman"/>
          </w:rPr>
          <w:t>https://www.fs.usda.gov/Internet/FSE_DOCUMENTS/stelprdb5294291.pdf</w:t>
        </w:r>
      </w:hyperlink>
      <w:r w:rsidRPr="00FF1B50">
        <w:t>.</w:t>
      </w:r>
    </w:p>
  </w:footnote>
  <w:footnote w:id="225">
    <w:p w14:paraId="09E689F7" w14:textId="54C51778"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_Ref211360521 \h  \* MERGEFORMAT </w:instrText>
      </w:r>
      <w:r>
        <w:fldChar w:fldCharType="separate"/>
      </w:r>
      <w:r>
        <w:t>184</w:t>
      </w:r>
      <w:r>
        <w:fldChar w:fldCharType="end"/>
      </w:r>
      <w:r>
        <w:t>-</w:t>
      </w:r>
      <w:r>
        <w:fldChar w:fldCharType="begin"/>
      </w:r>
      <w:r>
        <w:instrText xml:space="preserve"> NOTEREF _Ref211359907 \h  \* MERGEFORMAT </w:instrText>
      </w:r>
      <w:r>
        <w:fldChar w:fldCharType="separate"/>
      </w:r>
      <w:r>
        <w:t>185</w:t>
      </w:r>
      <w:r>
        <w:fldChar w:fldCharType="end"/>
      </w:r>
      <w:r>
        <w:t xml:space="preserve"> </w:t>
      </w:r>
      <w:r w:rsidRPr="00FF1B50">
        <w:t>and accompanying text.</w:t>
      </w:r>
    </w:p>
  </w:footnote>
  <w:footnote w:id="226">
    <w:p w14:paraId="6C477CF4" w14:textId="28224783"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also</w:t>
      </w:r>
      <w:r w:rsidRPr="00FF1B50">
        <w:t xml:space="preserve"> Bagley, </w:t>
      </w:r>
      <w:r w:rsidRPr="00FF1B50">
        <w:rPr>
          <w:i/>
          <w:iCs/>
        </w:rPr>
        <w:t>supra</w:t>
      </w:r>
      <w:r w:rsidRPr="00FF1B50">
        <w:t xml:space="preserve"> note </w:t>
      </w:r>
      <w:r>
        <w:rPr>
          <w:highlight w:val="cyan"/>
        </w:rPr>
        <w:fldChar w:fldCharType="begin"/>
      </w:r>
      <w:r>
        <w:instrText xml:space="preserve"> NOTEREF _Ref211360390 \h </w:instrText>
      </w:r>
      <w:r>
        <w:rPr>
          <w:highlight w:val="cyan"/>
        </w:rPr>
        <w:instrText xml:space="preserve"> \* MERGEFORMAT </w:instrText>
      </w:r>
      <w:r>
        <w:rPr>
          <w:highlight w:val="cyan"/>
        </w:rPr>
      </w:r>
      <w:r>
        <w:rPr>
          <w:highlight w:val="cyan"/>
        </w:rPr>
        <w:fldChar w:fldCharType="separate"/>
      </w:r>
      <w:r>
        <w:t>30</w:t>
      </w:r>
      <w:r>
        <w:rPr>
          <w:highlight w:val="cyan"/>
        </w:rPr>
        <w:fldChar w:fldCharType="end"/>
      </w:r>
      <w:r>
        <w:t>,</w:t>
      </w:r>
      <w:r w:rsidRPr="00FF1B50">
        <w:t xml:space="preserve"> at 302-07 (discussing such cases). As one of countless examples from my own experience, in 2015, the U.S. Fish &amp; Wildlife Service withdrew a proposal to list the bi-state sage grouse for protection under the federal Endangered Species Act. A group of conservation organizations (my clients) sued and won. On remand, the agency issued precisely the same decision. </w:t>
      </w:r>
      <w:r w:rsidRPr="00FF1B50">
        <w:rPr>
          <w:i/>
          <w:iCs/>
        </w:rPr>
        <w:t>See Desert Survivors v. United States Dep’t of the Interior</w:t>
      </w:r>
      <w:r w:rsidRPr="00FF1B50">
        <w:t>, No. 20-CV-06787-JSC, 2022 WL 1539530, at *2 (N.D. Cal. May 16, 2022).</w:t>
      </w:r>
    </w:p>
  </w:footnote>
  <w:footnote w:id="227">
    <w:p w14:paraId="0D918DA3" w14:textId="10F6ED5B"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_Ref211360554 \h  \* MERGEFORMAT </w:instrText>
      </w:r>
      <w:r>
        <w:fldChar w:fldCharType="separate"/>
      </w:r>
      <w:r>
        <w:t>35</w:t>
      </w:r>
      <w:r>
        <w:fldChar w:fldCharType="end"/>
      </w:r>
      <w:r>
        <w:t>-</w:t>
      </w:r>
      <w:r>
        <w:fldChar w:fldCharType="begin"/>
      </w:r>
      <w:r>
        <w:instrText xml:space="preserve"> NOTEREF _Ref211360562 \h  \* MERGEFORMAT </w:instrText>
      </w:r>
      <w:r>
        <w:fldChar w:fldCharType="separate"/>
      </w:r>
      <w:r>
        <w:t>38</w:t>
      </w:r>
      <w:r>
        <w:fldChar w:fldCharType="end"/>
      </w:r>
      <w:r>
        <w:t xml:space="preserve"> </w:t>
      </w:r>
      <w:r w:rsidRPr="00FF1B50">
        <w:t xml:space="preserve">and accompanying text (discussing the three types of APA remands). </w:t>
      </w:r>
    </w:p>
  </w:footnote>
  <w:footnote w:id="228">
    <w:p w14:paraId="23F3566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Sierra Club</w:t>
      </w:r>
      <w:r w:rsidRPr="00FF1B50">
        <w:t xml:space="preserve">, 716 F.3d at 656-57; </w:t>
      </w:r>
      <w:r w:rsidRPr="00FF1B50">
        <w:rPr>
          <w:i/>
          <w:iCs/>
        </w:rPr>
        <w:t>Dine Citizens Against Ruining Our Env’t</w:t>
      </w:r>
      <w:r w:rsidRPr="00FF1B50">
        <w:t xml:space="preserve">, 439 Fed. Appx. at 681-82; </w:t>
      </w:r>
      <w:r w:rsidRPr="00FF1B50">
        <w:rPr>
          <w:i/>
          <w:iCs/>
        </w:rPr>
        <w:t>see also, e.g.</w:t>
      </w:r>
      <w:r w:rsidRPr="00FF1B50">
        <w:t xml:space="preserve">, </w:t>
      </w:r>
      <w:r w:rsidRPr="00FF1B50">
        <w:rPr>
          <w:i/>
          <w:iCs/>
        </w:rPr>
        <w:t>S. Utah Wilderness Alliance</w:t>
      </w:r>
      <w:r w:rsidRPr="00FF1B50">
        <w:t>, 525 F.3d at 970 (remanding decision approving oil and gas leases on public lands not final as to proposed intervenor-defendant lessees because, among other things, review of an unfavorable decision could come later).</w:t>
      </w:r>
    </w:p>
  </w:footnote>
  <w:footnote w:id="229">
    <w:p w14:paraId="494632A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Rocky Mtn. Wild</w:t>
      </w:r>
      <w:r w:rsidRPr="00FF1B50">
        <w:t xml:space="preserve">, 98 F.4th at 1282-86 &amp; n.4; </w:t>
      </w:r>
      <w:r w:rsidRPr="00FF1B50">
        <w:rPr>
          <w:i/>
          <w:iCs/>
        </w:rPr>
        <w:t>Cherokee Nation</w:t>
      </w:r>
      <w:r w:rsidRPr="00FF1B50">
        <w:t>, 936 F.3d at 1152.</w:t>
      </w:r>
    </w:p>
  </w:footnote>
  <w:footnote w:id="230">
    <w:p w14:paraId="251272A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Crow Indian Tribe</w:t>
      </w:r>
      <w:r w:rsidRPr="00FF1B50">
        <w:t>, 965 F.3d at 676 (court had jurisdiction to consider intervenor-defendants’ appeal of remand on issue not covered by agency appeal because issue was “conclusively determined by the district court and cannot be taken into account in the [agency] proceedings on remand”).</w:t>
      </w:r>
    </w:p>
  </w:footnote>
  <w:footnote w:id="231">
    <w:p w14:paraId="4FC57B2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Skagit Cnty.</w:t>
      </w:r>
      <w:r w:rsidRPr="00FF1B50">
        <w:t>, 80 F.3d at 384.</w:t>
      </w:r>
    </w:p>
  </w:footnote>
  <w:footnote w:id="232">
    <w:p w14:paraId="6611BAF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(allowing appeal by plaintiff of order remanding agency’s decision where the plaintiff sought declaratory relief, vacatur, and monetary reimbursement, not a remand for more proceedings).</w:t>
      </w:r>
    </w:p>
  </w:footnote>
  <w:footnote w:id="233">
    <w:p w14:paraId="513E79F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Chang</w:t>
      </w:r>
      <w:r w:rsidRPr="00FF1B50">
        <w:t xml:space="preserve">, 327 F.3d at 925. However, the agency also appealed and supported the Ninth Circuit’s jurisdiction. </w:t>
      </w:r>
      <w:r w:rsidRPr="00FF1B50">
        <w:rPr>
          <w:i/>
          <w:iCs/>
        </w:rPr>
        <w:t>Id.</w:t>
      </w:r>
    </w:p>
  </w:footnote>
  <w:footnote w:id="234">
    <w:p w14:paraId="64DA93B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U.S. Bd. of Water Comm’rs</w:t>
      </w:r>
      <w:r w:rsidRPr="00FF1B50">
        <w:t>, 893 F.3d at 595.</w:t>
      </w:r>
    </w:p>
  </w:footnote>
  <w:footnote w:id="235">
    <w:p w14:paraId="30626F4F" w14:textId="77777777" w:rsidR="00092031" w:rsidRPr="00FF1B50" w:rsidRDefault="00092031" w:rsidP="00092031">
      <w:pPr>
        <w:pStyle w:val="FootnoteText"/>
        <w:rPr>
          <w:lang w:val="nb-NO"/>
        </w:rPr>
      </w:pPr>
      <w:r w:rsidRPr="00FF1B50">
        <w:rPr>
          <w:rStyle w:val="FootnoteReference"/>
          <w:rFonts w:cs="Times New Roman"/>
        </w:rPr>
        <w:footnoteRef/>
      </w:r>
      <w:r w:rsidRPr="00FF1B50">
        <w:rPr>
          <w:lang w:val="nb-NO"/>
        </w:rPr>
        <w:t xml:space="preserve"> </w:t>
      </w:r>
      <w:r w:rsidRPr="00FF1B50">
        <w:rPr>
          <w:i/>
          <w:iCs/>
          <w:lang w:val="nb-NO"/>
        </w:rPr>
        <w:t>Sierra Forest Legacy</w:t>
      </w:r>
      <w:r w:rsidRPr="00FF1B50">
        <w:rPr>
          <w:lang w:val="nb-NO"/>
        </w:rPr>
        <w:t>, 646 F.3d at 1175.</w:t>
      </w:r>
    </w:p>
  </w:footnote>
  <w:footnote w:id="236">
    <w:p w14:paraId="4B5505A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w:t>
      </w:r>
      <w:r w:rsidRPr="00FF1B50">
        <w:rPr>
          <w:i/>
          <w:iCs/>
        </w:rPr>
        <w:t>cf.</w:t>
      </w:r>
      <w:r w:rsidRPr="00FF1B50">
        <w:t xml:space="preserve"> </w:t>
      </w:r>
      <w:r w:rsidRPr="00FF1B50">
        <w:rPr>
          <w:i/>
          <w:iCs/>
        </w:rPr>
        <w:t xml:space="preserve">Bhd. of </w:t>
      </w:r>
      <w:proofErr w:type="spellStart"/>
      <w:r w:rsidRPr="00FF1B50">
        <w:rPr>
          <w:i/>
          <w:iCs/>
        </w:rPr>
        <w:t>Maint</w:t>
      </w:r>
      <w:proofErr w:type="spellEnd"/>
      <w:r w:rsidRPr="00FF1B50">
        <w:rPr>
          <w:i/>
          <w:iCs/>
        </w:rPr>
        <w:t>. of Way Emps.</w:t>
      </w:r>
      <w:r w:rsidRPr="00FF1B50">
        <w:t>, 864 F.2d at 287 (Third Circuit rejecting private defendant’s appeal of a remand even though “[w]e are not entirely comfortable with leaving in place without review a district-court order which on its face appears to be in stark violation of the principle of limited judicial review of arbitration orders”).</w:t>
      </w:r>
    </w:p>
  </w:footnote>
  <w:footnote w:id="237">
    <w:p w14:paraId="17C6133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In re Long-Distance Tele. Serv. Fed. Excise Tax Refund Litig.</w:t>
      </w:r>
      <w:r w:rsidRPr="00FF1B50">
        <w:t>, 751 F.3d at 633 (explaining that, because the IRS “has not taken any reviewable action in the two years since the district court’s remand order,” the issue on remand was effectively unreviewable, making the remand pointless).</w:t>
      </w:r>
    </w:p>
  </w:footnote>
  <w:footnote w:id="238">
    <w:p w14:paraId="24DACB2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Skagit Cnty.</w:t>
      </w:r>
      <w:r w:rsidRPr="00FF1B50">
        <w:t>, 80 F.3d at 384.</w:t>
      </w:r>
    </w:p>
  </w:footnote>
  <w:footnote w:id="239">
    <w:p w14:paraId="78B0E2F8"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Chang</w:t>
      </w:r>
      <w:r w:rsidRPr="00FF1B50">
        <w:t>, 327 F.3d at 925.</w:t>
      </w:r>
    </w:p>
  </w:footnote>
  <w:footnote w:id="240">
    <w:p w14:paraId="350046B2" w14:textId="77777777" w:rsidR="00092031" w:rsidRPr="00103F60" w:rsidRDefault="00092031" w:rsidP="00092031">
      <w:pPr>
        <w:pStyle w:val="FootnoteText"/>
      </w:pPr>
      <w:r w:rsidRPr="00FF1B50">
        <w:rPr>
          <w:rStyle w:val="FootnoteReference"/>
          <w:rFonts w:cs="Times New Roman"/>
        </w:rPr>
        <w:footnoteRef/>
      </w:r>
      <w:r w:rsidRPr="00103F60">
        <w:t xml:space="preserve"> </w:t>
      </w:r>
      <w:r w:rsidRPr="00103F60">
        <w:rPr>
          <w:i/>
          <w:iCs/>
        </w:rPr>
        <w:t>Sierra Forest Legacy</w:t>
      </w:r>
      <w:r w:rsidRPr="00103F60">
        <w:t>, 646 F.3d at 1175.</w:t>
      </w:r>
    </w:p>
  </w:footnote>
  <w:footnote w:id="241">
    <w:p w14:paraId="66A4E53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1176.</w:t>
      </w:r>
    </w:p>
  </w:footnote>
  <w:footnote w:id="242">
    <w:p w14:paraId="5EFA64E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i/>
          <w:iCs/>
        </w:rPr>
        <w:t>In re Long-Distance Tele. Serv. Fed. Excise Tax Refund Litig.</w:t>
      </w:r>
      <w:r w:rsidRPr="00FF1B50">
        <w:t>, 751 F.3d at 633 (citing IRS’s delay on remand, and concession that it was not planning to engage in future rulemaking, as “unusual circumstances” justifying appellate review).</w:t>
      </w:r>
    </w:p>
  </w:footnote>
  <w:footnote w:id="243">
    <w:p w14:paraId="46FE6177" w14:textId="4C9D9FF8"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w:t>
      </w:r>
      <w:r w:rsidRPr="00FF1B50">
        <w:rPr>
          <w:i/>
          <w:iCs/>
        </w:rPr>
        <w:t xml:space="preserve"> supra</w:t>
      </w:r>
      <w:r w:rsidRPr="00FF1B50">
        <w:t xml:space="preserve"> notes</w:t>
      </w:r>
      <w:r>
        <w:t xml:space="preserve"> </w:t>
      </w:r>
      <w:r>
        <w:fldChar w:fldCharType="begin"/>
      </w:r>
      <w:r>
        <w:instrText xml:space="preserve"> NOTEREF _Ref211360586 \h  \* MERGEFORMAT </w:instrText>
      </w:r>
      <w:r>
        <w:fldChar w:fldCharType="separate"/>
      </w:r>
      <w:r>
        <w:t>136</w:t>
      </w:r>
      <w:r>
        <w:fldChar w:fldCharType="end"/>
      </w:r>
      <w:r>
        <w:t>-</w:t>
      </w:r>
      <w:r>
        <w:fldChar w:fldCharType="begin"/>
      </w:r>
      <w:r>
        <w:instrText xml:space="preserve"> NOTEREF _Ref211360593 \h  \* MERGEFORMAT </w:instrText>
      </w:r>
      <w:r>
        <w:fldChar w:fldCharType="separate"/>
      </w:r>
      <w:r>
        <w:t>137</w:t>
      </w:r>
      <w:r>
        <w:fldChar w:fldCharType="end"/>
      </w:r>
      <w:r>
        <w:t xml:space="preserve"> </w:t>
      </w:r>
      <w:r w:rsidRPr="00FF1B50">
        <w:t>and accompanying text.</w:t>
      </w:r>
    </w:p>
  </w:footnote>
  <w:footnote w:id="244">
    <w:p w14:paraId="27EDE0C2" w14:textId="11290288"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_Ref211360612 \h  \* MERGEFORMAT </w:instrText>
      </w:r>
      <w:r>
        <w:fldChar w:fldCharType="separate"/>
      </w:r>
      <w:r>
        <w:t>219</w:t>
      </w:r>
      <w:r>
        <w:fldChar w:fldCharType="end"/>
      </w:r>
      <w:r>
        <w:t>-</w:t>
      </w:r>
      <w:r>
        <w:fldChar w:fldCharType="begin"/>
      </w:r>
      <w:r>
        <w:instrText xml:space="preserve"> NOTEREF _Ref211360621 \h  \* MERGEFORMAT </w:instrText>
      </w:r>
      <w:r>
        <w:fldChar w:fldCharType="separate"/>
      </w:r>
      <w:r>
        <w:t>223</w:t>
      </w:r>
      <w:r>
        <w:fldChar w:fldCharType="end"/>
      </w:r>
      <w:r>
        <w:t xml:space="preserve"> </w:t>
      </w:r>
      <w:r w:rsidRPr="00FF1B50">
        <w:t>and accompanying text.</w:t>
      </w:r>
    </w:p>
  </w:footnote>
  <w:footnote w:id="245">
    <w:p w14:paraId="6BD433B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Deposit Guaranty Nat’l Bank v. Roper</w:t>
      </w:r>
      <w:r w:rsidRPr="00FF1B50">
        <w:t>, 445 U.S. 326, 333-34 (1980) (“Ordinarily, only a party aggrieved by a judgment or order of a district court may exercise the statutory right to appeal therefrom. A party who receives all that he has sought generally is not aggrieved by the judgment affording the relief and cannot appeal from it. The rule is one of federal appellate practice, however, derived from the statutes granting appellate jurisdiction and the historic practices of the appellate courts; it does not have its source in the jurisdictional limitations of Art[</w:t>
      </w:r>
      <w:proofErr w:type="spellStart"/>
      <w:r w:rsidRPr="00FF1B50">
        <w:t>icle</w:t>
      </w:r>
      <w:proofErr w:type="spellEnd"/>
      <w:r w:rsidRPr="00FF1B50">
        <w:t>] III.” (Internal citations omitted.)).</w:t>
      </w:r>
    </w:p>
  </w:footnote>
  <w:footnote w:id="246">
    <w:p w14:paraId="46D1BB84" w14:textId="77777777" w:rsidR="00092031" w:rsidRPr="00FF1B50" w:rsidRDefault="00092031" w:rsidP="00092031">
      <w:pPr>
        <w:pStyle w:val="FootnoteText"/>
      </w:pPr>
      <w:r w:rsidRPr="00FF1B50">
        <w:rPr>
          <w:rStyle w:val="FootnoteReference"/>
          <w:rFonts w:cs="Times New Roman"/>
        </w:rPr>
        <w:footnoteRef/>
      </w:r>
      <w:r w:rsidRPr="00FF1B50">
        <w:t xml:space="preserve"> </w:t>
      </w:r>
      <w:proofErr w:type="spellStart"/>
      <w:r w:rsidRPr="00FF1B50">
        <w:rPr>
          <w:i/>
          <w:iCs/>
        </w:rPr>
        <w:t>Envtl</w:t>
      </w:r>
      <w:proofErr w:type="spellEnd"/>
      <w:r w:rsidRPr="00FF1B50">
        <w:rPr>
          <w:i/>
          <w:iCs/>
        </w:rPr>
        <w:t>. Prot. Info. Ctr. v. Pac. Lumber Co.</w:t>
      </w:r>
      <w:r w:rsidRPr="00FF1B50">
        <w:t>, 257 F.3d 1071, 1075 (9th Cir. 2001).</w:t>
      </w:r>
    </w:p>
  </w:footnote>
  <w:footnote w:id="247">
    <w:p w14:paraId="7713995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California v. Rooney</w:t>
      </w:r>
      <w:r w:rsidRPr="00FF1B50">
        <w:t>, 483 U.S. 307, 311 (1987)</w:t>
      </w:r>
      <w:r>
        <w:t>.</w:t>
      </w:r>
    </w:p>
  </w:footnote>
  <w:footnote w:id="248">
    <w:p w14:paraId="45EE3EA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Forney</w:t>
      </w:r>
      <w:r w:rsidRPr="00FF1B50">
        <w:t>, 524 U.S. at 267.</w:t>
      </w:r>
    </w:p>
  </w:footnote>
  <w:footnote w:id="249">
    <w:p w14:paraId="5FE742C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id</w:t>
      </w:r>
      <w:r w:rsidRPr="00FF1B50">
        <w:t xml:space="preserve">. at 267, 271 (allowing appeal by party granted a remand but denied the preferred relief of reversal); </w:t>
      </w:r>
      <w:r w:rsidRPr="00FF1B50">
        <w:rPr>
          <w:i/>
          <w:iCs/>
        </w:rPr>
        <w:t xml:space="preserve">Skagit </w:t>
      </w:r>
      <w:proofErr w:type="spellStart"/>
      <w:r w:rsidRPr="00FF1B50">
        <w:rPr>
          <w:i/>
          <w:iCs/>
        </w:rPr>
        <w:t>Cnty</w:t>
      </w:r>
      <w:proofErr w:type="spellEnd"/>
      <w:r w:rsidRPr="00FF1B50">
        <w:rPr>
          <w:i/>
          <w:iCs/>
        </w:rPr>
        <w:t>.</w:t>
      </w:r>
      <w:r w:rsidRPr="00FF1B50">
        <w:t xml:space="preserve">, 80 F.3d at 384 (allowing appeal by plaintiff of order remanding agency’s decision where the plaintiff sought declaratory relief, vacatur, and monetary reimbursement, not a remand for more proceedings). Obviously there are other nuances, such as when a </w:t>
      </w:r>
      <w:r w:rsidRPr="00FF1B50">
        <w:rPr>
          <w:rFonts w:eastAsia="Quattrocento"/>
        </w:rPr>
        <w:t xml:space="preserve">party denied interlocutory appellate review of a remand appeals from a favorable final judgment. </w:t>
      </w:r>
      <w:r w:rsidRPr="00FF1B50">
        <w:rPr>
          <w:i/>
          <w:iCs/>
        </w:rPr>
        <w:t>See, e.g.</w:t>
      </w:r>
      <w:r w:rsidRPr="00FF1B50">
        <w:t xml:space="preserve">, </w:t>
      </w:r>
      <w:r w:rsidRPr="00FF1B50">
        <w:rPr>
          <w:i/>
          <w:iCs/>
        </w:rPr>
        <w:t>Miami Tribe of Okla.</w:t>
      </w:r>
      <w:r w:rsidRPr="00FF1B50">
        <w:t>, 656 F.3d at 1140-41 (Board of Immigration Appeals could appeal otherwise unappealable remand following a final judgment).</w:t>
      </w:r>
    </w:p>
  </w:footnote>
  <w:footnote w:id="250">
    <w:p w14:paraId="45FA5EAE"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Nat. Res. Def. Council</w:t>
      </w:r>
      <w:r w:rsidRPr="00FF1B50">
        <w:t>, 457 F.3d at 906 (“Essentially [the agency appellants] want us to line-edit the district court's ruling. But they have no standing to challenge the district court’s legal rulings in the abstract; they must seek a reversal or a modification of the relief granted by the district court.”).</w:t>
      </w:r>
    </w:p>
  </w:footnote>
  <w:footnote w:id="251">
    <w:p w14:paraId="310F197F" w14:textId="77777777" w:rsidR="00092031" w:rsidRPr="00FF1B50" w:rsidRDefault="00092031" w:rsidP="00092031">
      <w:pPr>
        <w:pStyle w:val="FootnoteText"/>
      </w:pPr>
      <w:r w:rsidRPr="00FF1B50">
        <w:rPr>
          <w:rStyle w:val="FootnoteReference"/>
          <w:rFonts w:cs="Times New Roman"/>
        </w:rPr>
        <w:footnoteRef/>
      </w:r>
      <w:r w:rsidRPr="00FF1B50">
        <w:t xml:space="preserve"> </w:t>
      </w:r>
      <w:proofErr w:type="spellStart"/>
      <w:r w:rsidRPr="00FF1B50">
        <w:rPr>
          <w:rFonts w:eastAsia="Quattrocento"/>
          <w:i/>
          <w:iCs/>
        </w:rPr>
        <w:t>Camreta</w:t>
      </w:r>
      <w:proofErr w:type="spellEnd"/>
      <w:r w:rsidRPr="00FF1B50">
        <w:rPr>
          <w:rFonts w:eastAsia="Quattrocento"/>
        </w:rPr>
        <w:t xml:space="preserve">, 563 U.S. at 704; </w:t>
      </w:r>
      <w:r w:rsidRPr="00FF1B50">
        <w:rPr>
          <w:rFonts w:eastAsia="Quattrocento"/>
          <w:i/>
          <w:iCs/>
        </w:rPr>
        <w:t>see also Crow Indian Tribe</w:t>
      </w:r>
      <w:r w:rsidRPr="00FF1B50">
        <w:rPr>
          <w:rFonts w:eastAsia="Quattrocento"/>
        </w:rPr>
        <w:t xml:space="preserve">, 965 F.3d at 670 (distinguishing between appeals that “attempt to challenge only the reasoning behind a district ruling and not the relief granted”). </w:t>
      </w:r>
    </w:p>
  </w:footnote>
  <w:footnote w:id="252">
    <w:p w14:paraId="2B51E046" w14:textId="6D52DDB7" w:rsidR="00092031" w:rsidRPr="00FF1B50" w:rsidRDefault="00092031" w:rsidP="00092031">
      <w:pPr>
        <w:pStyle w:val="FootnoteText"/>
      </w:pPr>
      <w:r w:rsidRPr="00FF1B50">
        <w:rPr>
          <w:rStyle w:val="FootnoteReference"/>
          <w:rFonts w:cs="Times New Roman"/>
        </w:rPr>
        <w:footnoteRef/>
      </w:r>
      <w:r w:rsidRPr="00FF1B50">
        <w:t xml:space="preserve"> As the Ninth Circuit put it in </w:t>
      </w:r>
      <w:r w:rsidRPr="00FF1B50">
        <w:rPr>
          <w:i/>
          <w:iCs/>
        </w:rPr>
        <w:t>U.S. Board of Water Commissioners</w:t>
      </w:r>
      <w:r w:rsidRPr="00FF1B50">
        <w:t xml:space="preserve">, “remand orders are sufficiently ‘final’ under § 1291, where the relief sought by appellants cannot possibly be achieved through the district court’s directions.” 893 F.3d at 595. </w:t>
      </w:r>
      <w:r w:rsidRPr="00FF1B50">
        <w:rPr>
          <w:i/>
          <w:iCs/>
        </w:rPr>
        <w:t>Compare Cottonwood Env’t Law Ctr.</w:t>
      </w:r>
      <w:r w:rsidRPr="00FF1B50">
        <w:t xml:space="preserve">, 2022 WL 612673, at *1 (rejecting appeal by plaintiff of remand requiring further environmental review) </w:t>
      </w:r>
      <w:r w:rsidRPr="00FF1B50">
        <w:rPr>
          <w:i/>
          <w:iCs/>
        </w:rPr>
        <w:t>with</w:t>
      </w:r>
      <w:r w:rsidRPr="00FF1B50">
        <w:t xml:space="preserve"> </w:t>
      </w:r>
      <w:r w:rsidRPr="00FF1B50">
        <w:rPr>
          <w:i/>
          <w:iCs/>
        </w:rPr>
        <w:t>Neighbors Against Bison Slaughter</w:t>
      </w:r>
      <w:r w:rsidRPr="00FF1B50">
        <w:t xml:space="preserve">, 2022 WL 1315302, at *1 (allowing appeal by another plaintiff in same case of portion of remand denying request to impose a strict deadline for further environmental review to be completed). The Eighth Circuit implicitly recognized denial of relief as a basis for appealing a remand as far back as 1967, </w:t>
      </w:r>
      <w:r w:rsidRPr="00FF1B50">
        <w:rPr>
          <w:i/>
          <w:iCs/>
        </w:rPr>
        <w:t>see</w:t>
      </w:r>
      <w:r w:rsidRPr="00FF1B50">
        <w:t xml:space="preserve"> </w:t>
      </w:r>
      <w:r w:rsidRPr="00FF1B50">
        <w:rPr>
          <w:i/>
          <w:iCs/>
        </w:rPr>
        <w:t>Bohms</w:t>
      </w:r>
      <w:r w:rsidRPr="00FF1B50">
        <w:t xml:space="preserve">, 381 F.2d at 285, and the Supreme Court picked up on it in </w:t>
      </w:r>
      <w:r w:rsidRPr="00FF1B50">
        <w:rPr>
          <w:i/>
          <w:iCs/>
        </w:rPr>
        <w:t>Finkelstein</w:t>
      </w:r>
      <w:r w:rsidRPr="00FF1B50">
        <w:t xml:space="preserve">, 496 U.S. at 623 n.3. And of course the concern about meaningless remands seeps into multiple areas. </w:t>
      </w:r>
      <w:r w:rsidRPr="00FF1B50">
        <w:rPr>
          <w:i/>
          <w:iCs/>
        </w:rPr>
        <w:t xml:space="preserve">See </w:t>
      </w:r>
      <w:r w:rsidRPr="00FF1B50">
        <w:t xml:space="preserve">Walker, </w:t>
      </w:r>
      <w:r w:rsidRPr="00FF1B50">
        <w:rPr>
          <w:i/>
          <w:iCs/>
        </w:rPr>
        <w:t>supra</w:t>
      </w:r>
      <w:r w:rsidRPr="00FF1B50">
        <w:t xml:space="preserve"> note </w:t>
      </w:r>
      <w:r>
        <w:rPr>
          <w:highlight w:val="cyan"/>
        </w:rPr>
        <w:fldChar w:fldCharType="begin"/>
      </w:r>
      <w:r>
        <w:instrText xml:space="preserve"> NOTEREF _Ref211360642 \h </w:instrText>
      </w:r>
      <w:r>
        <w:rPr>
          <w:highlight w:val="cyan"/>
        </w:rPr>
        <w:instrText xml:space="preserve"> \* MERGEFORMAT </w:instrText>
      </w:r>
      <w:r>
        <w:rPr>
          <w:highlight w:val="cyan"/>
        </w:rPr>
      </w:r>
      <w:r>
        <w:rPr>
          <w:highlight w:val="cyan"/>
        </w:rPr>
        <w:fldChar w:fldCharType="separate"/>
      </w:r>
      <w:r>
        <w:t>31</w:t>
      </w:r>
      <w:r>
        <w:rPr>
          <w:highlight w:val="cyan"/>
        </w:rPr>
        <w:fldChar w:fldCharType="end"/>
      </w:r>
      <w:r w:rsidRPr="00FF1B50">
        <w:t>,</w:t>
      </w:r>
      <w:r>
        <w:t xml:space="preserve"> </w:t>
      </w:r>
      <w:r w:rsidRPr="00FF1B50">
        <w:t xml:space="preserve">101 </w:t>
      </w:r>
      <w:r w:rsidRPr="00FF1B50">
        <w:rPr>
          <w:smallCaps/>
        </w:rPr>
        <w:t>Iowa L. Rev. Online</w:t>
      </w:r>
      <w:r w:rsidRPr="00FF1B50">
        <w:t xml:space="preserve"> at 87-88 (discussing cases in which courts, especially the Ninth Circuit, refuse to follow the ordinary</w:t>
      </w:r>
      <w:r>
        <w:t>-</w:t>
      </w:r>
      <w:r w:rsidRPr="00FF1B50">
        <w:t>remand rule).</w:t>
      </w:r>
    </w:p>
  </w:footnote>
  <w:footnote w:id="253">
    <w:p w14:paraId="7F15ADA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Jacob E. Gersen &amp; Anne Joseph O’Connell, </w:t>
      </w:r>
      <w:r w:rsidRPr="00FF1B50">
        <w:rPr>
          <w:i/>
          <w:iCs/>
        </w:rPr>
        <w:t>Deadlines in Administrative Law</w:t>
      </w:r>
      <w:r w:rsidRPr="00FF1B50">
        <w:t xml:space="preserve">, 156 </w:t>
      </w:r>
      <w:r w:rsidRPr="00FF1B50">
        <w:rPr>
          <w:smallCaps/>
        </w:rPr>
        <w:t>U. Pa. L. Rev</w:t>
      </w:r>
      <w:r w:rsidRPr="00FF1B50">
        <w:t>. 923, 927 (2008) (“[D]</w:t>
      </w:r>
      <w:proofErr w:type="spellStart"/>
      <w:r w:rsidRPr="00FF1B50">
        <w:t>elay</w:t>
      </w:r>
      <w:proofErr w:type="spellEnd"/>
      <w:r w:rsidRPr="00FF1B50">
        <w:t xml:space="preserve"> is an increasingly prominent fixture in administrative law.”).</w:t>
      </w:r>
    </w:p>
  </w:footnote>
  <w:footnote w:id="254">
    <w:p w14:paraId="7DB4B44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rPr>
        <w:t>53 F.4th 665 (D.C. Cir. 2022).</w:t>
      </w:r>
    </w:p>
  </w:footnote>
  <w:footnote w:id="255">
    <w:p w14:paraId="1875710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Id</w:t>
      </w:r>
      <w:r w:rsidRPr="00FF1B50">
        <w:rPr>
          <w:rFonts w:eastAsia="Quattrocento"/>
        </w:rPr>
        <w:t>. at 669.</w:t>
      </w:r>
    </w:p>
  </w:footnote>
  <w:footnote w:id="256">
    <w:p w14:paraId="6C7E9E11" w14:textId="77777777" w:rsidR="00092031" w:rsidRPr="00FF1B50" w:rsidRDefault="00092031" w:rsidP="00092031">
      <w:pPr>
        <w:pStyle w:val="FootnoteText"/>
      </w:pPr>
      <w:r w:rsidRPr="00FF1B50">
        <w:rPr>
          <w:rStyle w:val="FootnoteReference"/>
          <w:rFonts w:cs="Times New Roman"/>
        </w:rPr>
        <w:footnoteRef/>
      </w:r>
      <w:r w:rsidRPr="00FF1B50">
        <w:t xml:space="preserve"> In a similar case, the D.C. Circuit cited an agency’s two-year delay in complying with a remand as a basis for allowing an appeal by plaintiffs who would otherwise be deprived of review. </w:t>
      </w:r>
      <w:r w:rsidRPr="00FF1B50">
        <w:rPr>
          <w:i/>
          <w:iCs/>
        </w:rPr>
        <w:t>See In re Long-Distance Tele. Serv. Fed. Excise Tax Refund Litig.</w:t>
      </w:r>
      <w:r w:rsidRPr="00FF1B50">
        <w:t>, 751 F.3d at 633.</w:t>
      </w:r>
    </w:p>
  </w:footnote>
  <w:footnote w:id="257">
    <w:p w14:paraId="5082E1AB" w14:textId="1F10AC2B" w:rsidR="00092031" w:rsidRPr="00FF1B50" w:rsidRDefault="00092031" w:rsidP="00092031">
      <w:pPr>
        <w:pStyle w:val="FootnoteText"/>
        <w:rPr>
          <w:rFonts w:eastAsia="Quattrocento"/>
        </w:rPr>
      </w:pPr>
      <w:r w:rsidRPr="00FF1B50">
        <w:rPr>
          <w:rStyle w:val="FootnoteReference"/>
          <w:rFonts w:cs="Times New Roman"/>
        </w:rPr>
        <w:footnoteRef/>
      </w:r>
      <w:r w:rsidRPr="00FF1B50">
        <w:t xml:space="preserve"> </w:t>
      </w:r>
      <w:r w:rsidRPr="00FF1B50">
        <w:rPr>
          <w:i/>
          <w:iCs/>
        </w:rPr>
        <w:t xml:space="preserve">See </w:t>
      </w:r>
      <w:r>
        <w:rPr>
          <w:rFonts w:eastAsia="Quattrocento"/>
          <w:i/>
          <w:iCs/>
        </w:rPr>
        <w:t>id</w:t>
      </w:r>
      <w:r>
        <w:rPr>
          <w:rFonts w:eastAsia="Quattrocento"/>
        </w:rPr>
        <w:t>. at</w:t>
      </w:r>
      <w:r w:rsidRPr="00FF1B50">
        <w:rPr>
          <w:rFonts w:eastAsia="Quattrocento"/>
        </w:rPr>
        <w:t xml:space="preserve"> 633 (IRS’s failure to act on the district court’s remand, issued two years earlier, might effectively preclude review); </w:t>
      </w:r>
      <w:r w:rsidRPr="00FF1B50">
        <w:rPr>
          <w:rFonts w:eastAsia="Quattrocento"/>
          <w:i/>
          <w:iCs/>
        </w:rPr>
        <w:t>see also</w:t>
      </w:r>
      <w:r w:rsidRPr="00FF1B50">
        <w:rPr>
          <w:rFonts w:eastAsia="Quattrocento"/>
        </w:rPr>
        <w:t xml:space="preserve"> Glicksman &amp; Hammond, </w:t>
      </w:r>
      <w:r w:rsidRPr="00FF1B50">
        <w:rPr>
          <w:i/>
          <w:iCs/>
        </w:rPr>
        <w:t>supra</w:t>
      </w:r>
      <w:r w:rsidRPr="00FF1B50">
        <w:t xml:space="preserve"> note </w:t>
      </w:r>
      <w:r>
        <w:rPr>
          <w:highlight w:val="cyan"/>
        </w:rPr>
        <w:fldChar w:fldCharType="begin"/>
      </w:r>
      <w:r>
        <w:instrText xml:space="preserve"> NOTEREF _Ref211360642 \h </w:instrText>
      </w:r>
      <w:r>
        <w:rPr>
          <w:highlight w:val="cyan"/>
        </w:rPr>
        <w:instrText xml:space="preserve"> \* MERGEFORMAT </w:instrText>
      </w:r>
      <w:r>
        <w:rPr>
          <w:highlight w:val="cyan"/>
        </w:rPr>
      </w:r>
      <w:r>
        <w:rPr>
          <w:highlight w:val="cyan"/>
        </w:rPr>
        <w:fldChar w:fldCharType="separate"/>
      </w:r>
      <w:r>
        <w:t>31</w:t>
      </w:r>
      <w:r>
        <w:rPr>
          <w:highlight w:val="cyan"/>
        </w:rPr>
        <w:fldChar w:fldCharType="end"/>
      </w:r>
      <w:r w:rsidRPr="00FF1B50">
        <w:rPr>
          <w:rFonts w:eastAsia="Quattrocento"/>
        </w:rPr>
        <w:t>, at 485-86, 494-95 (discussing agency delays on remand).</w:t>
      </w:r>
    </w:p>
  </w:footnote>
  <w:footnote w:id="258">
    <w:p w14:paraId="481841C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Ctr. for Biological Diversity</w:t>
      </w:r>
      <w:r w:rsidRPr="00FF1B50">
        <w:rPr>
          <w:rFonts w:eastAsia="Quattrocento"/>
        </w:rPr>
        <w:t>, 69 F.4th at 598 (Friedland and Bennett, JJ., concurring).</w:t>
      </w:r>
    </w:p>
  </w:footnote>
  <w:footnote w:id="259">
    <w:p w14:paraId="659F3A6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Id</w:t>
      </w:r>
      <w:r w:rsidRPr="00FF1B50">
        <w:rPr>
          <w:rFonts w:eastAsia="Quattrocento"/>
        </w:rPr>
        <w:t>. (Friedland and Bennett, JJ., concurring).</w:t>
      </w:r>
    </w:p>
  </w:footnote>
  <w:footnote w:id="260">
    <w:p w14:paraId="2890E248"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Id</w:t>
      </w:r>
      <w:r w:rsidRPr="00FF1B50">
        <w:rPr>
          <w:rFonts w:eastAsia="Quattrocento"/>
        </w:rPr>
        <w:t>. (Friedland and Bennett, JJ., concurring)</w:t>
      </w:r>
      <w:r w:rsidRPr="00FF1B50">
        <w:t xml:space="preserve"> (quoting </w:t>
      </w:r>
      <w:r w:rsidRPr="00FF1B50">
        <w:rPr>
          <w:i/>
          <w:iCs/>
          <w:lang w:val="en-CA"/>
        </w:rPr>
        <w:t>In re Clean Water Act Rulemaking</w:t>
      </w:r>
      <w:r w:rsidRPr="00FF1B50">
        <w:rPr>
          <w:lang w:val="en-CA"/>
        </w:rPr>
        <w:t>, 60 F.4th at 593).</w:t>
      </w:r>
    </w:p>
  </w:footnote>
  <w:footnote w:id="261">
    <w:p w14:paraId="59459B9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Ctr. for Biological Diversity</w:t>
      </w:r>
      <w:r w:rsidRPr="00FF1B50">
        <w:rPr>
          <w:rFonts w:eastAsia="Quattrocento"/>
        </w:rPr>
        <w:t>, 69 F.4th at 598 (Friedland and Bennett, JJ., concurring).</w:t>
      </w:r>
    </w:p>
  </w:footnote>
  <w:footnote w:id="262">
    <w:p w14:paraId="5E6F4CAB"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Id</w:t>
      </w:r>
      <w:r w:rsidRPr="00FF1B50">
        <w:rPr>
          <w:rFonts w:eastAsia="Quattrocento"/>
        </w:rPr>
        <w:t>.</w:t>
      </w:r>
      <w:r w:rsidRPr="00FF1B50">
        <w:rPr>
          <w:rFonts w:eastAsia="Quattrocento"/>
          <w:i/>
          <w:iCs/>
        </w:rPr>
        <w:t xml:space="preserve"> </w:t>
      </w:r>
      <w:r w:rsidRPr="00FF1B50">
        <w:rPr>
          <w:rFonts w:eastAsia="Quattrocento"/>
        </w:rPr>
        <w:t>at 598, 601 (Friedland and Bennett, JJ., concurring). Alternatively they suggest that remands with vacatur are the functional equivalent of an injunction, appealable under 28 U.S.C. § 1292</w:t>
      </w:r>
      <w:r>
        <w:rPr>
          <w:rFonts w:eastAsia="Quattrocento"/>
        </w:rPr>
        <w:t>(a)</w:t>
      </w:r>
      <w:r w:rsidRPr="00FF1B50">
        <w:rPr>
          <w:rFonts w:eastAsia="Quattrocento"/>
        </w:rPr>
        <w:t xml:space="preserve">, or that they should be appealable “under the traditional collateral order doctrine, without the modifications to that test reflected in” the Ninth Circuit’s administrative-remand rule. </w:t>
      </w:r>
      <w:r w:rsidRPr="00FF1B50">
        <w:rPr>
          <w:rFonts w:eastAsia="Quattrocento"/>
          <w:i/>
          <w:iCs/>
        </w:rPr>
        <w:t>Id.</w:t>
      </w:r>
      <w:r w:rsidRPr="00FF1B50">
        <w:rPr>
          <w:rFonts w:eastAsia="Quattrocento"/>
        </w:rPr>
        <w:t xml:space="preserve"> at 698 n.5; </w:t>
      </w:r>
      <w:r w:rsidRPr="00FF1B50">
        <w:rPr>
          <w:rFonts w:eastAsia="Quattrocento"/>
          <w:i/>
          <w:iCs/>
        </w:rPr>
        <w:t xml:space="preserve">see also Mont. Wildlife </w:t>
      </w:r>
      <w:proofErr w:type="spellStart"/>
      <w:r w:rsidRPr="00FF1B50">
        <w:rPr>
          <w:rFonts w:eastAsia="Quattrocento"/>
          <w:i/>
          <w:iCs/>
        </w:rPr>
        <w:t>Fed’n</w:t>
      </w:r>
      <w:proofErr w:type="spellEnd"/>
      <w:r w:rsidRPr="00FF1B50">
        <w:rPr>
          <w:rFonts w:eastAsia="Quattrocento"/>
          <w:i/>
          <w:iCs/>
        </w:rPr>
        <w:t> v. Haaland</w:t>
      </w:r>
      <w:r w:rsidRPr="00FF1B50">
        <w:rPr>
          <w:rFonts w:eastAsia="Quattrocento"/>
        </w:rPr>
        <w:t xml:space="preserve">, 127 F.4th 1, 27-30 (9th Cir. 2025) (discussing appealability of remands that are and are not injunctive in nature). As to the latter, that approach would not work in circuits in which the administrative-remand rule and collateral-order doctrine are co-extensive (e.g., the Third and Fourth Circuits). </w:t>
      </w:r>
    </w:p>
  </w:footnote>
  <w:footnote w:id="263">
    <w:p w14:paraId="6EDD2146" w14:textId="53B7DE29"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_Ref211360702 \h  \* MERGEFORMAT </w:instrText>
      </w:r>
      <w:r>
        <w:fldChar w:fldCharType="separate"/>
      </w:r>
      <w:r>
        <w:t>211</w:t>
      </w:r>
      <w:r>
        <w:fldChar w:fldCharType="end"/>
      </w:r>
      <w:r>
        <w:t>-</w:t>
      </w:r>
      <w:r>
        <w:fldChar w:fldCharType="begin"/>
      </w:r>
      <w:r>
        <w:instrText xml:space="preserve"> NOTEREF _Ref211360710 \h  \* MERGEFORMAT </w:instrText>
      </w:r>
      <w:r>
        <w:fldChar w:fldCharType="separate"/>
      </w:r>
      <w:r>
        <w:t>214</w:t>
      </w:r>
      <w:r>
        <w:fldChar w:fldCharType="end"/>
      </w:r>
      <w:r>
        <w:t xml:space="preserve"> </w:t>
      </w:r>
      <w:r w:rsidRPr="00FF1B50">
        <w:t>and accompanying text.</w:t>
      </w:r>
    </w:p>
  </w:footnote>
  <w:footnote w:id="264">
    <w:p w14:paraId="34525C83"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646 F.3d 1161.</w:t>
      </w:r>
    </w:p>
  </w:footnote>
  <w:footnote w:id="265">
    <w:p w14:paraId="56B3DE96"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1175.</w:t>
      </w:r>
    </w:p>
  </w:footnote>
  <w:footnote w:id="266">
    <w:p w14:paraId="4D6F07E5" w14:textId="77777777" w:rsidR="00092031" w:rsidRPr="00FF1B50" w:rsidRDefault="00092031" w:rsidP="00092031">
      <w:pPr>
        <w:pStyle w:val="FootnoteText"/>
        <w:rPr>
          <w:lang w:val="da-DK"/>
        </w:rPr>
      </w:pPr>
      <w:r w:rsidRPr="00FF1B50">
        <w:rPr>
          <w:rStyle w:val="FootnoteReference"/>
          <w:rFonts w:cs="Times New Roman"/>
        </w:rPr>
        <w:footnoteRef/>
      </w:r>
      <w:r w:rsidRPr="00FF1B50">
        <w:rPr>
          <w:lang w:val="da-DK"/>
        </w:rPr>
        <w:t xml:space="preserve"> </w:t>
      </w:r>
      <w:r w:rsidRPr="00FF1B50">
        <w:rPr>
          <w:i/>
          <w:iCs/>
          <w:lang w:val="da-DK"/>
        </w:rPr>
        <w:t>Id</w:t>
      </w:r>
      <w:r w:rsidRPr="00FF1B50">
        <w:rPr>
          <w:lang w:val="da-DK"/>
        </w:rPr>
        <w:t>. at 1176.</w:t>
      </w:r>
    </w:p>
  </w:footnote>
  <w:footnote w:id="267">
    <w:p w14:paraId="378EA92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at 1176 (quoting </w:t>
      </w:r>
      <w:r w:rsidRPr="00FF1B50">
        <w:rPr>
          <w:i/>
          <w:iCs/>
        </w:rPr>
        <w:t>Skagit Cnty.</w:t>
      </w:r>
      <w:r w:rsidRPr="00FF1B50">
        <w:t>, 60 F.3d at 384).</w:t>
      </w:r>
    </w:p>
  </w:footnote>
  <w:footnote w:id="268">
    <w:p w14:paraId="76FBB8D2"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lang w:val="en-CA"/>
        </w:rPr>
        <w:t>I will admit there are differences between</w:t>
      </w:r>
      <w:r>
        <w:rPr>
          <w:lang w:val="en-CA"/>
        </w:rPr>
        <w:t xml:space="preserve"> the two cases. </w:t>
      </w:r>
      <w:r w:rsidRPr="00FF1B50">
        <w:t xml:space="preserve">Unlike in </w:t>
      </w:r>
      <w:r w:rsidRPr="00FF1B50">
        <w:rPr>
          <w:i/>
          <w:iCs/>
        </w:rPr>
        <w:t>Friends of Hope Valley</w:t>
      </w:r>
      <w:r w:rsidRPr="00FF1B50">
        <w:t xml:space="preserve">, in </w:t>
      </w:r>
      <w:r w:rsidRPr="00FF1B50">
        <w:rPr>
          <w:i/>
          <w:iCs/>
        </w:rPr>
        <w:t>Sierra Forest Legacy</w:t>
      </w:r>
      <w:r w:rsidRPr="00FF1B50">
        <w:t xml:space="preserve"> the challenged decision was not vacated (but the Forest Service agreed to stay the decision pending appeal), and the Forest Service had already completed much of the remand process by the time the Ninth Circuit issued its decision. 646 F.3d at 1175-76. These facts increased the likelihood of a “meaningless remand” in </w:t>
      </w:r>
      <w:r w:rsidRPr="00FF1B50">
        <w:rPr>
          <w:i/>
          <w:iCs/>
        </w:rPr>
        <w:t>Sierra Forest Legacy</w:t>
      </w:r>
      <w:r>
        <w:t xml:space="preserve">. Still, </w:t>
      </w:r>
      <w:r w:rsidRPr="00FF1B50">
        <w:t xml:space="preserve">that possibility was high in </w:t>
      </w:r>
      <w:r w:rsidRPr="00FF1B50">
        <w:rPr>
          <w:i/>
          <w:iCs/>
        </w:rPr>
        <w:t>Friends of Hope Valley</w:t>
      </w:r>
      <w:r w:rsidRPr="00FF1B50">
        <w:t xml:space="preserve"> when the Ninth Circuit heard argument and issued its decision. </w:t>
      </w:r>
    </w:p>
  </w:footnote>
  <w:footnote w:id="269">
    <w:p w14:paraId="31EE3BF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lang w:val="en-CA"/>
        </w:rPr>
        <w:t>Bitterroot Ridge Runners Snowmobile Club</w:t>
      </w:r>
      <w:r w:rsidRPr="00FF1B50">
        <w:rPr>
          <w:lang w:val="en-CA"/>
        </w:rPr>
        <w:t>, 833 Fed. Appx. at 90.</w:t>
      </w:r>
    </w:p>
  </w:footnote>
  <w:footnote w:id="270">
    <w:p w14:paraId="1B7F26F5" w14:textId="77777777" w:rsidR="00092031" w:rsidRPr="00FF1B50" w:rsidRDefault="00092031" w:rsidP="00092031">
      <w:pPr>
        <w:pStyle w:val="FootnoteText"/>
      </w:pPr>
      <w:r w:rsidRPr="00FF1B50">
        <w:rPr>
          <w:rStyle w:val="FootnoteReference"/>
          <w:rFonts w:cs="Times New Roman"/>
        </w:rPr>
        <w:footnoteRef/>
      </w:r>
      <w:r w:rsidRPr="00FF1B50">
        <w:t xml:space="preserve"> Judges Friedland and Bennett explained in </w:t>
      </w:r>
      <w:r w:rsidRPr="00FF1B50">
        <w:rPr>
          <w:i/>
          <w:iCs/>
        </w:rPr>
        <w:t>Center for Biological Diversity</w:t>
      </w:r>
      <w:r w:rsidRPr="00FF1B50">
        <w:t xml:space="preserve"> that they did “not think this particular case is a good vehicle for reconsidering [the Ninth Circuit’s administrative-remand rule] </w:t>
      </w:r>
      <w:proofErr w:type="spellStart"/>
      <w:r w:rsidRPr="00FF1B50">
        <w:t>en</w:t>
      </w:r>
      <w:proofErr w:type="spellEnd"/>
      <w:r w:rsidRPr="00FF1B50">
        <w:t xml:space="preserve"> banc.” 69 F.4th at 597 n.2 (</w:t>
      </w:r>
      <w:r w:rsidRPr="00FF1B50">
        <w:rPr>
          <w:rFonts w:eastAsia="Quattrocento"/>
        </w:rPr>
        <w:t>Friedland and Bennett, JJ., concurring</w:t>
      </w:r>
      <w:r w:rsidRPr="00FF1B50">
        <w:t xml:space="preserve">); </w:t>
      </w:r>
      <w:r w:rsidRPr="00FF1B50">
        <w:rPr>
          <w:i/>
          <w:iCs/>
        </w:rPr>
        <w:t>see also</w:t>
      </w:r>
      <w:r w:rsidRPr="00FF1B50">
        <w:t xml:space="preserve"> Judge David R. Thompson, </w:t>
      </w:r>
      <w:r w:rsidRPr="00FF1B50">
        <w:rPr>
          <w:i/>
          <w:iCs/>
        </w:rPr>
        <w:t>The Ninth Circuit Court of Appeals Evaluation Committee</w:t>
      </w:r>
      <w:r w:rsidRPr="00FF1B50">
        <w:t>, 34 U.C. Davis L. Rev. 365, 377 (2000) (“Moreover, to the extent any inconsistent decisions may occur, the court is dealing with them effectively through its internal structures.”).</w:t>
      </w:r>
    </w:p>
  </w:footnote>
  <w:footnote w:id="271">
    <w:p w14:paraId="78064FA1" w14:textId="10B2A2B9"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_Ref211359924 \h  \* MERGEFORMAT </w:instrText>
      </w:r>
      <w:r>
        <w:fldChar w:fldCharType="separate"/>
      </w:r>
      <w:r>
        <w:t>186</w:t>
      </w:r>
      <w:r>
        <w:fldChar w:fldCharType="end"/>
      </w:r>
      <w:r>
        <w:t>-</w:t>
      </w:r>
      <w:r>
        <w:fldChar w:fldCharType="begin"/>
      </w:r>
      <w:r>
        <w:instrText xml:space="preserve"> NOTEREF _Ref211359085 \h  \* MERGEFORMAT </w:instrText>
      </w:r>
      <w:r>
        <w:fldChar w:fldCharType="separate"/>
      </w:r>
      <w:r>
        <w:t>192</w:t>
      </w:r>
      <w:r>
        <w:fldChar w:fldCharType="end"/>
      </w:r>
      <w:r>
        <w:t xml:space="preserve">, </w:t>
      </w:r>
      <w:r>
        <w:fldChar w:fldCharType="begin"/>
      </w:r>
      <w:r>
        <w:instrText xml:space="preserve"> NOTEREF _Ref211360755 \h  \* MERGEFORMAT </w:instrText>
      </w:r>
      <w:r>
        <w:fldChar w:fldCharType="separate"/>
      </w:r>
      <w:r>
        <w:t>230</w:t>
      </w:r>
      <w:r>
        <w:fldChar w:fldCharType="end"/>
      </w:r>
      <w:r>
        <w:t>-</w:t>
      </w:r>
      <w:r>
        <w:fldChar w:fldCharType="begin"/>
      </w:r>
      <w:r>
        <w:instrText xml:space="preserve"> NOTEREF _Ref211360763 \h  \* MERGEFORMAT </w:instrText>
      </w:r>
      <w:r>
        <w:fldChar w:fldCharType="separate"/>
      </w:r>
      <w:r>
        <w:t>242</w:t>
      </w:r>
      <w:r>
        <w:fldChar w:fldCharType="end"/>
      </w:r>
      <w:r>
        <w:t xml:space="preserve"> </w:t>
      </w:r>
      <w:r w:rsidRPr="00FF1B50">
        <w:t>and accompanying text.</w:t>
      </w:r>
    </w:p>
  </w:footnote>
  <w:footnote w:id="272">
    <w:p w14:paraId="2529D06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Andrew Mergen, “Sidebar: The Rule—And Agency Risk Management,” </w:t>
      </w:r>
      <w:r w:rsidRPr="00FF1B50">
        <w:rPr>
          <w:i/>
          <w:iCs/>
        </w:rPr>
        <w:t>Environmental Forum</w:t>
      </w:r>
      <w:r w:rsidRPr="00FF1B50">
        <w:t>, 45 (Sept./Oct. 2025) (discussing value of administrative-agency rulemaking from federal government’s perspective).</w:t>
      </w:r>
    </w:p>
  </w:footnote>
  <w:footnote w:id="273">
    <w:p w14:paraId="502C84BD"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Part I.D.4 especially.</w:t>
      </w:r>
    </w:p>
  </w:footnote>
  <w:footnote w:id="274">
    <w:p w14:paraId="56ED1C8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Loper Bright Enterprises v. Raimondo</w:t>
      </w:r>
      <w:r w:rsidRPr="00FF1B50">
        <w:t xml:space="preserve">, 603 U.S. 412-13 (2024) (overruling judicial deference under </w:t>
      </w:r>
      <w:r w:rsidRPr="00FF1B50">
        <w:rPr>
          <w:i/>
          <w:iCs/>
        </w:rPr>
        <w:t>Chevron U.S.A., Inc. v. Nat. Res. Def. Council, Inc.</w:t>
      </w:r>
      <w:r w:rsidRPr="00FF1B50">
        <w:t>, 467 U.S. 837 (1984), to an agency’s interpretation of an ambiguous statute).</w:t>
      </w:r>
      <w:r>
        <w:t xml:space="preserve"> One decision is a narrow counterpoint to </w:t>
      </w:r>
      <w:r w:rsidRPr="00330B86">
        <w:rPr>
          <w:i/>
          <w:iCs/>
        </w:rPr>
        <w:t>Loper Bright</w:t>
      </w:r>
      <w:r>
        <w:t xml:space="preserve">: </w:t>
      </w:r>
      <w:r w:rsidRPr="00330B86">
        <w:rPr>
          <w:i/>
          <w:iCs/>
        </w:rPr>
        <w:t>Seven County Infrastructure Coalition v. Eagle County, Colo.</w:t>
      </w:r>
      <w:r>
        <w:t>, 605 U.S. -- , 145 S. Ct. 1497, 1510 (2025), which emphasized the “</w:t>
      </w:r>
      <w:r w:rsidRPr="00330B86">
        <w:t>substantial judicial deference required in</w:t>
      </w:r>
      <w:r>
        <w:t>” cases brought under the National Environmental Policy Act.</w:t>
      </w:r>
    </w:p>
  </w:footnote>
  <w:footnote w:id="275">
    <w:p w14:paraId="616C4706"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Kisor v. Wilkie</w:t>
      </w:r>
      <w:r w:rsidRPr="00FF1B50">
        <w:t>, 588 U.S. 558, 573-80 (2019) (limiting where there is judicial deference to an agency’s regulation by enumerating requirements for such deference).</w:t>
      </w:r>
    </w:p>
  </w:footnote>
  <w:footnote w:id="276">
    <w:p w14:paraId="11EDA52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Securities &amp; Exchange Comm’n v. </w:t>
      </w:r>
      <w:proofErr w:type="spellStart"/>
      <w:r w:rsidRPr="00FF1B50">
        <w:rPr>
          <w:i/>
          <w:iCs/>
        </w:rPr>
        <w:t>Jarkesy</w:t>
      </w:r>
      <w:proofErr w:type="spellEnd"/>
      <w:r w:rsidRPr="00FF1B50">
        <w:t>, 603 U.S. 109, 137-40 (2024) (holding that the SEC may not rely on administrative law judges to enforce “legal” claims, which must instead be brought in court).</w:t>
      </w:r>
    </w:p>
  </w:footnote>
  <w:footnote w:id="277">
    <w:p w14:paraId="64E6435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Biden v. Nebraska</w:t>
      </w:r>
      <w:r w:rsidRPr="00FF1B50">
        <w:t xml:space="preserve">, 600 U.S. 505-06 (2023) (voiding Secretary of Education’s student-loan-cancellation program under major-questions doctrine); </w:t>
      </w:r>
      <w:r w:rsidRPr="00FF1B50">
        <w:rPr>
          <w:i/>
          <w:iCs/>
        </w:rPr>
        <w:t>W. Va. v. Env’t Prot. Agency</w:t>
      </w:r>
      <w:r w:rsidRPr="00FF1B50">
        <w:t xml:space="preserve">, 597 U.S. 697 (2022) (voiding EPA’s Clean Power Plan); </w:t>
      </w:r>
      <w:r w:rsidRPr="00FF1B50">
        <w:rPr>
          <w:i/>
          <w:iCs/>
        </w:rPr>
        <w:t xml:space="preserve">Alabama </w:t>
      </w:r>
      <w:proofErr w:type="spellStart"/>
      <w:r w:rsidRPr="00FF1B50">
        <w:rPr>
          <w:i/>
          <w:iCs/>
        </w:rPr>
        <w:t>Ass’n</w:t>
      </w:r>
      <w:proofErr w:type="spellEnd"/>
      <w:r w:rsidRPr="00FF1B50">
        <w:rPr>
          <w:i/>
          <w:iCs/>
        </w:rPr>
        <w:t xml:space="preserve"> of Realtors v. Dep’t of Health &amp; Human Servs.</w:t>
      </w:r>
      <w:r w:rsidRPr="00FF1B50">
        <w:t>, 594 U.S. 758, 764-65 (2021) (per curiam) (upholding injunction against Centers for Disease Control and Prevention’s nationwide eviction moratorium during COVID-19 pandemic).</w:t>
      </w:r>
    </w:p>
  </w:footnote>
  <w:footnote w:id="278">
    <w:p w14:paraId="70B2C0A3"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Corner Post, Inc. v. Bd. of Governors of the Fed. Reserve Sys.</w:t>
      </w:r>
      <w:r w:rsidRPr="00FF1B50">
        <w:t>, 603 U.S. 799, 809 (2024) (holding that the default six-year statute of limitations in 28 U.S.C. § 2401(a) does not begin to run in an APA suit until the plaintiff is injured by the final agency action).</w:t>
      </w:r>
    </w:p>
  </w:footnote>
  <w:footnote w:id="279">
    <w:p w14:paraId="14953177"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Deborah A. Sivas, Q&amp;A with Sharon Driscoll, “Stanford’s Deborah Sivas on SCOTUS’ </w:t>
      </w:r>
      <w:r w:rsidRPr="00FF1B50">
        <w:rPr>
          <w:i/>
          <w:iCs/>
        </w:rPr>
        <w:t>Loper</w:t>
      </w:r>
      <w:r w:rsidRPr="00FF1B50">
        <w:t xml:space="preserve"> Decision overturning </w:t>
      </w:r>
      <w:r w:rsidRPr="00FF1B50">
        <w:rPr>
          <w:i/>
          <w:iCs/>
        </w:rPr>
        <w:t>Chevron</w:t>
      </w:r>
      <w:r w:rsidRPr="00FF1B50">
        <w:t xml:space="preserve"> and the Impact on Environmental Law” (June 28, 2024) (explaining that recent Supreme Court decisions in similar contexts spurred new litigation, and the “same trajectory may play out in the </w:t>
      </w:r>
      <w:r w:rsidRPr="00FF1B50">
        <w:rPr>
          <w:i/>
          <w:iCs/>
        </w:rPr>
        <w:t>Chevron</w:t>
      </w:r>
      <w:r w:rsidRPr="00FF1B50">
        <w:t xml:space="preserve"> context”), </w:t>
      </w:r>
      <w:hyperlink r:id="rId17" w:history="1">
        <w:r w:rsidRPr="00FF1B50">
          <w:rPr>
            <w:rStyle w:val="Hyperlink"/>
            <w:rFonts w:cs="Times New Roman"/>
          </w:rPr>
          <w:t>https://law.stanford.edu/2024/06/28/stanfords-deborah-sivas-on-scotus-loper-decision-overturning-chevrons-40-years-of-precedent-and-its-impact-on-environmental-law/</w:t>
        </w:r>
      </w:hyperlink>
      <w:r w:rsidRPr="00FF1B50">
        <w:t>.</w:t>
      </w:r>
    </w:p>
  </w:footnote>
  <w:footnote w:id="280">
    <w:p w14:paraId="3A976CA3" w14:textId="30194C87" w:rsidR="00092031" w:rsidRPr="00FF1B50" w:rsidRDefault="00092031" w:rsidP="00092031">
      <w:pPr>
        <w:pStyle w:val="FootnoteText"/>
        <w:rPr>
          <w:sz w:val="20"/>
          <w:szCs w:val="20"/>
        </w:rPr>
      </w:pPr>
      <w:r w:rsidRPr="00FF1B50">
        <w:rPr>
          <w:rStyle w:val="FootnoteReference"/>
          <w:sz w:val="20"/>
          <w:szCs w:val="20"/>
        </w:rPr>
        <w:footnoteRef/>
      </w:r>
      <w:r w:rsidRPr="00FF1B50">
        <w:rPr>
          <w:sz w:val="20"/>
          <w:szCs w:val="20"/>
        </w:rPr>
        <w:t xml:space="preserve"> </w:t>
      </w:r>
      <w:r w:rsidRPr="00FF1B50">
        <w:rPr>
          <w:i/>
          <w:iCs/>
          <w:sz w:val="20"/>
          <w:szCs w:val="20"/>
        </w:rPr>
        <w:t>See</w:t>
      </w:r>
      <w:r w:rsidRPr="00FF1B50">
        <w:rPr>
          <w:sz w:val="20"/>
          <w:szCs w:val="20"/>
        </w:rPr>
        <w:t xml:space="preserve"> Cohen &amp; Spitzer, </w:t>
      </w:r>
      <w:r w:rsidRPr="00FF1B50">
        <w:rPr>
          <w:i/>
          <w:iCs/>
          <w:sz w:val="20"/>
          <w:szCs w:val="20"/>
        </w:rPr>
        <w:t>supra</w:t>
      </w:r>
      <w:r w:rsidRPr="00FF1B50">
        <w:rPr>
          <w:sz w:val="20"/>
          <w:szCs w:val="20"/>
        </w:rPr>
        <w:t xml:space="preserve"> note </w:t>
      </w:r>
      <w:r>
        <w:rPr>
          <w:sz w:val="20"/>
          <w:szCs w:val="20"/>
          <w:highlight w:val="cyan"/>
        </w:rPr>
        <w:fldChar w:fldCharType="begin"/>
      </w:r>
      <w:r>
        <w:rPr>
          <w:sz w:val="20"/>
          <w:szCs w:val="20"/>
        </w:rPr>
        <w:instrText xml:space="preserve"> NOTEREF _Ref211360791 \h </w:instrText>
      </w:r>
      <w:r>
        <w:rPr>
          <w:sz w:val="20"/>
          <w:szCs w:val="20"/>
          <w:highlight w:val="cyan"/>
        </w:rPr>
        <w:instrText xml:space="preserve"> \* MERGEFORMAT </w:instrText>
      </w:r>
      <w:r>
        <w:rPr>
          <w:sz w:val="20"/>
          <w:szCs w:val="20"/>
          <w:highlight w:val="cyan"/>
        </w:rPr>
      </w:r>
      <w:r>
        <w:rPr>
          <w:sz w:val="20"/>
          <w:szCs w:val="20"/>
          <w:highlight w:val="cyan"/>
        </w:rPr>
        <w:fldChar w:fldCharType="separate"/>
      </w:r>
      <w:r>
        <w:rPr>
          <w:sz w:val="20"/>
          <w:szCs w:val="20"/>
        </w:rPr>
        <w:t>199</w:t>
      </w:r>
      <w:r>
        <w:rPr>
          <w:sz w:val="20"/>
          <w:szCs w:val="20"/>
          <w:highlight w:val="cyan"/>
        </w:rPr>
        <w:fldChar w:fldCharType="end"/>
      </w:r>
      <w:r w:rsidRPr="00FF1B50">
        <w:rPr>
          <w:sz w:val="20"/>
          <w:szCs w:val="20"/>
        </w:rPr>
        <w:t xml:space="preserve">, at 474–75 (“We have argued that the Supreme Court uses jurisprudence </w:t>
      </w:r>
      <w:proofErr w:type="gramStart"/>
      <w:r w:rsidRPr="00FF1B50">
        <w:rPr>
          <w:sz w:val="20"/>
          <w:szCs w:val="20"/>
        </w:rPr>
        <w:t>so as to</w:t>
      </w:r>
      <w:proofErr w:type="gramEnd"/>
      <w:r w:rsidRPr="00FF1B50">
        <w:rPr>
          <w:sz w:val="20"/>
          <w:szCs w:val="20"/>
        </w:rPr>
        <w:t xml:space="preserve"> further its policy goals in regulation. Our tests show that the Court does not uniformly endorse judicial deference, but rather does so discriminately in the years where the doctrine yields policy outcomes more to the Court’s liking.”). </w:t>
      </w:r>
    </w:p>
  </w:footnote>
  <w:footnote w:id="281">
    <w:p w14:paraId="5E2F6ADA"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 xml:space="preserve">Gallatin Wildlife </w:t>
      </w:r>
      <w:proofErr w:type="spellStart"/>
      <w:r w:rsidRPr="00FF1B50">
        <w:rPr>
          <w:i/>
          <w:iCs/>
        </w:rPr>
        <w:t>Ass’n</w:t>
      </w:r>
      <w:proofErr w:type="spellEnd"/>
      <w:r w:rsidRPr="00FF1B50">
        <w:t xml:space="preserve">, 743 Fed. Appx. at 755 (Ninth Circuit); </w:t>
      </w:r>
      <w:r w:rsidRPr="00FF1B50">
        <w:rPr>
          <w:i/>
          <w:iCs/>
        </w:rPr>
        <w:t>Miami Tribe of Okla.</w:t>
      </w:r>
      <w:r w:rsidRPr="00FF1B50">
        <w:t xml:space="preserve">, 656 F.3d at 1139 n.12 (Tenth Circuit); </w:t>
      </w:r>
      <w:r w:rsidRPr="00FF1B50">
        <w:rPr>
          <w:i/>
          <w:iCs/>
        </w:rPr>
        <w:t>Utah State Dep’t of Health v. Kennecott Corp.</w:t>
      </w:r>
      <w:r w:rsidRPr="00FF1B50">
        <w:t xml:space="preserve">, 14 F.3d 1489, 1495 (10th Cir. 1994); </w:t>
      </w:r>
      <w:r w:rsidRPr="00FF1B50">
        <w:rPr>
          <w:i/>
          <w:iCs/>
        </w:rPr>
        <w:t>Cabot Corp.</w:t>
      </w:r>
      <w:r w:rsidRPr="00FF1B50">
        <w:t xml:space="preserve">, 788 F.2d at 1543 (Federal Circuit); </w:t>
      </w:r>
      <w:r w:rsidRPr="00FF1B50">
        <w:rPr>
          <w:i/>
          <w:iCs/>
        </w:rPr>
        <w:t>see also</w:t>
      </w:r>
      <w:r w:rsidRPr="00FF1B50">
        <w:t xml:space="preserve"> </w:t>
      </w:r>
      <w:r w:rsidRPr="00FF1B50">
        <w:rPr>
          <w:i/>
          <w:iCs/>
        </w:rPr>
        <w:t>McCoy</w:t>
      </w:r>
      <w:r w:rsidRPr="00FF1B50">
        <w:t xml:space="preserve">, 683 F.2d at 1141 n.2 (Eighth Circuit holding </w:t>
      </w:r>
      <w:proofErr w:type="spellStart"/>
      <w:r w:rsidRPr="00FF1B50">
        <w:t>en</w:t>
      </w:r>
      <w:proofErr w:type="spellEnd"/>
      <w:r w:rsidRPr="00FF1B50">
        <w:t xml:space="preserve"> banc that, absent section 1292(b) certification, the remand would not have been final and appealable), </w:t>
      </w:r>
      <w:r w:rsidRPr="00FF1B50">
        <w:rPr>
          <w:i/>
          <w:iCs/>
        </w:rPr>
        <w:t>abrogated by</w:t>
      </w:r>
      <w:r w:rsidRPr="00FF1B50">
        <w:t xml:space="preserve"> </w:t>
      </w:r>
      <w:r w:rsidRPr="00FF1B50">
        <w:rPr>
          <w:i/>
          <w:iCs/>
        </w:rPr>
        <w:t>Finkelstein</w:t>
      </w:r>
      <w:r w:rsidRPr="00FF1B50">
        <w:t xml:space="preserve">, 496 U.S. 617; 15A Wright &amp; Miller, Federal Practice &amp; Procedure § 3913 (3d ed.) (“Interlocutory review can be achieved as to matters outside [specifically delineated categories] by joint permission of the district court and court of appeals under § 1292(b). . . .”). </w:t>
      </w:r>
    </w:p>
    <w:p w14:paraId="5C230B87" w14:textId="77777777" w:rsidR="00092031" w:rsidRPr="00FF1B50" w:rsidRDefault="00092031" w:rsidP="00092031">
      <w:pPr>
        <w:pStyle w:val="FootnoteText"/>
      </w:pPr>
      <w:r w:rsidRPr="00FF1B50">
        <w:t>Rule 54(b) permits a district court to “direct entry of a final judgment as to one or more, but fewer than all, claims or parties,” but “only if the court expressly determines that there is no just reason for delay.” Fed. R. Civ. P. 54(b). Meanwhile, 28 U.S.C. 1292(b) vests a circuit with jurisdiction over an otherwise unappealable order where (1) a district court determines that the “order involves a controlling question of law as to which there is substantial ground for difference of opinion and that an immediate appeal from the order may materially advance the ultimate termination of the litigation,” and (2) the circuit court chooses to hear the appeal.</w:t>
      </w:r>
      <w:r>
        <w:t xml:space="preserve"> 28 U.S.C. § 1292(b).</w:t>
      </w:r>
    </w:p>
  </w:footnote>
  <w:footnote w:id="282">
    <w:p w14:paraId="477E2E2F"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e.g.</w:t>
      </w:r>
      <w:r w:rsidRPr="00FF1B50">
        <w:t xml:space="preserve">, </w:t>
      </w:r>
      <w:r w:rsidRPr="00FF1B50">
        <w:rPr>
          <w:i/>
          <w:iCs/>
        </w:rPr>
        <w:t>DCOR, LLC</w:t>
      </w:r>
      <w:r w:rsidRPr="00FF1B50">
        <w:t xml:space="preserve">, 2023 WL 8628322, at *1 (citing Fifth Circuit’s administrative-remand rule to hold that the court’s “final judgment remanding the case back to ONRR for further consideration is thus not an appealable final judgment” under Rule 54(b)); </w:t>
      </w:r>
      <w:r w:rsidRPr="00FF1B50">
        <w:rPr>
          <w:i/>
          <w:iCs/>
        </w:rPr>
        <w:t>Aaron P. v. Dep’t of Educ.</w:t>
      </w:r>
      <w:r w:rsidRPr="00FF1B50">
        <w:t xml:space="preserve">, No. CIV. 10-00574 LEK, 2011 WL 6934560, *4 (D. Haw. 2011) (same using Ninth Circuit’s rule); </w:t>
      </w:r>
      <w:r w:rsidRPr="00FF1B50">
        <w:rPr>
          <w:i/>
          <w:iCs/>
        </w:rPr>
        <w:t>Miami Tribe of Okla. v. United States</w:t>
      </w:r>
      <w:r w:rsidRPr="00FF1B50">
        <w:t xml:space="preserve">, No. CIV.A.03-2220-DJW, 2006 WL 3848949, *3 (D. Kan. 2006) (same using Tenth Circuit’s rule); </w:t>
      </w:r>
      <w:r w:rsidRPr="00FF1B50">
        <w:rPr>
          <w:i/>
          <w:iCs/>
        </w:rPr>
        <w:t>cf. Associated Mortg. Bankers, Inc. v. Carson</w:t>
      </w:r>
      <w:r w:rsidRPr="00FF1B50">
        <w:t xml:space="preserve">, No. CV 17-0075 (ESH), 2019 WL 2996992, *3 (D.D.C. July 9, 2019) (citing D.C. Circuit’s administrative-remand rule to raise question whether remand is final under Fed. R. Civ. P. 60 or interlocutory under Rule 54(b)). </w:t>
      </w:r>
    </w:p>
  </w:footnote>
  <w:footnote w:id="283">
    <w:p w14:paraId="4EBE896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Alliance for the Wild Rockies</w:t>
      </w:r>
      <w:r w:rsidRPr="00FF1B50">
        <w:t xml:space="preserve">, 601 Fed. Appx. at 491-94 (Bea, J., concurring) (opining that court should not have considered nonprofit plaintiff-appellant’s arguments under the Endangered Species Act because, under </w:t>
      </w:r>
      <w:r w:rsidRPr="00FF1B50">
        <w:rPr>
          <w:i/>
          <w:iCs/>
        </w:rPr>
        <w:t>Sierra Forest Legacy</w:t>
      </w:r>
      <w:r w:rsidRPr="00FF1B50">
        <w:t>, nonprofit could have appealed prior, interim remand).</w:t>
      </w:r>
    </w:p>
  </w:footnote>
  <w:footnote w:id="284">
    <w:p w14:paraId="7EA932F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Pr>
          <w:i/>
          <w:iCs/>
        </w:rPr>
        <w:t xml:space="preserve"> </w:t>
      </w:r>
      <w:r w:rsidRPr="00FF1B50">
        <w:rPr>
          <w:i/>
          <w:iCs/>
        </w:rPr>
        <w:t>Miami Tribe of Okla.</w:t>
      </w:r>
      <w:r w:rsidRPr="00FF1B50">
        <w:t>,</w:t>
      </w:r>
      <w:r w:rsidRPr="00FF1B50">
        <w:rPr>
          <w:i/>
          <w:iCs/>
        </w:rPr>
        <w:t xml:space="preserve"> </w:t>
      </w:r>
      <w:r w:rsidRPr="00FF1B50">
        <w:t xml:space="preserve">656 F.3d at 1137 (“With a final judgment from a district court, ‘a notice of appeal which names the final judgment is sufficient to support review of all earlier orders that merge in the final judgment.’” (quoting </w:t>
      </w:r>
      <w:r w:rsidRPr="00FF1B50">
        <w:rPr>
          <w:i/>
          <w:iCs/>
        </w:rPr>
        <w:t>McBride v. CITGO Petroleum Corp.</w:t>
      </w:r>
      <w:r w:rsidRPr="00FF1B50">
        <w:t xml:space="preserve">, 281 F.3d 1099, 1104 (10th Cir. 2002))); </w:t>
      </w:r>
      <w:r w:rsidRPr="00FF1B50">
        <w:rPr>
          <w:i/>
          <w:iCs/>
        </w:rPr>
        <w:t>Federal Practice &amp; Procedure</w:t>
      </w:r>
      <w:r w:rsidRPr="00FF1B50">
        <w:t xml:space="preserve">, § 3949.4 Contents of the Notice of Appeal, 16A Fed. </w:t>
      </w:r>
      <w:proofErr w:type="spellStart"/>
      <w:r w:rsidRPr="00FF1B50">
        <w:t>Prac</w:t>
      </w:r>
      <w:proofErr w:type="spellEnd"/>
      <w:r w:rsidRPr="00FF1B50">
        <w:t>. &amp; Proc. Juris. § 3949.4 (5th ed. June 2024 Update) (discussing merger doctrine).</w:t>
      </w:r>
    </w:p>
  </w:footnote>
  <w:footnote w:id="285">
    <w:p w14:paraId="3C142630"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Alliance for the Wild Rockies</w:t>
      </w:r>
      <w:r w:rsidRPr="00FF1B50">
        <w:t xml:space="preserve">, 601 Fed. Appx. at 494 (Bea, J., concurring). </w:t>
      </w:r>
    </w:p>
  </w:footnote>
  <w:footnote w:id="286">
    <w:p w14:paraId="6C09C2C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(Bea, J., concurring).</w:t>
      </w:r>
    </w:p>
  </w:footnote>
  <w:footnote w:id="287">
    <w:p w14:paraId="4D82F143" w14:textId="5599AF28" w:rsidR="00092031" w:rsidRPr="00FF1B50" w:rsidRDefault="00092031" w:rsidP="00092031">
      <w:pPr>
        <w:pStyle w:val="FootnoteText"/>
      </w:pPr>
      <w:r w:rsidRPr="00FF1B50">
        <w:rPr>
          <w:rStyle w:val="FootnoteReference"/>
          <w:rFonts w:cs="Times New Roman"/>
        </w:rPr>
        <w:footnoteRef/>
      </w:r>
      <w:r w:rsidRPr="00FF1B50">
        <w:t xml:space="preserve"> The Tenth Circuit reached the same conclusion in allowing an agency to appeal a remand following a favorable final judgment. The administrative-remand rule, the court explained, “avoids the perverse incentive [of] encouraging an agency to seek an immediate appeal of a remand order (even if it was unlikely the case fell within the practical finality exception) if the agency had a whiff that we would take jurisdiction over the interlocutory appeal.” </w:t>
      </w:r>
      <w:r w:rsidRPr="00FF1B50">
        <w:rPr>
          <w:i/>
          <w:iCs/>
        </w:rPr>
        <w:t>Miami Tribe of Okla.</w:t>
      </w:r>
      <w:r w:rsidRPr="00FF1B50">
        <w:t xml:space="preserve">, 656 F.3d at 1141. Fearing exactly this line of thinking, some agencies indicate when accepting a court-ordered remand that they do so “under protest.” </w:t>
      </w:r>
      <w:r w:rsidRPr="00FF1B50">
        <w:rPr>
          <w:i/>
          <w:iCs/>
        </w:rPr>
        <w:t>See Viraj Grp., Ltd. v. v. United States</w:t>
      </w:r>
      <w:r w:rsidRPr="00FF1B50">
        <w:t xml:space="preserve">, 343 F.3d 1371, 1376 (Fed. Cir. 2003); Lynch, </w:t>
      </w:r>
      <w:r w:rsidRPr="00FF1B50">
        <w:rPr>
          <w:i/>
          <w:iCs/>
        </w:rPr>
        <w:t>supra</w:t>
      </w:r>
      <w:r w:rsidRPr="00FF1B50">
        <w:t xml:space="preserve"> note </w:t>
      </w:r>
      <w:r>
        <w:rPr>
          <w:highlight w:val="cyan"/>
        </w:rPr>
        <w:fldChar w:fldCharType="begin"/>
      </w:r>
      <w:r>
        <w:instrText xml:space="preserve"> NOTEREF _Ref211359331 \h </w:instrText>
      </w:r>
      <w:r>
        <w:rPr>
          <w:highlight w:val="cyan"/>
        </w:rPr>
        <w:instrText xml:space="preserve"> \* MERGEFORMAT </w:instrText>
      </w:r>
      <w:r>
        <w:rPr>
          <w:highlight w:val="cyan"/>
        </w:rPr>
      </w:r>
      <w:r>
        <w:rPr>
          <w:highlight w:val="cyan"/>
        </w:rPr>
        <w:fldChar w:fldCharType="separate"/>
      </w:r>
      <w:r>
        <w:t>13</w:t>
      </w:r>
      <w:r>
        <w:rPr>
          <w:highlight w:val="cyan"/>
        </w:rPr>
        <w:fldChar w:fldCharType="end"/>
      </w:r>
      <w:r w:rsidRPr="00FF1B50">
        <w:t>, at 388-89 (discussing this practice).</w:t>
      </w:r>
    </w:p>
  </w:footnote>
  <w:footnote w:id="288">
    <w:p w14:paraId="336E796C" w14:textId="77777777" w:rsidR="00092031" w:rsidRPr="00FF1B50" w:rsidRDefault="00092031" w:rsidP="00092031">
      <w:pPr>
        <w:pStyle w:val="FootnoteText"/>
        <w:rPr>
          <w:lang w:val="pl-PL"/>
        </w:rPr>
      </w:pPr>
      <w:r w:rsidRPr="00FF1B50">
        <w:rPr>
          <w:rStyle w:val="FootnoteReference"/>
          <w:rFonts w:cs="Times New Roman"/>
        </w:rPr>
        <w:footnoteRef/>
      </w:r>
      <w:r w:rsidRPr="00FF1B50">
        <w:rPr>
          <w:lang w:val="pl-PL"/>
        </w:rPr>
        <w:t xml:space="preserve"> 15B </w:t>
      </w:r>
      <w:proofErr w:type="spellStart"/>
      <w:r w:rsidRPr="00FF1B50">
        <w:rPr>
          <w:lang w:val="pl-PL"/>
        </w:rPr>
        <w:t>Fed</w:t>
      </w:r>
      <w:proofErr w:type="spellEnd"/>
      <w:r w:rsidRPr="00FF1B50">
        <w:rPr>
          <w:lang w:val="pl-PL"/>
        </w:rPr>
        <w:t xml:space="preserve">. Prac. &amp; Proc. </w:t>
      </w:r>
      <w:proofErr w:type="spellStart"/>
      <w:r w:rsidRPr="00FF1B50">
        <w:rPr>
          <w:lang w:val="pl-PL"/>
        </w:rPr>
        <w:t>Juris</w:t>
      </w:r>
      <w:proofErr w:type="spellEnd"/>
      <w:r w:rsidRPr="00FF1B50">
        <w:rPr>
          <w:lang w:val="pl-PL"/>
        </w:rPr>
        <w:t xml:space="preserve">. § 3914.32. </w:t>
      </w:r>
    </w:p>
  </w:footnote>
  <w:footnote w:id="289">
    <w:p w14:paraId="3034F529" w14:textId="03E182C0" w:rsidR="00092031" w:rsidRPr="00FF1B50" w:rsidRDefault="00092031" w:rsidP="00092031">
      <w:pPr>
        <w:pStyle w:val="FootnoteText"/>
        <w:rPr>
          <w:lang w:val="pl-PL"/>
        </w:rPr>
      </w:pPr>
      <w:r w:rsidRPr="00FF1B50">
        <w:rPr>
          <w:rStyle w:val="FootnoteReference"/>
          <w:rFonts w:cs="Times New Roman"/>
        </w:rPr>
        <w:footnoteRef/>
      </w:r>
      <w:r w:rsidRPr="00FF1B50">
        <w:rPr>
          <w:lang w:val="pl-PL"/>
        </w:rPr>
        <w:t xml:space="preserve"> </w:t>
      </w:r>
      <w:proofErr w:type="spellStart"/>
      <w:r w:rsidRPr="00FF1B50">
        <w:rPr>
          <w:lang w:val="pl-PL"/>
        </w:rPr>
        <w:t>Farber</w:t>
      </w:r>
      <w:proofErr w:type="spellEnd"/>
      <w:r w:rsidRPr="00FF1B50">
        <w:rPr>
          <w:lang w:val="pl-PL"/>
        </w:rPr>
        <w:t xml:space="preserve"> &amp; O’Connell, </w:t>
      </w:r>
      <w:proofErr w:type="spellStart"/>
      <w:r w:rsidRPr="00FF1B50">
        <w:rPr>
          <w:i/>
          <w:iCs/>
          <w:lang w:val="pl-PL"/>
        </w:rPr>
        <w:t>supra</w:t>
      </w:r>
      <w:proofErr w:type="spellEnd"/>
      <w:r w:rsidRPr="00FF1B50">
        <w:rPr>
          <w:i/>
          <w:iCs/>
          <w:lang w:val="pl-PL"/>
        </w:rPr>
        <w:t xml:space="preserve"> </w:t>
      </w:r>
      <w:proofErr w:type="spellStart"/>
      <w:r w:rsidRPr="00FF1B50">
        <w:rPr>
          <w:lang w:val="pl-PL"/>
        </w:rPr>
        <w:t>note</w:t>
      </w:r>
      <w:proofErr w:type="spellEnd"/>
      <w:r w:rsidRPr="00FF1B50">
        <w:rPr>
          <w:lang w:val="pl-PL"/>
        </w:rPr>
        <w:t xml:space="preserve"> </w:t>
      </w:r>
      <w:r>
        <w:rPr>
          <w:highlight w:val="cyan"/>
          <w:lang w:val="pl-PL"/>
        </w:rPr>
        <w:fldChar w:fldCharType="begin"/>
      </w:r>
      <w:r>
        <w:rPr>
          <w:lang w:val="pl-PL"/>
        </w:rPr>
        <w:instrText xml:space="preserve"> NOTEREF _Ref211360808 \h </w:instrText>
      </w:r>
      <w:r>
        <w:rPr>
          <w:highlight w:val="cyan"/>
          <w:lang w:val="pl-PL"/>
        </w:rPr>
        <w:instrText xml:space="preserve"> \* MERGEFORMAT </w:instrText>
      </w:r>
      <w:r>
        <w:rPr>
          <w:highlight w:val="cyan"/>
          <w:lang w:val="pl-PL"/>
        </w:rPr>
      </w:r>
      <w:r>
        <w:rPr>
          <w:highlight w:val="cyan"/>
          <w:lang w:val="pl-PL"/>
        </w:rPr>
        <w:fldChar w:fldCharType="separate"/>
      </w:r>
      <w:r>
        <w:rPr>
          <w:lang w:val="pl-PL"/>
        </w:rPr>
        <w:t>203</w:t>
      </w:r>
      <w:r>
        <w:rPr>
          <w:highlight w:val="cyan"/>
          <w:lang w:val="pl-PL"/>
        </w:rPr>
        <w:fldChar w:fldCharType="end"/>
      </w:r>
      <w:r>
        <w:rPr>
          <w:lang w:val="pl-PL"/>
        </w:rPr>
        <w:t xml:space="preserve">, </w:t>
      </w:r>
      <w:proofErr w:type="spellStart"/>
      <w:r w:rsidRPr="00FF1B50">
        <w:rPr>
          <w:lang w:val="pl-PL"/>
        </w:rPr>
        <w:t>at</w:t>
      </w:r>
      <w:proofErr w:type="spellEnd"/>
      <w:r w:rsidRPr="00FF1B50">
        <w:rPr>
          <w:lang w:val="pl-PL"/>
        </w:rPr>
        <w:t xml:space="preserve"> 1146, 1157-70.</w:t>
      </w:r>
    </w:p>
  </w:footnote>
  <w:footnote w:id="290">
    <w:p w14:paraId="7AADDFF6" w14:textId="77777777" w:rsidR="00092031" w:rsidRPr="00FF1B50" w:rsidRDefault="00092031" w:rsidP="00092031">
      <w:pPr>
        <w:pStyle w:val="FootnoteText"/>
        <w:rPr>
          <w:lang w:val="pl-PL"/>
        </w:rPr>
      </w:pPr>
      <w:r w:rsidRPr="00FF1B50">
        <w:rPr>
          <w:rStyle w:val="FootnoteReference"/>
          <w:rFonts w:cs="Times New Roman"/>
        </w:rPr>
        <w:footnoteRef/>
      </w:r>
      <w:r w:rsidRPr="00FF1B50">
        <w:rPr>
          <w:lang w:val="pl-PL"/>
        </w:rPr>
        <w:t xml:space="preserve"> </w:t>
      </w:r>
      <w:proofErr w:type="spellStart"/>
      <w:r w:rsidRPr="00FF1B50">
        <w:rPr>
          <w:i/>
          <w:iCs/>
          <w:lang w:val="pl-PL"/>
        </w:rPr>
        <w:t>See</w:t>
      </w:r>
      <w:proofErr w:type="spellEnd"/>
      <w:r w:rsidRPr="00FF1B50">
        <w:rPr>
          <w:i/>
          <w:iCs/>
          <w:lang w:val="pl-PL"/>
        </w:rPr>
        <w:t xml:space="preserve"> </w:t>
      </w:r>
      <w:proofErr w:type="spellStart"/>
      <w:r w:rsidRPr="00FF1B50">
        <w:rPr>
          <w:i/>
          <w:iCs/>
          <w:lang w:val="pl-PL"/>
        </w:rPr>
        <w:t>generally</w:t>
      </w:r>
      <w:proofErr w:type="spellEnd"/>
      <w:r w:rsidRPr="00FF1B50">
        <w:rPr>
          <w:lang w:val="pl-PL"/>
        </w:rPr>
        <w:t xml:space="preserve"> </w:t>
      </w:r>
      <w:proofErr w:type="spellStart"/>
      <w:r w:rsidRPr="00FF1B50">
        <w:rPr>
          <w:lang w:val="pl-PL"/>
        </w:rPr>
        <w:t>Anne</w:t>
      </w:r>
      <w:proofErr w:type="spellEnd"/>
      <w:r w:rsidRPr="00FF1B50">
        <w:rPr>
          <w:lang w:val="pl-PL"/>
        </w:rPr>
        <w:t xml:space="preserve"> Joseph O’Connell, </w:t>
      </w:r>
      <w:proofErr w:type="spellStart"/>
      <w:r w:rsidRPr="00FF1B50">
        <w:rPr>
          <w:i/>
          <w:iCs/>
          <w:lang w:val="pl-PL"/>
        </w:rPr>
        <w:t>Agency</w:t>
      </w:r>
      <w:proofErr w:type="spellEnd"/>
      <w:r w:rsidRPr="00FF1B50">
        <w:rPr>
          <w:i/>
          <w:iCs/>
          <w:lang w:val="pl-PL"/>
        </w:rPr>
        <w:t xml:space="preserve"> </w:t>
      </w:r>
      <w:proofErr w:type="spellStart"/>
      <w:r w:rsidRPr="00FF1B50">
        <w:rPr>
          <w:i/>
          <w:iCs/>
          <w:lang w:val="pl-PL"/>
        </w:rPr>
        <w:t>Rulemaking</w:t>
      </w:r>
      <w:proofErr w:type="spellEnd"/>
      <w:r w:rsidRPr="00FF1B50">
        <w:rPr>
          <w:i/>
          <w:iCs/>
          <w:lang w:val="pl-PL"/>
        </w:rPr>
        <w:t xml:space="preserve"> and </w:t>
      </w:r>
      <w:proofErr w:type="spellStart"/>
      <w:r w:rsidRPr="00FF1B50">
        <w:rPr>
          <w:i/>
          <w:iCs/>
          <w:lang w:val="pl-PL"/>
        </w:rPr>
        <w:t>Political</w:t>
      </w:r>
      <w:proofErr w:type="spellEnd"/>
      <w:r w:rsidRPr="00FF1B50">
        <w:rPr>
          <w:i/>
          <w:iCs/>
          <w:lang w:val="pl-PL"/>
        </w:rPr>
        <w:t xml:space="preserve"> </w:t>
      </w:r>
      <w:proofErr w:type="spellStart"/>
      <w:r w:rsidRPr="00FF1B50">
        <w:rPr>
          <w:i/>
          <w:iCs/>
          <w:lang w:val="pl-PL"/>
        </w:rPr>
        <w:t>Transitions</w:t>
      </w:r>
      <w:proofErr w:type="spellEnd"/>
      <w:r w:rsidRPr="00FF1B50">
        <w:rPr>
          <w:lang w:val="pl-PL"/>
        </w:rPr>
        <w:t xml:space="preserve">, 105 </w:t>
      </w:r>
      <w:r w:rsidRPr="005A3436">
        <w:rPr>
          <w:smallCaps/>
          <w:lang w:val="pl-PL"/>
        </w:rPr>
        <w:t xml:space="preserve">Nw. U. L. </w:t>
      </w:r>
      <w:proofErr w:type="spellStart"/>
      <w:r w:rsidRPr="005A3436">
        <w:rPr>
          <w:smallCaps/>
          <w:lang w:val="pl-PL"/>
        </w:rPr>
        <w:t>Rev</w:t>
      </w:r>
      <w:proofErr w:type="spellEnd"/>
      <w:r w:rsidRPr="005A3436">
        <w:rPr>
          <w:smallCaps/>
          <w:lang w:val="pl-PL"/>
        </w:rPr>
        <w:t>.</w:t>
      </w:r>
      <w:r w:rsidRPr="00FF1B50">
        <w:rPr>
          <w:lang w:val="pl-PL"/>
        </w:rPr>
        <w:t xml:space="preserve"> 471, 473 (2011) (</w:t>
      </w:r>
      <w:proofErr w:type="spellStart"/>
      <w:r w:rsidRPr="00FF1B50">
        <w:rPr>
          <w:lang w:val="pl-PL"/>
        </w:rPr>
        <w:t>discussing</w:t>
      </w:r>
      <w:proofErr w:type="spellEnd"/>
      <w:r w:rsidRPr="00FF1B50">
        <w:rPr>
          <w:lang w:val="pl-PL"/>
        </w:rPr>
        <w:t xml:space="preserve"> </w:t>
      </w:r>
      <w:proofErr w:type="spellStart"/>
      <w:r w:rsidRPr="00FF1B50">
        <w:rPr>
          <w:lang w:val="pl-PL"/>
        </w:rPr>
        <w:t>effects</w:t>
      </w:r>
      <w:proofErr w:type="spellEnd"/>
      <w:r w:rsidRPr="00FF1B50">
        <w:rPr>
          <w:lang w:val="pl-PL"/>
        </w:rPr>
        <w:t xml:space="preserve"> of </w:t>
      </w:r>
      <w:proofErr w:type="spellStart"/>
      <w:r w:rsidRPr="00FF1B50">
        <w:rPr>
          <w:lang w:val="pl-PL"/>
        </w:rPr>
        <w:t>political</w:t>
      </w:r>
      <w:proofErr w:type="spellEnd"/>
      <w:r w:rsidRPr="00FF1B50">
        <w:rPr>
          <w:lang w:val="pl-PL"/>
        </w:rPr>
        <w:t xml:space="preserve"> </w:t>
      </w:r>
      <w:proofErr w:type="spellStart"/>
      <w:r w:rsidRPr="00FF1B50">
        <w:rPr>
          <w:lang w:val="pl-PL"/>
        </w:rPr>
        <w:t>shifts</w:t>
      </w:r>
      <w:proofErr w:type="spellEnd"/>
      <w:r w:rsidRPr="00FF1B50">
        <w:rPr>
          <w:lang w:val="pl-PL"/>
        </w:rPr>
        <w:t xml:space="preserve"> on </w:t>
      </w:r>
      <w:proofErr w:type="spellStart"/>
      <w:r w:rsidRPr="00FF1B50">
        <w:rPr>
          <w:lang w:val="pl-PL"/>
        </w:rPr>
        <w:t>agency</w:t>
      </w:r>
      <w:proofErr w:type="spellEnd"/>
      <w:r w:rsidRPr="00FF1B50">
        <w:rPr>
          <w:lang w:val="pl-PL"/>
        </w:rPr>
        <w:t xml:space="preserve"> </w:t>
      </w:r>
      <w:proofErr w:type="spellStart"/>
      <w:r w:rsidRPr="00FF1B50">
        <w:rPr>
          <w:lang w:val="pl-PL"/>
        </w:rPr>
        <w:t>rulemakings</w:t>
      </w:r>
      <w:proofErr w:type="spellEnd"/>
      <w:r w:rsidRPr="00FF1B50">
        <w:rPr>
          <w:lang w:val="pl-PL"/>
        </w:rPr>
        <w:t xml:space="preserve">); </w:t>
      </w:r>
      <w:proofErr w:type="spellStart"/>
      <w:r w:rsidRPr="00FF1B50">
        <w:rPr>
          <w:lang w:val="pl-PL"/>
        </w:rPr>
        <w:t>Anne</w:t>
      </w:r>
      <w:proofErr w:type="spellEnd"/>
      <w:r w:rsidRPr="00FF1B50">
        <w:rPr>
          <w:lang w:val="pl-PL"/>
        </w:rPr>
        <w:t xml:space="preserve"> Joseph O’Connell, </w:t>
      </w:r>
      <w:proofErr w:type="spellStart"/>
      <w:r w:rsidRPr="00FF1B50">
        <w:rPr>
          <w:i/>
          <w:iCs/>
          <w:lang w:val="pl-PL"/>
        </w:rPr>
        <w:t>Political</w:t>
      </w:r>
      <w:proofErr w:type="spellEnd"/>
      <w:r w:rsidRPr="00FF1B50">
        <w:rPr>
          <w:i/>
          <w:iCs/>
          <w:lang w:val="pl-PL"/>
        </w:rPr>
        <w:t xml:space="preserve"> </w:t>
      </w:r>
      <w:proofErr w:type="spellStart"/>
      <w:r w:rsidRPr="00FF1B50">
        <w:rPr>
          <w:i/>
          <w:iCs/>
          <w:lang w:val="pl-PL"/>
        </w:rPr>
        <w:t>Cycles</w:t>
      </w:r>
      <w:proofErr w:type="spellEnd"/>
      <w:r w:rsidRPr="00FF1B50">
        <w:rPr>
          <w:i/>
          <w:iCs/>
          <w:lang w:val="pl-PL"/>
        </w:rPr>
        <w:t xml:space="preserve"> of </w:t>
      </w:r>
      <w:proofErr w:type="spellStart"/>
      <w:r w:rsidRPr="00FF1B50">
        <w:rPr>
          <w:i/>
          <w:iCs/>
          <w:lang w:val="pl-PL"/>
        </w:rPr>
        <w:t>Rulemaking</w:t>
      </w:r>
      <w:proofErr w:type="spellEnd"/>
      <w:r w:rsidRPr="00FF1B50">
        <w:rPr>
          <w:i/>
          <w:iCs/>
          <w:lang w:val="pl-PL"/>
        </w:rPr>
        <w:t xml:space="preserve">: </w:t>
      </w:r>
      <w:proofErr w:type="spellStart"/>
      <w:r w:rsidRPr="00FF1B50">
        <w:rPr>
          <w:i/>
          <w:iCs/>
          <w:lang w:val="pl-PL"/>
        </w:rPr>
        <w:t>An</w:t>
      </w:r>
      <w:proofErr w:type="spellEnd"/>
      <w:r w:rsidRPr="00FF1B50">
        <w:rPr>
          <w:i/>
          <w:iCs/>
          <w:lang w:val="pl-PL"/>
        </w:rPr>
        <w:t xml:space="preserve"> </w:t>
      </w:r>
      <w:proofErr w:type="spellStart"/>
      <w:r w:rsidRPr="00FF1B50">
        <w:rPr>
          <w:i/>
          <w:iCs/>
          <w:lang w:val="pl-PL"/>
        </w:rPr>
        <w:t>Empirical</w:t>
      </w:r>
      <w:proofErr w:type="spellEnd"/>
      <w:r w:rsidRPr="00FF1B50">
        <w:rPr>
          <w:i/>
          <w:iCs/>
          <w:lang w:val="pl-PL"/>
        </w:rPr>
        <w:t xml:space="preserve"> </w:t>
      </w:r>
      <w:proofErr w:type="spellStart"/>
      <w:r w:rsidRPr="00FF1B50">
        <w:rPr>
          <w:i/>
          <w:iCs/>
          <w:lang w:val="pl-PL"/>
        </w:rPr>
        <w:t>Portrait</w:t>
      </w:r>
      <w:proofErr w:type="spellEnd"/>
      <w:r w:rsidRPr="00FF1B50">
        <w:rPr>
          <w:i/>
          <w:iCs/>
          <w:lang w:val="pl-PL"/>
        </w:rPr>
        <w:t xml:space="preserve"> of the Modern </w:t>
      </w:r>
      <w:proofErr w:type="spellStart"/>
      <w:r w:rsidRPr="00FF1B50">
        <w:rPr>
          <w:i/>
          <w:iCs/>
          <w:lang w:val="pl-PL"/>
        </w:rPr>
        <w:t>Administrative</w:t>
      </w:r>
      <w:proofErr w:type="spellEnd"/>
      <w:r w:rsidRPr="00FF1B50">
        <w:rPr>
          <w:i/>
          <w:iCs/>
          <w:lang w:val="pl-PL"/>
        </w:rPr>
        <w:t xml:space="preserve"> </w:t>
      </w:r>
      <w:proofErr w:type="spellStart"/>
      <w:r w:rsidRPr="00FF1B50">
        <w:rPr>
          <w:i/>
          <w:iCs/>
          <w:lang w:val="pl-PL"/>
        </w:rPr>
        <w:t>State</w:t>
      </w:r>
      <w:proofErr w:type="spellEnd"/>
      <w:r w:rsidRPr="00FF1B50">
        <w:rPr>
          <w:lang w:val="pl-PL"/>
        </w:rPr>
        <w:t xml:space="preserve">, 94 </w:t>
      </w:r>
      <w:proofErr w:type="spellStart"/>
      <w:r w:rsidRPr="00FF1B50">
        <w:rPr>
          <w:smallCaps/>
          <w:lang w:val="pl-PL"/>
        </w:rPr>
        <w:t>Va</w:t>
      </w:r>
      <w:proofErr w:type="spellEnd"/>
      <w:r w:rsidRPr="00FF1B50">
        <w:rPr>
          <w:smallCaps/>
          <w:lang w:val="pl-PL"/>
        </w:rPr>
        <w:t xml:space="preserve">. L. </w:t>
      </w:r>
      <w:proofErr w:type="spellStart"/>
      <w:r w:rsidRPr="00FF1B50">
        <w:rPr>
          <w:smallCaps/>
          <w:lang w:val="pl-PL"/>
        </w:rPr>
        <w:t>Rev</w:t>
      </w:r>
      <w:proofErr w:type="spellEnd"/>
      <w:r w:rsidRPr="00FF1B50">
        <w:rPr>
          <w:lang w:val="pl-PL"/>
        </w:rPr>
        <w:t>. 889 (2008) (same).</w:t>
      </w:r>
    </w:p>
  </w:footnote>
  <w:footnote w:id="291">
    <w:p w14:paraId="7B75D7CD" w14:textId="7D61C4D5" w:rsidR="00092031" w:rsidRPr="00FF1B50" w:rsidRDefault="00092031" w:rsidP="00092031">
      <w:pPr>
        <w:pStyle w:val="FootnoteText"/>
      </w:pPr>
      <w:r w:rsidRPr="00FF1B50">
        <w:rPr>
          <w:rStyle w:val="FootnoteReference"/>
          <w:rFonts w:cs="Times New Roman"/>
        </w:rPr>
        <w:footnoteRef/>
      </w:r>
      <w:r w:rsidRPr="00FF1B50">
        <w:t xml:space="preserve"> Clopton &amp; Shaw, </w:t>
      </w:r>
      <w:r w:rsidRPr="00FF1B50">
        <w:rPr>
          <w:i/>
          <w:iCs/>
        </w:rPr>
        <w:t xml:space="preserve">supra </w:t>
      </w:r>
      <w:r w:rsidRPr="00FF1B50">
        <w:t>note</w:t>
      </w:r>
      <w:r>
        <w:t xml:space="preserve"> </w:t>
      </w:r>
      <w:r>
        <w:fldChar w:fldCharType="begin"/>
      </w:r>
      <w:r>
        <w:instrText xml:space="preserve"> NOTEREF _Ref211360833 \h  \* MERGEFORMAT </w:instrText>
      </w:r>
      <w:r>
        <w:fldChar w:fldCharType="separate"/>
      </w:r>
      <w:r>
        <w:t>20</w:t>
      </w:r>
      <w:r>
        <w:fldChar w:fldCharType="end"/>
      </w:r>
      <w:r w:rsidRPr="00FF1B50">
        <w:t>, at 1521–22.</w:t>
      </w:r>
    </w:p>
  </w:footnote>
  <w:footnote w:id="292">
    <w:p w14:paraId="72E4C1D7" w14:textId="7DC54BCA" w:rsidR="00092031" w:rsidRPr="00FF1B50" w:rsidRDefault="00092031" w:rsidP="00092031">
      <w:pPr>
        <w:pStyle w:val="FootnoteText"/>
        <w:rPr>
          <w:rFonts w:eastAsia="Quattrocento"/>
        </w:rPr>
      </w:pPr>
      <w:r w:rsidRPr="00FF1B50">
        <w:rPr>
          <w:rStyle w:val="FootnoteReference"/>
          <w:rFonts w:cs="Times New Roman"/>
        </w:rPr>
        <w:footnoteRef/>
      </w:r>
      <w:r w:rsidRPr="00FF1B50">
        <w:t xml:space="preserve"> </w:t>
      </w:r>
      <w:r w:rsidRPr="00FF1B50">
        <w:rPr>
          <w:rFonts w:eastAsia="Quattrocento"/>
          <w:i/>
          <w:iCs/>
        </w:rPr>
        <w:t>See, e.g.</w:t>
      </w:r>
      <w:r w:rsidRPr="00FF1B50">
        <w:rPr>
          <w:rFonts w:eastAsia="Quattrocento"/>
        </w:rPr>
        <w:t xml:space="preserve">, </w:t>
      </w:r>
      <w:r w:rsidRPr="00FF1B50">
        <w:rPr>
          <w:rFonts w:eastAsia="Quattrocento"/>
          <w:i/>
          <w:iCs/>
        </w:rPr>
        <w:t>Ctr. for Biological Diversity</w:t>
      </w:r>
      <w:r w:rsidRPr="00FF1B50">
        <w:rPr>
          <w:rFonts w:eastAsia="Quattrocento"/>
        </w:rPr>
        <w:t xml:space="preserve">, 69 F.4th at 594-96 (voluntary agency remand following change in presidential administration blocked subsequent appeal by proposed intervenor); </w:t>
      </w:r>
      <w:r w:rsidRPr="00FF1B50">
        <w:rPr>
          <w:rFonts w:eastAsia="Quattrocento"/>
          <w:i/>
          <w:iCs/>
        </w:rPr>
        <w:t>see also</w:t>
      </w:r>
      <w:r w:rsidRPr="00FF1B50">
        <w:rPr>
          <w:rFonts w:eastAsia="Quattrocento"/>
        </w:rPr>
        <w:t xml:space="preserve"> Revesz, </w:t>
      </w:r>
      <w:r w:rsidRPr="00FF1B50">
        <w:rPr>
          <w:rFonts w:eastAsia="Quattrocento"/>
          <w:i/>
          <w:iCs/>
        </w:rPr>
        <w:t>supra</w:t>
      </w:r>
      <w:r w:rsidRPr="00FF1B50">
        <w:rPr>
          <w:rFonts w:eastAsia="Quattrocento"/>
        </w:rPr>
        <w:t xml:space="preserve"> note</w:t>
      </w:r>
      <w:r>
        <w:rPr>
          <w:rFonts w:eastAsia="Quattrocento"/>
        </w:rPr>
        <w:t xml:space="preserve"> </w:t>
      </w:r>
      <w:r>
        <w:rPr>
          <w:rFonts w:eastAsia="Quattrocento"/>
        </w:rPr>
        <w:fldChar w:fldCharType="begin"/>
      </w:r>
      <w:r>
        <w:rPr>
          <w:rFonts w:eastAsia="Quattrocento"/>
        </w:rPr>
        <w:instrText xml:space="preserve"> NOTEREF _Ref211360856 \h  \* MERGEFORMAT </w:instrText>
      </w:r>
      <w:r>
        <w:rPr>
          <w:rFonts w:eastAsia="Quattrocento"/>
        </w:rPr>
      </w:r>
      <w:r>
        <w:rPr>
          <w:rFonts w:eastAsia="Quattrocento"/>
        </w:rPr>
        <w:fldChar w:fldCharType="separate"/>
      </w:r>
      <w:r>
        <w:rPr>
          <w:rFonts w:eastAsia="Quattrocento"/>
        </w:rPr>
        <w:t>33</w:t>
      </w:r>
      <w:r>
        <w:rPr>
          <w:rFonts w:eastAsia="Quattrocento"/>
        </w:rPr>
        <w:fldChar w:fldCharType="end"/>
      </w:r>
      <w:r w:rsidRPr="00FF1B50">
        <w:rPr>
          <w:rFonts w:eastAsia="Quattrocento"/>
        </w:rPr>
        <w:t xml:space="preserve">, at 378-81 (discussing political motivations behind voluntary remands following changes in presidential administrations); Glicksman &amp; Hammond, </w:t>
      </w:r>
      <w:r w:rsidRPr="00FF1B50">
        <w:rPr>
          <w:rFonts w:eastAsia="Quattrocento"/>
          <w:i/>
          <w:iCs/>
        </w:rPr>
        <w:t>supra</w:t>
      </w:r>
      <w:r w:rsidRPr="00FF1B50">
        <w:rPr>
          <w:rFonts w:eastAsia="Quattrocento"/>
        </w:rPr>
        <w:t xml:space="preserve"> note</w:t>
      </w:r>
      <w:r>
        <w:rPr>
          <w:rFonts w:eastAsia="Quattrocento"/>
        </w:rPr>
        <w:t xml:space="preserve"> </w:t>
      </w:r>
      <w:r>
        <w:rPr>
          <w:rFonts w:eastAsia="Quattrocento"/>
        </w:rPr>
        <w:fldChar w:fldCharType="begin"/>
      </w:r>
      <w:r>
        <w:rPr>
          <w:rFonts w:eastAsia="Quattrocento"/>
        </w:rPr>
        <w:instrText xml:space="preserve"> NOTEREF _Ref211360642 \h  \* MERGEFORMAT </w:instrText>
      </w:r>
      <w:r>
        <w:rPr>
          <w:rFonts w:eastAsia="Quattrocento"/>
        </w:rPr>
      </w:r>
      <w:r>
        <w:rPr>
          <w:rFonts w:eastAsia="Quattrocento"/>
        </w:rPr>
        <w:fldChar w:fldCharType="separate"/>
      </w:r>
      <w:r>
        <w:rPr>
          <w:rFonts w:eastAsia="Quattrocento"/>
        </w:rPr>
        <w:t>31</w:t>
      </w:r>
      <w:r>
        <w:rPr>
          <w:rFonts w:eastAsia="Quattrocento"/>
        </w:rPr>
        <w:fldChar w:fldCharType="end"/>
      </w:r>
      <w:r w:rsidRPr="00FF1B50">
        <w:rPr>
          <w:rFonts w:eastAsia="Quattrocento"/>
        </w:rPr>
        <w:t xml:space="preserve">, </w:t>
      </w:r>
      <w:r w:rsidRPr="00FF1B50">
        <w:t xml:space="preserve">at </w:t>
      </w:r>
      <w:r w:rsidRPr="00FF1B50">
        <w:rPr>
          <w:rFonts w:eastAsia="Quattrocento"/>
        </w:rPr>
        <w:t>496-99 (hypothesizing connection between presidential administration and agency actions on remand).</w:t>
      </w:r>
    </w:p>
  </w:footnote>
  <w:footnote w:id="293">
    <w:p w14:paraId="4CED4460" w14:textId="14F98B42"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w:t>
      </w:r>
      <w:r w:rsidRPr="00FF1B50">
        <w:t xml:space="preserve"> </w:t>
      </w:r>
      <w:r w:rsidRPr="00FF1B50">
        <w:rPr>
          <w:lang w:val="en-CA"/>
        </w:rPr>
        <w:t xml:space="preserve">Clopton &amp; Shaw, </w:t>
      </w:r>
      <w:r w:rsidRPr="00FF1B50">
        <w:rPr>
          <w:i/>
          <w:iCs/>
        </w:rPr>
        <w:t xml:space="preserve">supra </w:t>
      </w:r>
      <w:r w:rsidRPr="00FF1B50">
        <w:t>note</w:t>
      </w:r>
      <w:r>
        <w:t xml:space="preserve"> </w:t>
      </w:r>
      <w:r>
        <w:fldChar w:fldCharType="begin"/>
      </w:r>
      <w:r>
        <w:instrText xml:space="preserve"> NOTEREF _Ref211360833 \h  \* MERGEFORMAT </w:instrText>
      </w:r>
      <w:r>
        <w:fldChar w:fldCharType="separate"/>
      </w:r>
      <w:r>
        <w:t>20</w:t>
      </w:r>
      <w:r>
        <w:fldChar w:fldCharType="end"/>
      </w:r>
      <w:r w:rsidRPr="00FF1B50">
        <w:rPr>
          <w:lang w:val="en-CA"/>
        </w:rPr>
        <w:t xml:space="preserve">, at 1517 (as part of practice of “midnight litigation,” “government lawyers might choose to settle cases on terms that would be unacceptable to future administrations”); Farber &amp; O’Connell, </w:t>
      </w:r>
      <w:r w:rsidRPr="00FF1B50">
        <w:rPr>
          <w:i/>
          <w:iCs/>
          <w:lang w:val="en-CA"/>
        </w:rPr>
        <w:t xml:space="preserve">supra </w:t>
      </w:r>
      <w:r w:rsidRPr="00FF1B50">
        <w:rPr>
          <w:lang w:val="en-CA"/>
        </w:rPr>
        <w:t xml:space="preserve">note </w:t>
      </w:r>
      <w:r>
        <w:rPr>
          <w:lang w:val="en-CA"/>
        </w:rPr>
        <w:t>203</w:t>
      </w:r>
      <w:r w:rsidRPr="00FF1B50">
        <w:rPr>
          <w:lang w:val="en-CA"/>
        </w:rPr>
        <w:t>, at 1172 (“Agencies also work to keep cases out of court entirely by relying heavily on settlement.”).</w:t>
      </w:r>
    </w:p>
  </w:footnote>
  <w:footnote w:id="294">
    <w:p w14:paraId="4564E6AC" w14:textId="23CBE494"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Cf.</w:t>
      </w:r>
      <w:r w:rsidRPr="00FF1B50">
        <w:t xml:space="preserve"> </w:t>
      </w:r>
      <w:r w:rsidRPr="00FF1B50">
        <w:rPr>
          <w:lang w:val="en-CA"/>
        </w:rPr>
        <w:t xml:space="preserve">Farber &amp; O’Connell, </w:t>
      </w:r>
      <w:r w:rsidRPr="00FF1B50">
        <w:rPr>
          <w:i/>
          <w:iCs/>
          <w:lang w:val="en-CA"/>
        </w:rPr>
        <w:t xml:space="preserve">supra </w:t>
      </w:r>
      <w:r w:rsidRPr="00FF1B50">
        <w:rPr>
          <w:lang w:val="en-CA"/>
        </w:rPr>
        <w:t>note</w:t>
      </w:r>
      <w:r>
        <w:rPr>
          <w:lang w:val="en-CA"/>
        </w:rPr>
        <w:t xml:space="preserve"> </w:t>
      </w:r>
      <w:r>
        <w:rPr>
          <w:lang w:val="en-CA"/>
        </w:rPr>
        <w:fldChar w:fldCharType="begin"/>
      </w:r>
      <w:r>
        <w:rPr>
          <w:lang w:val="en-CA"/>
        </w:rPr>
        <w:instrText xml:space="preserve"> NOTEREF _Ref211360808 \h  \* MERGEFORMAT </w:instrText>
      </w:r>
      <w:r>
        <w:rPr>
          <w:lang w:val="en-CA"/>
        </w:rPr>
      </w:r>
      <w:r>
        <w:rPr>
          <w:lang w:val="en-CA"/>
        </w:rPr>
        <w:fldChar w:fldCharType="separate"/>
      </w:r>
      <w:r>
        <w:rPr>
          <w:lang w:val="en-CA"/>
        </w:rPr>
        <w:t>203</w:t>
      </w:r>
      <w:r>
        <w:rPr>
          <w:lang w:val="en-CA"/>
        </w:rPr>
        <w:fldChar w:fldCharType="end"/>
      </w:r>
      <w:r w:rsidRPr="00FF1B50">
        <w:rPr>
          <w:lang w:val="en-CA"/>
        </w:rPr>
        <w:t>, at 1171 (“</w:t>
      </w:r>
      <w:r w:rsidRPr="00FF1B50">
        <w:t xml:space="preserve">Even if agency actions are reviewable, deference doctrines have developed that generally favor agency discretion and therefore foster White House influence.”). Query where these “deference doctrines” are headed in light of the Supreme Court’s recent jurisprudence; </w:t>
      </w:r>
      <w:r w:rsidRPr="00FF1B50">
        <w:rPr>
          <w:i/>
          <w:iCs/>
        </w:rPr>
        <w:t>see supra</w:t>
      </w:r>
      <w:r w:rsidRPr="00FF1B50">
        <w:t xml:space="preserve"> </w:t>
      </w:r>
      <w:r>
        <w:t xml:space="preserve">notes </w:t>
      </w:r>
      <w:r>
        <w:fldChar w:fldCharType="begin"/>
      </w:r>
      <w:r>
        <w:instrText xml:space="preserve"> NOTEREF _Ref211360914 \h  \* MERGEFORMAT </w:instrText>
      </w:r>
      <w:r>
        <w:fldChar w:fldCharType="separate"/>
      </w:r>
      <w:r>
        <w:t>272</w:t>
      </w:r>
      <w:r>
        <w:fldChar w:fldCharType="end"/>
      </w:r>
      <w:r>
        <w:t>-</w:t>
      </w:r>
      <w:r>
        <w:fldChar w:fldCharType="begin"/>
      </w:r>
      <w:r>
        <w:instrText xml:space="preserve"> NOTEREF _Ref211360373 \h  \* MERGEFORMAT </w:instrText>
      </w:r>
      <w:r>
        <w:fldChar w:fldCharType="separate"/>
      </w:r>
      <w:r>
        <w:t>277</w:t>
      </w:r>
      <w:r>
        <w:fldChar w:fldCharType="end"/>
      </w:r>
      <w:r>
        <w:t xml:space="preserve"> and accompanying text</w:t>
      </w:r>
      <w:r w:rsidRPr="00FF1B50">
        <w:t>.</w:t>
      </w:r>
    </w:p>
  </w:footnote>
  <w:footnote w:id="295">
    <w:p w14:paraId="4AF23F7B" w14:textId="600CC6FF" w:rsidR="00092031" w:rsidRPr="00FF1B50" w:rsidRDefault="00092031" w:rsidP="00092031">
      <w:pPr>
        <w:pStyle w:val="FootnoteText"/>
      </w:pPr>
      <w:r w:rsidRPr="00FF1B50">
        <w:rPr>
          <w:rStyle w:val="FootnoteReference"/>
          <w:rFonts w:cs="Times New Roman"/>
        </w:rPr>
        <w:footnoteRef/>
      </w:r>
      <w:r w:rsidRPr="00FF1B50">
        <w:t xml:space="preserve"> It may also be fruitful to adopt standards for voluntary remands, which federal courts reflexively grant. </w:t>
      </w:r>
      <w:r w:rsidRPr="00FF1B50">
        <w:rPr>
          <w:i/>
          <w:iCs/>
        </w:rPr>
        <w:t>See</w:t>
      </w:r>
      <w:r w:rsidRPr="00FF1B50">
        <w:t xml:space="preserve"> </w:t>
      </w:r>
      <w:r w:rsidRPr="00FF1B50">
        <w:rPr>
          <w:rFonts w:eastAsia="Quattrocento"/>
        </w:rPr>
        <w:t xml:space="preserve">Revesz, </w:t>
      </w:r>
      <w:r w:rsidRPr="00FF1B50">
        <w:rPr>
          <w:rFonts w:eastAsia="Quattrocento"/>
          <w:i/>
          <w:iCs/>
        </w:rPr>
        <w:t>supra</w:t>
      </w:r>
      <w:r w:rsidRPr="00FF1B50">
        <w:rPr>
          <w:rFonts w:eastAsia="Quattrocento"/>
        </w:rPr>
        <w:t xml:space="preserve"> note</w:t>
      </w:r>
      <w:r>
        <w:rPr>
          <w:rFonts w:eastAsia="Quattrocento"/>
        </w:rPr>
        <w:t xml:space="preserve"> </w:t>
      </w:r>
      <w:r>
        <w:rPr>
          <w:rFonts w:eastAsia="Quattrocento"/>
        </w:rPr>
        <w:fldChar w:fldCharType="begin"/>
      </w:r>
      <w:r>
        <w:rPr>
          <w:rFonts w:eastAsia="Quattrocento"/>
        </w:rPr>
        <w:instrText xml:space="preserve"> NOTEREF _Ref211360856 \h  \* MERGEFORMAT </w:instrText>
      </w:r>
      <w:r>
        <w:rPr>
          <w:rFonts w:eastAsia="Quattrocento"/>
        </w:rPr>
      </w:r>
      <w:r>
        <w:rPr>
          <w:rFonts w:eastAsia="Quattrocento"/>
        </w:rPr>
        <w:fldChar w:fldCharType="separate"/>
      </w:r>
      <w:r>
        <w:rPr>
          <w:rFonts w:eastAsia="Quattrocento"/>
        </w:rPr>
        <w:t>33</w:t>
      </w:r>
      <w:r>
        <w:rPr>
          <w:rFonts w:eastAsia="Quattrocento"/>
        </w:rPr>
        <w:fldChar w:fldCharType="end"/>
      </w:r>
      <w:r w:rsidRPr="00FF1B50">
        <w:rPr>
          <w:rFonts w:eastAsia="Quattrocento"/>
        </w:rPr>
        <w:t xml:space="preserve">, at </w:t>
      </w:r>
      <w:r w:rsidRPr="00FF1B50">
        <w:t>395-409 (observing courts’ current practice of granting voluntary remands and proposing reforms).</w:t>
      </w:r>
    </w:p>
  </w:footnote>
  <w:footnote w:id="296">
    <w:p w14:paraId="4A7A3A35"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McGourkey</w:t>
      </w:r>
      <w:r w:rsidRPr="00FF1B50">
        <w:t>, 146 U.S. at 544-45.</w:t>
      </w:r>
    </w:p>
  </w:footnote>
  <w:footnote w:id="297">
    <w:p w14:paraId="4E17EC0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at 545.</w:t>
      </w:r>
    </w:p>
  </w:footnote>
  <w:footnote w:id="298">
    <w:p w14:paraId="06C5B9A9" w14:textId="280FA8A4" w:rsidR="00092031" w:rsidRPr="00FF1B50" w:rsidRDefault="00092031" w:rsidP="00092031">
      <w:pPr>
        <w:pStyle w:val="FootnoteText"/>
      </w:pPr>
      <w:r w:rsidRPr="00FF1B50">
        <w:rPr>
          <w:rStyle w:val="FootnoteReference"/>
          <w:rFonts w:cs="Times New Roman"/>
        </w:rPr>
        <w:footnoteRef/>
      </w:r>
      <w:r w:rsidRPr="00FF1B50">
        <w:t xml:space="preserve"> Rule 54(b), 28 U.S.C. § 1292(b), and other avenues for appellate review apply to different orders and therefore serve different functions. </w:t>
      </w:r>
      <w:r w:rsidRPr="00FF1B50">
        <w:rPr>
          <w:i/>
          <w:iCs/>
        </w:rPr>
        <w:t>See, e.g.</w:t>
      </w:r>
      <w:r w:rsidRPr="00FF1B50">
        <w:t xml:space="preserve">, </w:t>
      </w:r>
      <w:r w:rsidRPr="00FF1B50">
        <w:rPr>
          <w:i/>
          <w:iCs/>
        </w:rPr>
        <w:t>Jeannette Sheet Glass Corp.</w:t>
      </w:r>
      <w:r w:rsidRPr="00FF1B50">
        <w:t>, 803 F.2d at 1581-83 (discussing differences between Rule 54(b) and collateral-order doctrine)</w:t>
      </w:r>
      <w:r>
        <w:t xml:space="preserve">; </w:t>
      </w:r>
      <w:r w:rsidRPr="00433443">
        <w:rPr>
          <w:i/>
          <w:iCs/>
        </w:rPr>
        <w:t>see also supra</w:t>
      </w:r>
      <w:r>
        <w:t xml:space="preserve"> notes </w:t>
      </w:r>
      <w:r>
        <w:fldChar w:fldCharType="begin"/>
      </w:r>
      <w:r>
        <w:instrText xml:space="preserve"> NOTEREF _Ref211360979 \h  \* MERGEFORMAT </w:instrText>
      </w:r>
      <w:r>
        <w:fldChar w:fldCharType="separate"/>
      </w:r>
      <w:r>
        <w:t>67</w:t>
      </w:r>
      <w:r>
        <w:fldChar w:fldCharType="end"/>
      </w:r>
      <w:r>
        <w:t xml:space="preserve">, </w:t>
      </w:r>
      <w:r>
        <w:fldChar w:fldCharType="begin"/>
      </w:r>
      <w:r>
        <w:instrText xml:space="preserve"> NOTEREF _Ref211359230 \h  \* MERGEFORMAT </w:instrText>
      </w:r>
      <w:r>
        <w:fldChar w:fldCharType="separate"/>
      </w:r>
      <w:r>
        <w:t>280</w:t>
      </w:r>
      <w:r>
        <w:fldChar w:fldCharType="end"/>
      </w:r>
      <w:r>
        <w:t xml:space="preserve"> (discussing Rule 54(b) and section 1292(b)).</w:t>
      </w:r>
    </w:p>
  </w:footnote>
  <w:footnote w:id="299">
    <w:p w14:paraId="6A702CF5" w14:textId="61479AC4"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_Ref211359069 \h  \* MERGEFORMAT </w:instrText>
      </w:r>
      <w:r>
        <w:fldChar w:fldCharType="separate"/>
      </w:r>
      <w:r>
        <w:t>132</w:t>
      </w:r>
      <w:r>
        <w:fldChar w:fldCharType="end"/>
      </w:r>
      <w:r>
        <w:t>-</w:t>
      </w:r>
      <w:r>
        <w:fldChar w:fldCharType="begin"/>
      </w:r>
      <w:r>
        <w:instrText xml:space="preserve"> NOTEREF _Ref211359114 \h  \* MERGEFORMAT </w:instrText>
      </w:r>
      <w:r>
        <w:fldChar w:fldCharType="separate"/>
      </w:r>
      <w:r>
        <w:t>194</w:t>
      </w:r>
      <w:r>
        <w:fldChar w:fldCharType="end"/>
      </w:r>
      <w:r w:rsidRPr="00FF1B50">
        <w:t xml:space="preserve"> and accompanying text.</w:t>
      </w:r>
    </w:p>
  </w:footnote>
  <w:footnote w:id="300">
    <w:p w14:paraId="6C79A56B" w14:textId="63BEFFE8"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_Ref211361063 \h  \* MERGEFORMAT </w:instrText>
      </w:r>
      <w:r>
        <w:fldChar w:fldCharType="separate"/>
      </w:r>
      <w:r>
        <w:t>127</w:t>
      </w:r>
      <w:r>
        <w:fldChar w:fldCharType="end"/>
      </w:r>
      <w:r>
        <w:t xml:space="preserve">, </w:t>
      </w:r>
      <w:r>
        <w:fldChar w:fldCharType="begin"/>
      </w:r>
      <w:r>
        <w:instrText xml:space="preserve"> NOTEREF _Ref211359069 \h  \* MERGEFORMAT </w:instrText>
      </w:r>
      <w:r>
        <w:fldChar w:fldCharType="separate"/>
      </w:r>
      <w:r>
        <w:t>132</w:t>
      </w:r>
      <w:r>
        <w:fldChar w:fldCharType="end"/>
      </w:r>
      <w:r>
        <w:t xml:space="preserve"> </w:t>
      </w:r>
      <w:r w:rsidRPr="00FF1B50">
        <w:t>and accompanying text.</w:t>
      </w:r>
    </w:p>
  </w:footnote>
  <w:footnote w:id="301">
    <w:p w14:paraId="11CBE1BA" w14:textId="316C4445" w:rsidR="00092031" w:rsidRPr="00FF1B50" w:rsidRDefault="00092031" w:rsidP="00092031">
      <w:pPr>
        <w:pStyle w:val="FootnoteText"/>
      </w:pPr>
      <w:r w:rsidRPr="00FF1B50">
        <w:rPr>
          <w:rStyle w:val="FootnoteReference"/>
          <w:rFonts w:cs="Times New Roman"/>
        </w:rPr>
        <w:footnoteRef/>
      </w:r>
      <w:r w:rsidRPr="00FF1B50">
        <w:t xml:space="preserve"> Lammon, </w:t>
      </w:r>
      <w:r w:rsidRPr="00FF1B50">
        <w:rPr>
          <w:i/>
          <w:iCs/>
        </w:rPr>
        <w:t>supra</w:t>
      </w:r>
      <w:r w:rsidRPr="00FF1B50">
        <w:t xml:space="preserve"> note</w:t>
      </w:r>
      <w:r>
        <w:t xml:space="preserve"> </w:t>
      </w:r>
      <w:r>
        <w:fldChar w:fldCharType="begin"/>
      </w:r>
      <w:r>
        <w:instrText xml:space="preserve"> NOTEREF _Ref211359331 \h  \* MERGEFORMAT </w:instrText>
      </w:r>
      <w:r>
        <w:fldChar w:fldCharType="separate"/>
      </w:r>
      <w:r>
        <w:t>13</w:t>
      </w:r>
      <w:r>
        <w:fldChar w:fldCharType="end"/>
      </w:r>
      <w:r w:rsidRPr="00FF1B50">
        <w:t xml:space="preserve">, </w:t>
      </w:r>
      <w:r w:rsidRPr="00FF1B50">
        <w:rPr>
          <w:rFonts w:eastAsia="Quattrocento"/>
        </w:rPr>
        <w:t xml:space="preserve">93 </w:t>
      </w:r>
      <w:r w:rsidRPr="00F6080E">
        <w:rPr>
          <w:rFonts w:eastAsia="Quattrocento"/>
          <w:smallCaps/>
        </w:rPr>
        <w:t>Wash. L. Rev.</w:t>
      </w:r>
      <w:r w:rsidRPr="00FF1B50">
        <w:rPr>
          <w:rFonts w:eastAsia="Quattrocento"/>
        </w:rPr>
        <w:t xml:space="preserve"> </w:t>
      </w:r>
      <w:r w:rsidRPr="00FF1B50">
        <w:t>at 1850-51.</w:t>
      </w:r>
    </w:p>
  </w:footnote>
  <w:footnote w:id="302">
    <w:p w14:paraId="559F469B" w14:textId="2183CE81"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 </w:t>
      </w:r>
      <w:r>
        <w:fldChar w:fldCharType="begin"/>
      </w:r>
      <w:r>
        <w:instrText xml:space="preserve"> NOTEREF _Ref211361135 \h  \* MERGEFORMAT </w:instrText>
      </w:r>
      <w:r>
        <w:fldChar w:fldCharType="separate"/>
      </w:r>
      <w:r>
        <w:t>163</w:t>
      </w:r>
      <w:r>
        <w:fldChar w:fldCharType="end"/>
      </w:r>
      <w:r>
        <w:t xml:space="preserve"> </w:t>
      </w:r>
      <w:r w:rsidRPr="00FF1B50">
        <w:t>and accompanying text.</w:t>
      </w:r>
    </w:p>
  </w:footnote>
  <w:footnote w:id="303">
    <w:p w14:paraId="5A647E53" w14:textId="5895F09F"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 </w:t>
      </w:r>
      <w:r>
        <w:fldChar w:fldCharType="begin"/>
      </w:r>
      <w:r>
        <w:instrText xml:space="preserve"> NOTEREF _Ref211360586 \h  \* MERGEFORMAT </w:instrText>
      </w:r>
      <w:r>
        <w:fldChar w:fldCharType="separate"/>
      </w:r>
      <w:r>
        <w:t>136</w:t>
      </w:r>
      <w:r>
        <w:fldChar w:fldCharType="end"/>
      </w:r>
      <w:r>
        <w:t xml:space="preserve"> </w:t>
      </w:r>
      <w:r w:rsidRPr="00FF1B50">
        <w:t>and accompanying text.</w:t>
      </w:r>
    </w:p>
  </w:footnote>
  <w:footnote w:id="304">
    <w:p w14:paraId="5C4F2412" w14:textId="39AC4781"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notes </w:t>
      </w:r>
      <w:r>
        <w:fldChar w:fldCharType="begin"/>
      </w:r>
      <w:r>
        <w:instrText xml:space="preserve"> NOTEREF _Ref211360586 \h  \* MERGEFORMAT </w:instrText>
      </w:r>
      <w:r>
        <w:fldChar w:fldCharType="separate"/>
      </w:r>
      <w:r>
        <w:t>136</w:t>
      </w:r>
      <w:r>
        <w:fldChar w:fldCharType="end"/>
      </w:r>
      <w:r>
        <w:t>-</w:t>
      </w:r>
      <w:r>
        <w:fldChar w:fldCharType="begin"/>
      </w:r>
      <w:r>
        <w:instrText xml:space="preserve"> NOTEREF _Ref211360593 \h  \* MERGEFORMAT </w:instrText>
      </w:r>
      <w:r>
        <w:fldChar w:fldCharType="separate"/>
      </w:r>
      <w:r>
        <w:t>137</w:t>
      </w:r>
      <w:r>
        <w:fldChar w:fldCharType="end"/>
      </w:r>
      <w:r>
        <w:t xml:space="preserve"> </w:t>
      </w:r>
      <w:r w:rsidRPr="00FF1B50">
        <w:t>and accompanying text.</w:t>
      </w:r>
      <w:r>
        <w:t xml:space="preserve"> Lammon argues that this factor—whether a case is essentially over—could form the basis of an “alternative approach” to determining finality for purposes of appeal. </w:t>
      </w:r>
      <w:r w:rsidRPr="004349FD">
        <w:t xml:space="preserve">Bryan Lammon, </w:t>
      </w:r>
      <w:r w:rsidRPr="004349FD">
        <w:rPr>
          <w:i/>
          <w:iCs/>
        </w:rPr>
        <w:t>Disarming the Finality Trap</w:t>
      </w:r>
      <w:r w:rsidRPr="004349FD">
        <w:t xml:space="preserve">, 97 </w:t>
      </w:r>
      <w:r w:rsidRPr="004349FD">
        <w:rPr>
          <w:smallCaps/>
        </w:rPr>
        <w:t>NYU L. Rev. Online</w:t>
      </w:r>
      <w:r w:rsidRPr="004349FD">
        <w:t xml:space="preserve"> 173, 190</w:t>
      </w:r>
      <w:r>
        <w:t>-93</w:t>
      </w:r>
      <w:r w:rsidRPr="004349FD">
        <w:t xml:space="preserve"> (2022)</w:t>
      </w:r>
      <w:r>
        <w:t xml:space="preserve">. </w:t>
      </w:r>
    </w:p>
  </w:footnote>
  <w:footnote w:id="305">
    <w:p w14:paraId="6327B249" w14:textId="2ED11AC3"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 </w:t>
      </w:r>
      <w:r>
        <w:fldChar w:fldCharType="begin"/>
      </w:r>
      <w:r>
        <w:instrText xml:space="preserve"> NOTEREF _Ref211361181 \h  \* MERGEFORMAT </w:instrText>
      </w:r>
      <w:r>
        <w:fldChar w:fldCharType="separate"/>
      </w:r>
      <w:r>
        <w:t>175</w:t>
      </w:r>
      <w:r>
        <w:fldChar w:fldCharType="end"/>
      </w:r>
      <w:r w:rsidRPr="00FF1B50">
        <w:t xml:space="preserve"> and accompanying text. I also agree with the Tenth Circuit that the type of agency decision at issue in a case (adversarial, legislative, or adjudicative) may help determine whether the administrative-remand rule should apply. </w:t>
      </w:r>
      <w:r w:rsidRPr="006B7BAE">
        <w:rPr>
          <w:i/>
          <w:iCs/>
        </w:rPr>
        <w:t xml:space="preserve">See </w:t>
      </w:r>
      <w:r>
        <w:rPr>
          <w:i/>
          <w:iCs/>
        </w:rPr>
        <w:t>supra</w:t>
      </w:r>
      <w:r>
        <w:t xml:space="preserve"> note </w:t>
      </w:r>
      <w:r>
        <w:fldChar w:fldCharType="begin"/>
      </w:r>
      <w:r>
        <w:instrText xml:space="preserve"> NOTEREF _Ref211360180 \h  \* MERGEFORMAT </w:instrText>
      </w:r>
      <w:r>
        <w:fldChar w:fldCharType="separate"/>
      </w:r>
      <w:r>
        <w:t>174</w:t>
      </w:r>
      <w:r>
        <w:fldChar w:fldCharType="end"/>
      </w:r>
      <w:r>
        <w:t xml:space="preserve"> and accompanying text. </w:t>
      </w:r>
      <w:r w:rsidRPr="00FF1B50">
        <w:t xml:space="preserve">But those distinctions can be confusing, and I wonder whether they may unwittingly cement undesirable asymmetries in the appealability of remands by different parties. </w:t>
      </w:r>
    </w:p>
  </w:footnote>
  <w:footnote w:id="306">
    <w:p w14:paraId="04EF7C01" w14:textId="77777777" w:rsidR="00092031" w:rsidRPr="00FF1B50" w:rsidRDefault="00092031" w:rsidP="00092031">
      <w:pPr>
        <w:pStyle w:val="FootnoteText"/>
      </w:pPr>
      <w:r w:rsidRPr="00FF1B50">
        <w:rPr>
          <w:rStyle w:val="FootnoteReference"/>
          <w:rFonts w:cs="Times New Roman"/>
        </w:rPr>
        <w:footnoteRef/>
      </w:r>
      <w:r w:rsidRPr="00FF1B50">
        <w:t xml:space="preserve"> The Tenth Circuit explicitly linked “urgency” with irreparable harm in </w:t>
      </w:r>
      <w:r w:rsidRPr="00FF1B50">
        <w:rPr>
          <w:i/>
          <w:iCs/>
        </w:rPr>
        <w:t>Southern Utah Wilderness Alliance</w:t>
      </w:r>
      <w:r w:rsidRPr="00FF1B50">
        <w:t>, 525 F.3d at 970.</w:t>
      </w:r>
    </w:p>
  </w:footnote>
  <w:footnote w:id="307">
    <w:p w14:paraId="7274F1E6" w14:textId="77777777" w:rsidR="00092031" w:rsidRPr="00FF1B50" w:rsidRDefault="00092031" w:rsidP="00092031">
      <w:pPr>
        <w:pStyle w:val="FootnoteText"/>
      </w:pPr>
      <w:r w:rsidRPr="00FF1B50">
        <w:rPr>
          <w:rStyle w:val="FootnoteReference"/>
          <w:rFonts w:cs="Times New Roman"/>
        </w:rPr>
        <w:footnoteRef/>
      </w:r>
      <w:r w:rsidRPr="00FF1B50">
        <w:t xml:space="preserve"> As the Tenth Circuit implicitly recognized long ago, few remands are truly separable from the merits, as the collateral-order doctrine traditionally requires. </w:t>
      </w:r>
      <w:r w:rsidRPr="00FF1B50">
        <w:rPr>
          <w:i/>
          <w:iCs/>
        </w:rPr>
        <w:t>Bender</w:t>
      </w:r>
      <w:r w:rsidRPr="00FF1B50">
        <w:t xml:space="preserve">, 744 F.2d at 1427. More commonly, remands resolve one merits issue that is separable from others. </w:t>
      </w:r>
      <w:r w:rsidRPr="00FF1B50">
        <w:rPr>
          <w:i/>
          <w:iCs/>
        </w:rPr>
        <w:t>See, e.g.</w:t>
      </w:r>
      <w:r w:rsidRPr="00FF1B50">
        <w:t xml:space="preserve">, </w:t>
      </w:r>
      <w:r w:rsidRPr="00FF1B50">
        <w:rPr>
          <w:i/>
          <w:iCs/>
        </w:rPr>
        <w:t>Littlefield</w:t>
      </w:r>
      <w:r w:rsidRPr="00FF1B50">
        <w:t>, 951 F.3d at 36 (remand flowing from summary judgment for plaintiffs on their first cause of action was “separable,” allowing tribal defendants to appeal). Thus, for APA remands, “separability” is appropriately construed loosely.</w:t>
      </w:r>
    </w:p>
  </w:footnote>
  <w:footnote w:id="308">
    <w:p w14:paraId="0B7105F6" w14:textId="3E16946E" w:rsidR="00092031" w:rsidRPr="00FF1B50" w:rsidRDefault="00092031" w:rsidP="00092031">
      <w:pPr>
        <w:pStyle w:val="FootnoteText"/>
      </w:pPr>
      <w:r w:rsidRPr="00FF1B50">
        <w:rPr>
          <w:rStyle w:val="FootnoteReference"/>
          <w:rFonts w:cs="Times New Roman"/>
        </w:rPr>
        <w:footnoteRef/>
      </w:r>
      <w:r w:rsidRPr="00FF1B50">
        <w:t xml:space="preserve"> Except that, under my proposal, as under the current rule, agencies would always be allowed to appeal remands. This change would slightly loosen the current rule with respect to agencies. </w:t>
      </w:r>
      <w:r w:rsidRPr="00FF1B50">
        <w:rPr>
          <w:i/>
          <w:iCs/>
        </w:rPr>
        <w:t>See supra</w:t>
      </w:r>
      <w:r w:rsidRPr="00FF1B50">
        <w:t xml:space="preserve"> notes</w:t>
      </w:r>
      <w:r>
        <w:t xml:space="preserve"> </w:t>
      </w:r>
      <w:r>
        <w:fldChar w:fldCharType="begin"/>
      </w:r>
      <w:r>
        <w:instrText xml:space="preserve"> NOTEREF _Ref211359531 \h  \* MERGEFORMAT </w:instrText>
      </w:r>
      <w:r>
        <w:fldChar w:fldCharType="separate"/>
      </w:r>
      <w:r>
        <w:t>115</w:t>
      </w:r>
      <w:r>
        <w:fldChar w:fldCharType="end"/>
      </w:r>
      <w:r>
        <w:t xml:space="preserve">, </w:t>
      </w:r>
      <w:r>
        <w:fldChar w:fldCharType="begin"/>
      </w:r>
      <w:r>
        <w:instrText xml:space="preserve"> NOTEREF _Ref211361227 \h  \* MERGEFORMAT </w:instrText>
      </w:r>
      <w:r>
        <w:fldChar w:fldCharType="separate"/>
      </w:r>
      <w:r>
        <w:t>178</w:t>
      </w:r>
      <w:r>
        <w:fldChar w:fldCharType="end"/>
      </w:r>
      <w:r>
        <w:t xml:space="preserve"> </w:t>
      </w:r>
      <w:r w:rsidRPr="00FF1B50">
        <w:t>(citing the few post-1990 cases in which courts have held or suggested that agencies could not appeal remands).</w:t>
      </w:r>
    </w:p>
  </w:footnote>
  <w:footnote w:id="309">
    <w:p w14:paraId="09FE5628"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Mohawk Indus., Inc.</w:t>
      </w:r>
      <w:r w:rsidRPr="00FF1B50">
        <w:t xml:space="preserve">, 558 U.S. at 112-14; </w:t>
      </w:r>
      <w:r w:rsidRPr="00FF1B50">
        <w:rPr>
          <w:i/>
          <w:iCs/>
        </w:rPr>
        <w:t>Digital Equip. Corp.</w:t>
      </w:r>
      <w:r w:rsidRPr="00FF1B50">
        <w:t xml:space="preserve">, 511 U.S. at 868 (We “have warned that the issue of appealability under § 1291 is to be determined for the entire category to which a claim belongs, without regard to the chance that the litigation at hand might be speeded, or a particular </w:t>
      </w:r>
      <w:proofErr w:type="spellStart"/>
      <w:r w:rsidRPr="00FF1B50">
        <w:t>injustic</w:t>
      </w:r>
      <w:proofErr w:type="spellEnd"/>
      <w:r w:rsidRPr="00FF1B50">
        <w:t>[e] averted.”).</w:t>
      </w:r>
    </w:p>
  </w:footnote>
  <w:footnote w:id="310">
    <w:p w14:paraId="7D3C0150" w14:textId="77777777" w:rsidR="00092031" w:rsidRPr="00FF1B50" w:rsidRDefault="00092031" w:rsidP="00092031">
      <w:pPr>
        <w:pStyle w:val="FootnoteText"/>
      </w:pPr>
      <w:r w:rsidRPr="00FF1B50">
        <w:rPr>
          <w:rStyle w:val="FootnoteReference"/>
          <w:rFonts w:cs="Times New Roman"/>
        </w:rPr>
        <w:footnoteRef/>
      </w:r>
      <w:r w:rsidRPr="00FF1B50">
        <w:t xml:space="preserve"> Famous last words? </w:t>
      </w:r>
      <w:r w:rsidRPr="00FF1B50">
        <w:rPr>
          <w:i/>
          <w:iCs/>
        </w:rPr>
        <w:t>Federal Practice and Procedure</w:t>
      </w:r>
      <w:r w:rsidRPr="00FF1B50">
        <w:t xml:space="preserve"> and others would no doubt think so. </w:t>
      </w:r>
      <w:r w:rsidRPr="00FF1B50">
        <w:rPr>
          <w:i/>
          <w:iCs/>
        </w:rPr>
        <w:t>See, e.g.</w:t>
      </w:r>
      <w:r w:rsidRPr="00FF1B50">
        <w:t xml:space="preserve">, 15B Fed. </w:t>
      </w:r>
      <w:proofErr w:type="spellStart"/>
      <w:r w:rsidRPr="00FF1B50">
        <w:t>Prac</w:t>
      </w:r>
      <w:proofErr w:type="spellEnd"/>
      <w:r w:rsidRPr="00FF1B50">
        <w:t xml:space="preserve">. &amp; Proc. Juris. § 3914.32 (“It would be nearly as difficult to administer a collateral order appeal doctrine relying on a case-by-case assessment of the probable burdens imposed by further administrative proceedings.”); 15A Fed. </w:t>
      </w:r>
      <w:proofErr w:type="spellStart"/>
      <w:r w:rsidRPr="00FF1B50">
        <w:t>Prac</w:t>
      </w:r>
      <w:proofErr w:type="spellEnd"/>
      <w:r w:rsidRPr="00FF1B50">
        <w:t>. &amp; Proc. Juris. § 3913 (“</w:t>
      </w:r>
      <w:r w:rsidRPr="00FF1B50">
        <w:rPr>
          <w:color w:val="000000"/>
        </w:rPr>
        <w:t>Undoubtedly there are cases in which allowing appeal from orders not now deemed appealable would improve the administration of justice. The total number of such cases is no doubt substantial. An open-ended balancing approach to finality, however, would undermine the residual clarity that has been the most important virtue of finality doctrine.”).</w:t>
      </w:r>
    </w:p>
  </w:footnote>
  <w:footnote w:id="311">
    <w:p w14:paraId="020B5087" w14:textId="77777777" w:rsidR="00092031" w:rsidRPr="00FF1B50" w:rsidRDefault="00092031" w:rsidP="00092031">
      <w:pPr>
        <w:pStyle w:val="FootnoteText"/>
        <w:rPr>
          <w:i/>
          <w:iCs/>
        </w:rPr>
      </w:pPr>
      <w:r w:rsidRPr="00FF1B50">
        <w:rPr>
          <w:rStyle w:val="FootnoteReference"/>
          <w:rFonts w:cs="Times New Roman"/>
        </w:rPr>
        <w:footnoteRef/>
      </w:r>
      <w:r w:rsidRPr="00FF1B50">
        <w:t xml:space="preserve"> </w:t>
      </w:r>
      <w:r w:rsidRPr="00FF1B50">
        <w:rPr>
          <w:i/>
          <w:iCs/>
        </w:rPr>
        <w:t>Travelstead</w:t>
      </w:r>
      <w:r w:rsidRPr="00FF1B50">
        <w:t xml:space="preserve">, 978 F.2d at 1249. Interestingly the Federal Circuit credited </w:t>
      </w:r>
      <w:r w:rsidRPr="00FF1B50">
        <w:rPr>
          <w:i/>
          <w:iCs/>
        </w:rPr>
        <w:t>Finkelstein</w:t>
      </w:r>
      <w:r w:rsidRPr="00FF1B50">
        <w:t xml:space="preserve"> with this insight. </w:t>
      </w:r>
      <w:r w:rsidRPr="00FF1B50">
        <w:rPr>
          <w:i/>
          <w:iCs/>
        </w:rPr>
        <w:t>Id.</w:t>
      </w:r>
    </w:p>
  </w:footnote>
  <w:footnote w:id="312">
    <w:p w14:paraId="071D0544" w14:textId="034914C9" w:rsidR="00092031" w:rsidRPr="00FF1B50" w:rsidRDefault="00092031" w:rsidP="00092031">
      <w:pPr>
        <w:pStyle w:val="FootnoteText"/>
      </w:pPr>
      <w:r w:rsidRPr="00FF1B50">
        <w:rPr>
          <w:rStyle w:val="FootnoteReference"/>
          <w:rFonts w:cs="Times New Roman"/>
        </w:rPr>
        <w:footnoteRef/>
      </w:r>
      <w:r w:rsidRPr="00FF1B50">
        <w:t xml:space="preserve"> Heppner, </w:t>
      </w:r>
      <w:r w:rsidRPr="00FF1B50">
        <w:rPr>
          <w:i/>
          <w:iCs/>
        </w:rPr>
        <w:t>supra</w:t>
      </w:r>
      <w:r w:rsidRPr="00FF1B50">
        <w:t xml:space="preserve"> note</w:t>
      </w:r>
      <w:r>
        <w:t xml:space="preserve"> </w:t>
      </w:r>
      <w:r>
        <w:fldChar w:fldCharType="begin"/>
      </w:r>
      <w:r>
        <w:instrText xml:space="preserve"> NOTEREF _Ref211359026 \h  \* MERGEFORMAT </w:instrText>
      </w:r>
      <w:r>
        <w:fldChar w:fldCharType="separate"/>
      </w:r>
      <w:r>
        <w:t>51</w:t>
      </w:r>
      <w:r>
        <w:fldChar w:fldCharType="end"/>
      </w:r>
      <w:r w:rsidRPr="00FF1B50">
        <w:t>, at 399.</w:t>
      </w:r>
    </w:p>
  </w:footnote>
  <w:footnote w:id="313">
    <w:p w14:paraId="7F5FBA59"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w:t>
      </w:r>
    </w:p>
  </w:footnote>
  <w:footnote w:id="314">
    <w:p w14:paraId="167CE575" w14:textId="25AF07D0"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supra</w:t>
      </w:r>
      <w:r w:rsidRPr="00FF1B50">
        <w:t xml:space="preserve"> </w:t>
      </w:r>
      <w:r>
        <w:t xml:space="preserve">note </w:t>
      </w:r>
      <w:r>
        <w:fldChar w:fldCharType="begin"/>
      </w:r>
      <w:r>
        <w:instrText xml:space="preserve"> NOTEREF _Ref211361268 \h  \* MERGEFORMAT </w:instrText>
      </w:r>
      <w:r>
        <w:fldChar w:fldCharType="separate"/>
      </w:r>
      <w:r>
        <w:t>269</w:t>
      </w:r>
      <w:r>
        <w:fldChar w:fldCharType="end"/>
      </w:r>
      <w:r>
        <w:t xml:space="preserve"> and accompanying text</w:t>
      </w:r>
      <w:r w:rsidRPr="00FF1B50">
        <w:t>.</w:t>
      </w:r>
    </w:p>
  </w:footnote>
  <w:footnote w:id="315">
    <w:p w14:paraId="507B6ABB" w14:textId="05C0FE07" w:rsidR="00092031" w:rsidRPr="00FF1B50" w:rsidRDefault="00092031" w:rsidP="00092031">
      <w:pPr>
        <w:pStyle w:val="FootnoteText"/>
      </w:pPr>
      <w:r w:rsidRPr="00FF1B50">
        <w:rPr>
          <w:rStyle w:val="FootnoteReference"/>
          <w:rFonts w:cs="Times New Roman"/>
        </w:rPr>
        <w:footnoteRef/>
      </w:r>
      <w:r w:rsidRPr="00103F60">
        <w:rPr>
          <w:lang w:val="pl-PL"/>
        </w:rPr>
        <w:t xml:space="preserve"> 15B </w:t>
      </w:r>
      <w:proofErr w:type="spellStart"/>
      <w:r w:rsidRPr="00103F60">
        <w:rPr>
          <w:lang w:val="pl-PL"/>
        </w:rPr>
        <w:t>Fed</w:t>
      </w:r>
      <w:proofErr w:type="spellEnd"/>
      <w:r w:rsidRPr="00103F60">
        <w:rPr>
          <w:lang w:val="pl-PL"/>
        </w:rPr>
        <w:t xml:space="preserve">. Prac. &amp; Proc. </w:t>
      </w:r>
      <w:proofErr w:type="spellStart"/>
      <w:r w:rsidRPr="00103F60">
        <w:rPr>
          <w:lang w:val="pl-PL"/>
        </w:rPr>
        <w:t>Juris</w:t>
      </w:r>
      <w:proofErr w:type="spellEnd"/>
      <w:r w:rsidRPr="00103F60">
        <w:rPr>
          <w:lang w:val="pl-PL"/>
        </w:rPr>
        <w:t xml:space="preserve">. </w:t>
      </w:r>
      <w:r w:rsidRPr="00FF1B50">
        <w:t xml:space="preserve">§ 3914.32; </w:t>
      </w:r>
      <w:r w:rsidRPr="00FF1B50">
        <w:rPr>
          <w:i/>
          <w:iCs/>
        </w:rPr>
        <w:t>see also supra</w:t>
      </w:r>
      <w:r w:rsidRPr="00FF1B50">
        <w:t xml:space="preserve"> </w:t>
      </w:r>
      <w:r>
        <w:t xml:space="preserve">notes </w:t>
      </w:r>
      <w:r>
        <w:fldChar w:fldCharType="begin"/>
      </w:r>
      <w:r>
        <w:instrText xml:space="preserve"> NOTEREF _Ref211361282 \h  \* MERGEFORMAT </w:instrText>
      </w:r>
      <w:r>
        <w:fldChar w:fldCharType="separate"/>
      </w:r>
      <w:r>
        <w:t>282</w:t>
      </w:r>
      <w:r>
        <w:fldChar w:fldCharType="end"/>
      </w:r>
      <w:r>
        <w:t>-</w:t>
      </w:r>
      <w:r>
        <w:fldChar w:fldCharType="begin"/>
      </w:r>
      <w:r>
        <w:instrText xml:space="preserve"> NOTEREF _Ref211361289 \h  \* MERGEFORMAT </w:instrText>
      </w:r>
      <w:r>
        <w:fldChar w:fldCharType="separate"/>
      </w:r>
      <w:r>
        <w:t>287</w:t>
      </w:r>
      <w:r>
        <w:fldChar w:fldCharType="end"/>
      </w:r>
      <w:r>
        <w:t xml:space="preserve"> </w:t>
      </w:r>
      <w:r w:rsidRPr="00FF1B50">
        <w:t>and accompanying text.</w:t>
      </w:r>
    </w:p>
  </w:footnote>
  <w:footnote w:id="316">
    <w:p w14:paraId="29BA6EBD" w14:textId="78FEDD7D"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See also supra</w:t>
      </w:r>
      <w:r w:rsidRPr="00FF1B50">
        <w:t xml:space="preserve"> </w:t>
      </w:r>
      <w:r>
        <w:t xml:space="preserve">notes </w:t>
      </w:r>
      <w:r>
        <w:fldChar w:fldCharType="begin"/>
      </w:r>
      <w:r>
        <w:instrText xml:space="preserve"> NOTEREF _Ref211359230 \h  \* MERGEFORMAT </w:instrText>
      </w:r>
      <w:r>
        <w:fldChar w:fldCharType="separate"/>
      </w:r>
      <w:r>
        <w:t>280</w:t>
      </w:r>
      <w:r>
        <w:fldChar w:fldCharType="end"/>
      </w:r>
      <w:r>
        <w:t>-</w:t>
      </w:r>
      <w:r>
        <w:fldChar w:fldCharType="begin"/>
      </w:r>
      <w:r>
        <w:instrText xml:space="preserve"> NOTEREF _Ref211361305 \h  \* MERGEFORMAT </w:instrText>
      </w:r>
      <w:r>
        <w:fldChar w:fldCharType="separate"/>
      </w:r>
      <w:r>
        <w:t>281</w:t>
      </w:r>
      <w:r>
        <w:fldChar w:fldCharType="end"/>
      </w:r>
      <w:r>
        <w:t xml:space="preserve"> </w:t>
      </w:r>
      <w:r w:rsidRPr="00FF1B50">
        <w:t>and accompanying text.</w:t>
      </w:r>
    </w:p>
  </w:footnote>
  <w:footnote w:id="317">
    <w:p w14:paraId="7037043A" w14:textId="6484012A"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rPr>
        <w:t xml:space="preserve">Lammon, </w:t>
      </w:r>
      <w:r w:rsidRPr="00FF1B50">
        <w:rPr>
          <w:rFonts w:eastAsia="Quattrocento"/>
          <w:i/>
          <w:iCs/>
        </w:rPr>
        <w:t>supra</w:t>
      </w:r>
      <w:r w:rsidRPr="00FF1B50">
        <w:rPr>
          <w:rFonts w:eastAsia="Quattrocento"/>
        </w:rPr>
        <w:t xml:space="preserve"> note</w:t>
      </w:r>
      <w:r>
        <w:rPr>
          <w:rFonts w:eastAsia="Quattrocento"/>
        </w:rPr>
        <w:t xml:space="preserve"> </w:t>
      </w:r>
      <w:r>
        <w:rPr>
          <w:rFonts w:eastAsia="Quattrocento"/>
        </w:rPr>
        <w:fldChar w:fldCharType="begin"/>
      </w:r>
      <w:r>
        <w:rPr>
          <w:rFonts w:eastAsia="Quattrocento"/>
        </w:rPr>
        <w:instrText xml:space="preserve"> NOTEREF _Ref211359331 \h  \* MERGEFORMAT </w:instrText>
      </w:r>
      <w:r>
        <w:rPr>
          <w:rFonts w:eastAsia="Quattrocento"/>
        </w:rPr>
      </w:r>
      <w:r>
        <w:rPr>
          <w:rFonts w:eastAsia="Quattrocento"/>
        </w:rPr>
        <w:fldChar w:fldCharType="separate"/>
      </w:r>
      <w:r>
        <w:rPr>
          <w:rFonts w:eastAsia="Quattrocento"/>
        </w:rPr>
        <w:t>13</w:t>
      </w:r>
      <w:r>
        <w:rPr>
          <w:rFonts w:eastAsia="Quattrocento"/>
        </w:rPr>
        <w:fldChar w:fldCharType="end"/>
      </w:r>
      <w:r w:rsidRPr="00FF1B50">
        <w:rPr>
          <w:rFonts w:eastAsia="Quattrocento"/>
        </w:rPr>
        <w:t xml:space="preserve">, 51 </w:t>
      </w:r>
      <w:r w:rsidRPr="00FF1B50">
        <w:rPr>
          <w:rFonts w:eastAsia="Quattrocento"/>
          <w:smallCaps/>
        </w:rPr>
        <w:t>U. Rich. L. Rev</w:t>
      </w:r>
      <w:r w:rsidRPr="00FF1B50">
        <w:rPr>
          <w:rFonts w:eastAsia="Quattrocento"/>
        </w:rPr>
        <w:t xml:space="preserve">. at </w:t>
      </w:r>
      <w:r w:rsidRPr="00FF1B50">
        <w:t>374.</w:t>
      </w:r>
    </w:p>
  </w:footnote>
  <w:footnote w:id="318">
    <w:p w14:paraId="09AA0E6C"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rFonts w:eastAsia="Quattrocento"/>
          <w:i/>
          <w:iCs/>
        </w:rPr>
        <w:t>Id</w:t>
      </w:r>
      <w:r w:rsidRPr="00FF1B50">
        <w:t>.</w:t>
      </w:r>
    </w:p>
  </w:footnote>
  <w:footnote w:id="319">
    <w:p w14:paraId="5BF8078B" w14:textId="77777777" w:rsidR="00092031" w:rsidRPr="00FF1B50" w:rsidRDefault="00092031" w:rsidP="00092031">
      <w:pPr>
        <w:pStyle w:val="FootnoteText"/>
      </w:pPr>
      <w:r w:rsidRPr="00FF1B50">
        <w:rPr>
          <w:rStyle w:val="FootnoteReference"/>
          <w:rFonts w:cs="Times New Roman"/>
        </w:rPr>
        <w:footnoteRef/>
      </w:r>
      <w:r w:rsidRPr="00FF1B50">
        <w:t xml:space="preserve"> Perhaps I am too skeptical; Congress has created special appellate jurisdiction statutes for bankruptcy cases (28 U.S.C. § 158(d)), habeas cases (28 U.S.C. § 2253), the Federal Circuit (e.g., 28 U.S.C. § 1295, 38 U.S.C. § 7291), and in other contexts. </w:t>
      </w:r>
    </w:p>
  </w:footnote>
  <w:footnote w:id="320">
    <w:p w14:paraId="5546562E" w14:textId="372D92BB" w:rsidR="00092031" w:rsidRPr="00FF1B50" w:rsidRDefault="00092031" w:rsidP="00092031">
      <w:pPr>
        <w:pStyle w:val="FootnoteText"/>
      </w:pPr>
      <w:r w:rsidRPr="00FF1B50">
        <w:rPr>
          <w:rStyle w:val="FootnoteReference"/>
          <w:rFonts w:cs="Times New Roman"/>
        </w:rPr>
        <w:footnoteRef/>
      </w:r>
      <w:r w:rsidRPr="00FF1B50">
        <w:t xml:space="preserve"> Lammon, </w:t>
      </w:r>
      <w:r w:rsidRPr="00FF1B50">
        <w:rPr>
          <w:rFonts w:eastAsia="Quattrocento"/>
          <w:i/>
          <w:iCs/>
        </w:rPr>
        <w:t>supra</w:t>
      </w:r>
      <w:r w:rsidRPr="00FF1B50">
        <w:rPr>
          <w:rFonts w:eastAsia="Quattrocento"/>
        </w:rPr>
        <w:t xml:space="preserve"> note</w:t>
      </w:r>
      <w:r>
        <w:rPr>
          <w:rFonts w:eastAsia="Quattrocento"/>
        </w:rPr>
        <w:t xml:space="preserve"> </w:t>
      </w:r>
      <w:r>
        <w:rPr>
          <w:rFonts w:eastAsia="Quattrocento"/>
        </w:rPr>
        <w:fldChar w:fldCharType="begin"/>
      </w:r>
      <w:r>
        <w:rPr>
          <w:rFonts w:eastAsia="Quattrocento"/>
        </w:rPr>
        <w:instrText xml:space="preserve"> NOTEREF _Ref211359331 \h  \* MERGEFORMAT </w:instrText>
      </w:r>
      <w:r>
        <w:rPr>
          <w:rFonts w:eastAsia="Quattrocento"/>
        </w:rPr>
      </w:r>
      <w:r>
        <w:rPr>
          <w:rFonts w:eastAsia="Quattrocento"/>
        </w:rPr>
        <w:fldChar w:fldCharType="separate"/>
      </w:r>
      <w:r>
        <w:rPr>
          <w:rFonts w:eastAsia="Quattrocento"/>
        </w:rPr>
        <w:t>13</w:t>
      </w:r>
      <w:r>
        <w:rPr>
          <w:rFonts w:eastAsia="Quattrocento"/>
        </w:rPr>
        <w:fldChar w:fldCharType="end"/>
      </w:r>
      <w:r w:rsidRPr="00FF1B50">
        <w:t xml:space="preserve">, </w:t>
      </w:r>
      <w:r w:rsidRPr="00FF1B50">
        <w:rPr>
          <w:rFonts w:eastAsia="Quattrocento"/>
        </w:rPr>
        <w:t xml:space="preserve">93 </w:t>
      </w:r>
      <w:r w:rsidRPr="00F6080E">
        <w:rPr>
          <w:rFonts w:eastAsia="Quattrocento"/>
          <w:smallCaps/>
        </w:rPr>
        <w:t>Wash. L. Rev.</w:t>
      </w:r>
      <w:r w:rsidRPr="00FF1B50">
        <w:rPr>
          <w:rFonts w:eastAsia="Quattrocento"/>
        </w:rPr>
        <w:t xml:space="preserve"> </w:t>
      </w:r>
      <w:r w:rsidRPr="00FF1B50">
        <w:t xml:space="preserve">at 1851; </w:t>
      </w:r>
      <w:r w:rsidRPr="00FF1B50">
        <w:rPr>
          <w:i/>
          <w:iCs/>
        </w:rPr>
        <w:t>see</w:t>
      </w:r>
      <w:r w:rsidRPr="00FF1B50">
        <w:t xml:space="preserve"> 28 U.S.C. § 2702(c) (“Such rules [prescribed under subsection (a), concerning “practice and procedure . . . for cases in the United States district courts (including proceedings before magistrate judges thereof) and courts of appeals”] may define when a ruling of a district court is final for the purposes of appeal under section 1291 of this title.”).</w:t>
      </w:r>
    </w:p>
  </w:footnote>
  <w:footnote w:id="321">
    <w:p w14:paraId="06651821" w14:textId="77777777"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Id</w:t>
      </w:r>
      <w:r w:rsidRPr="00FF1B50">
        <w:t xml:space="preserve">.; </w:t>
      </w:r>
      <w:r w:rsidRPr="00FF1B50">
        <w:rPr>
          <w:i/>
          <w:iCs/>
        </w:rPr>
        <w:t>see</w:t>
      </w:r>
      <w:r w:rsidRPr="00FF1B50">
        <w:t xml:space="preserve"> 28 U.S.C. § 1292(e) (“The Supreme Court may prescribe rules, in accordance with section 2072 of this title, to provide for an appeal of an interlocutory decision to the courts of appeals that is not otherwise provided for under subsection (a), (b), (c), or (d).”).</w:t>
      </w:r>
    </w:p>
  </w:footnote>
  <w:footnote w:id="322">
    <w:p w14:paraId="6F5B4F4D" w14:textId="6A62EE0B" w:rsidR="00092031" w:rsidRPr="00FF1B50" w:rsidRDefault="00092031" w:rsidP="00092031">
      <w:pPr>
        <w:pStyle w:val="FootnoteText"/>
      </w:pPr>
      <w:r w:rsidRPr="00FF1B50">
        <w:rPr>
          <w:rStyle w:val="FootnoteReference"/>
          <w:rFonts w:cs="Times New Roman"/>
        </w:rPr>
        <w:footnoteRef/>
      </w:r>
      <w:r w:rsidRPr="00FF1B50">
        <w:t xml:space="preserve"> Christopher J. Walker &amp; James R. Saywell, </w:t>
      </w:r>
      <w:r w:rsidRPr="00FF1B50">
        <w:rPr>
          <w:i/>
          <w:iCs/>
        </w:rPr>
        <w:t>Remand and Dialogue in Administrative Law</w:t>
      </w:r>
      <w:r w:rsidRPr="00FF1B50">
        <w:t xml:space="preserve">, 89 </w:t>
      </w:r>
      <w:r w:rsidRPr="00FF1B50">
        <w:rPr>
          <w:smallCaps/>
        </w:rPr>
        <w:t>Geo. Wash. L. Rev.</w:t>
      </w:r>
      <w:r w:rsidRPr="00FF1B50">
        <w:t xml:space="preserve"> 1198, 1218-22 (2021); </w:t>
      </w:r>
      <w:r w:rsidRPr="00FF1B50">
        <w:rPr>
          <w:i/>
          <w:iCs/>
        </w:rPr>
        <w:t>see also</w:t>
      </w:r>
      <w:r w:rsidRPr="00FF1B50">
        <w:t xml:space="preserve"> Walker, </w:t>
      </w:r>
      <w:r w:rsidRPr="00FF1B50">
        <w:rPr>
          <w:i/>
          <w:iCs/>
        </w:rPr>
        <w:t>supra</w:t>
      </w:r>
      <w:r w:rsidRPr="00FF1B50">
        <w:t xml:space="preserve"> note </w:t>
      </w:r>
      <w:r>
        <w:fldChar w:fldCharType="begin"/>
      </w:r>
      <w:r>
        <w:instrText xml:space="preserve"> NOTEREF _Ref211360642 \h  \* MERGEFORMAT </w:instrText>
      </w:r>
      <w:r>
        <w:fldChar w:fldCharType="separate"/>
      </w:r>
      <w:r>
        <w:t>31</w:t>
      </w:r>
      <w:r>
        <w:fldChar w:fldCharType="end"/>
      </w:r>
      <w:r w:rsidRPr="00FF1B50">
        <w:t>,</w:t>
      </w:r>
      <w:r>
        <w:t xml:space="preserve"> </w:t>
      </w:r>
      <w:r w:rsidRPr="00FF1B50">
        <w:t xml:space="preserve">101 </w:t>
      </w:r>
      <w:r w:rsidRPr="00FF1B50">
        <w:rPr>
          <w:smallCaps/>
        </w:rPr>
        <w:t>Iowa L. Rev. Online</w:t>
      </w:r>
      <w:r w:rsidRPr="00FF1B50">
        <w:t xml:space="preserve"> at 88.</w:t>
      </w:r>
    </w:p>
  </w:footnote>
  <w:footnote w:id="323">
    <w:p w14:paraId="1CFE2859" w14:textId="7052FB3A" w:rsidR="00092031" w:rsidRPr="00FF1B50" w:rsidRDefault="00092031" w:rsidP="00092031">
      <w:pPr>
        <w:pStyle w:val="FootnoteText"/>
      </w:pPr>
      <w:r w:rsidRPr="00FF1B50">
        <w:rPr>
          <w:rStyle w:val="FootnoteReference"/>
          <w:rFonts w:cs="Times New Roman"/>
        </w:rPr>
        <w:footnoteRef/>
      </w:r>
      <w:r w:rsidRPr="00FF1B50">
        <w:t xml:space="preserve"> Bagley, </w:t>
      </w:r>
      <w:r w:rsidRPr="00FF1B50">
        <w:rPr>
          <w:i/>
          <w:iCs/>
        </w:rPr>
        <w:t>supra</w:t>
      </w:r>
      <w:r w:rsidRPr="00FF1B50">
        <w:t xml:space="preserve"> note</w:t>
      </w:r>
      <w:r>
        <w:t xml:space="preserve"> </w:t>
      </w:r>
      <w:r>
        <w:fldChar w:fldCharType="begin"/>
      </w:r>
      <w:r>
        <w:instrText xml:space="preserve"> NOTEREF _Ref211360390 \h  \* MERGEFORMAT </w:instrText>
      </w:r>
      <w:r>
        <w:fldChar w:fldCharType="separate"/>
      </w:r>
      <w:r>
        <w:t>30</w:t>
      </w:r>
      <w:r>
        <w:fldChar w:fldCharType="end"/>
      </w:r>
      <w:r w:rsidRPr="00FF1B50">
        <w:t>, at 258.</w:t>
      </w:r>
    </w:p>
  </w:footnote>
  <w:footnote w:id="324">
    <w:p w14:paraId="5D5E9D0C" w14:textId="62EE5806" w:rsidR="00092031" w:rsidRPr="00FF1B50" w:rsidRDefault="00092031" w:rsidP="00092031">
      <w:pPr>
        <w:pStyle w:val="FootnoteText"/>
      </w:pPr>
      <w:r w:rsidRPr="00FF1B50">
        <w:rPr>
          <w:rStyle w:val="FootnoteReference"/>
          <w:rFonts w:cs="Times New Roman"/>
        </w:rPr>
        <w:footnoteRef/>
      </w:r>
      <w:r w:rsidRPr="00FF1B50">
        <w:t xml:space="preserve"> </w:t>
      </w:r>
      <w:r w:rsidRPr="00FF1B50">
        <w:rPr>
          <w:i/>
          <w:iCs/>
        </w:rPr>
        <w:t xml:space="preserve">See </w:t>
      </w:r>
      <w:r>
        <w:rPr>
          <w:i/>
          <w:iCs/>
        </w:rPr>
        <w:t>supra</w:t>
      </w:r>
      <w:r w:rsidRPr="00FF1B50">
        <w:t xml:space="preserve"> </w:t>
      </w:r>
      <w:r>
        <w:t xml:space="preserve">notes </w:t>
      </w:r>
      <w:r>
        <w:fldChar w:fldCharType="begin"/>
      </w:r>
      <w:r>
        <w:instrText xml:space="preserve"> NOTEREF _Ref211360943 \h  \* MERGEFORMAT </w:instrText>
      </w:r>
      <w:r>
        <w:fldChar w:fldCharType="separate"/>
      </w:r>
      <w:r>
        <w:t>299</w:t>
      </w:r>
      <w:r>
        <w:fldChar w:fldCharType="end"/>
      </w:r>
      <w:r>
        <w:t>-</w:t>
      </w:r>
      <w:r>
        <w:fldChar w:fldCharType="begin"/>
      </w:r>
      <w:r>
        <w:instrText xml:space="preserve"> NOTEREF _Ref211360954 \h  \* MERGEFORMAT </w:instrText>
      </w:r>
      <w:r>
        <w:fldChar w:fldCharType="separate"/>
      </w:r>
      <w:r>
        <w:t>301</w:t>
      </w:r>
      <w:r>
        <w:fldChar w:fldCharType="end"/>
      </w:r>
      <w:r w:rsidRPr="00FF1B50">
        <w:t xml:space="preserve"> and accompanying text.</w:t>
      </w:r>
    </w:p>
  </w:footnote>
  <w:footnote w:id="325">
    <w:p w14:paraId="11BBB07A" w14:textId="6CB3C760" w:rsidR="00092031" w:rsidRPr="00FF1B50" w:rsidRDefault="00092031" w:rsidP="00092031">
      <w:pPr>
        <w:pStyle w:val="FootnoteText"/>
      </w:pPr>
      <w:r w:rsidRPr="00FF1B50">
        <w:rPr>
          <w:rStyle w:val="FootnoteReference"/>
          <w:rFonts w:cs="Times New Roman"/>
        </w:rPr>
        <w:footnoteRef/>
      </w:r>
      <w:r w:rsidRPr="00FF1B50">
        <w:t xml:space="preserve"> The Tenth Circuit was first; </w:t>
      </w:r>
      <w:r w:rsidRPr="00FF1B50">
        <w:rPr>
          <w:i/>
          <w:iCs/>
        </w:rPr>
        <w:t>see supra</w:t>
      </w:r>
      <w:r w:rsidRPr="00FF1B50">
        <w:t xml:space="preserve"> note</w:t>
      </w:r>
      <w:r>
        <w:t xml:space="preserve"> </w:t>
      </w:r>
      <w:r>
        <w:fldChar w:fldCharType="begin"/>
      </w:r>
      <w:r>
        <w:instrText xml:space="preserve"> NOTEREF _Ref211361421 \h  \* MERGEFORMAT </w:instrText>
      </w:r>
      <w:r>
        <w:fldChar w:fldCharType="separate"/>
      </w:r>
      <w:r>
        <w:t>116</w:t>
      </w:r>
      <w:r>
        <w:fldChar w:fldCharType="end"/>
      </w:r>
      <w:r w:rsidRPr="00FF1B50">
        <w:t xml:space="preserve"> (</w:t>
      </w:r>
      <w:r>
        <w:t>discussing</w:t>
      </w:r>
      <w:r w:rsidRPr="00FF1B50">
        <w:t xml:space="preserve"> </w:t>
      </w:r>
      <w:r w:rsidRPr="00FF1B50">
        <w:rPr>
          <w:i/>
          <w:iCs/>
        </w:rPr>
        <w:t>Cotton Petroleum Corp.</w:t>
      </w:r>
      <w:r w:rsidRPr="00FF1B50">
        <w:t>, 870 F.2d at 1521-22).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01F23" w14:textId="77777777" w:rsidR="00092031" w:rsidRDefault="00092031" w:rsidP="0043707B">
    <w:pPr>
      <w:pStyle w:val="Header"/>
      <w:ind w:firstLine="0"/>
      <w:jc w:val="center"/>
      <w:rPr>
        <w:i/>
        <w:iCs/>
      </w:rPr>
    </w:pPr>
    <w:r w:rsidRPr="00092031">
      <w:rPr>
        <w:i/>
        <w:iCs/>
      </w:rPr>
      <w:t>Rethinking the Administrative-Remand Rule</w:t>
    </w:r>
  </w:p>
  <w:p w14:paraId="0BF9E35B" w14:textId="1B10C2F5" w:rsidR="00427EC5" w:rsidRPr="0043707B" w:rsidRDefault="00427EC5" w:rsidP="0043707B">
    <w:pPr>
      <w:pStyle w:val="Header"/>
      <w:ind w:firstLine="0"/>
      <w:jc w:val="center"/>
      <w:rPr>
        <w:smallCaps/>
      </w:rPr>
    </w:pPr>
    <w:r>
      <w:t>7</w:t>
    </w:r>
    <w:r w:rsidR="00092031">
      <w:t>8</w:t>
    </w:r>
    <w:r>
      <w:t xml:space="preserve"> </w:t>
    </w:r>
    <w:r>
      <w:rPr>
        <w:smallCaps/>
      </w:rPr>
      <w:t>Stan. L. Rev. (</w:t>
    </w:r>
    <w:r w:rsidRPr="007F1124">
      <w:rPr>
        <w:rFonts w:cs="Times New Roman (Body CS)"/>
      </w:rPr>
      <w:t>forthcoming</w:t>
    </w:r>
    <w:r>
      <w:rPr>
        <w:smallCaps/>
      </w:rPr>
      <w:t xml:space="preserve"> </w:t>
    </w:r>
    <w:r w:rsidR="00D071EC">
      <w:rPr>
        <w:smallCaps/>
      </w:rPr>
      <w:t>202</w:t>
    </w:r>
    <w:r w:rsidR="00092031">
      <w:rPr>
        <w:smallCap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0AE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7626687"/>
    <w:multiLevelType w:val="multilevel"/>
    <w:tmpl w:val="3912B334"/>
    <w:lvl w:ilvl="0">
      <w:start w:val="1"/>
      <w:numFmt w:val="upperRoman"/>
      <w:lvlText w:val="%1."/>
      <w:lvlJc w:val="left"/>
      <w:pPr>
        <w:ind w:left="720" w:hanging="720"/>
      </w:pPr>
      <w:rPr>
        <w:rFonts w:ascii="Century Schoolbook" w:hAnsi="Century Schoolbook" w:hint="default"/>
        <w:b/>
        <w:i w:val="0"/>
        <w:sz w:val="24"/>
      </w:rPr>
    </w:lvl>
    <w:lvl w:ilvl="1">
      <w:start w:val="1"/>
      <w:numFmt w:val="upperLetter"/>
      <w:lvlText w:val="%2."/>
      <w:lvlJc w:val="left"/>
      <w:pPr>
        <w:ind w:left="1440" w:hanging="720"/>
      </w:pPr>
      <w:rPr>
        <w:rFonts w:hint="default"/>
        <w:i w:val="0"/>
        <w:iCs w:val="0"/>
      </w:rPr>
    </w:lvl>
    <w:lvl w:ilvl="2">
      <w:start w:val="1"/>
      <w:numFmt w:val="decimal"/>
      <w:lvlText w:val="%3."/>
      <w:lvlJc w:val="left"/>
      <w:pPr>
        <w:ind w:left="1440" w:firstLine="0"/>
      </w:pPr>
      <w:rPr>
        <w:rFonts w:hint="default"/>
        <w:i w:val="0"/>
        <w:iCs w:val="0"/>
        <w:smallCaps/>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 w15:restartNumberingAfterBreak="0">
    <w:nsid w:val="09E37874"/>
    <w:multiLevelType w:val="multilevel"/>
    <w:tmpl w:val="604EF9B2"/>
    <w:name w:val="_SubHead3"/>
    <w:lvl w:ilvl="0">
      <w:start w:val="1"/>
      <w:numFmt w:val="upperRoman"/>
      <w:lvlText w:val="%1."/>
      <w:lvlJc w:val="left"/>
      <w:pPr>
        <w:tabs>
          <w:tab w:val="num" w:pos="878"/>
        </w:tabs>
        <w:ind w:left="360" w:firstLine="0"/>
      </w:pPr>
      <w:rPr>
        <w:rFonts w:hint="default"/>
        <w:b w:val="0"/>
        <w:i w:val="0"/>
      </w:rPr>
    </w:lvl>
    <w:lvl w:ilvl="1">
      <w:start w:val="1"/>
      <w:numFmt w:val="upperLetter"/>
      <w:lvlText w:val="%2."/>
      <w:lvlJc w:val="left"/>
      <w:pPr>
        <w:ind w:left="1080" w:firstLine="0"/>
      </w:pPr>
      <w:rPr>
        <w:rFonts w:hint="default"/>
      </w:rPr>
    </w:lvl>
    <w:lvl w:ilvl="2">
      <w:start w:val="1"/>
      <w:numFmt w:val="decimal"/>
      <w:lvlText w:val="%3."/>
      <w:lvlJc w:val="left"/>
      <w:pPr>
        <w:ind w:left="1080" w:firstLine="0"/>
      </w:pPr>
      <w:rPr>
        <w:rFonts w:hint="default"/>
      </w:rPr>
    </w:lvl>
    <w:lvl w:ilvl="3">
      <w:start w:val="1"/>
      <w:numFmt w:val="lowerLetter"/>
      <w:lvlText w:val="%4."/>
      <w:lvlJc w:val="left"/>
      <w:pPr>
        <w:ind w:left="2520" w:firstLine="0"/>
      </w:pPr>
      <w:rPr>
        <w:rFonts w:hint="default"/>
      </w:rPr>
    </w:lvl>
    <w:lvl w:ilvl="4">
      <w:start w:val="1"/>
      <w:numFmt w:val="lowerRoman"/>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3" w15:restartNumberingAfterBreak="0">
    <w:nsid w:val="0B637B8A"/>
    <w:multiLevelType w:val="hybridMultilevel"/>
    <w:tmpl w:val="F6ACBD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5E2AB9"/>
    <w:multiLevelType w:val="hybridMultilevel"/>
    <w:tmpl w:val="4C90921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B67990"/>
    <w:multiLevelType w:val="hybridMultilevel"/>
    <w:tmpl w:val="BB60C7B0"/>
    <w:lvl w:ilvl="0" w:tplc="04090001">
      <w:start w:val="1"/>
      <w:numFmt w:val="bullet"/>
      <w:lvlText w:val=""/>
      <w:lvlJc w:val="left"/>
      <w:pPr>
        <w:ind w:left="1504" w:hanging="360"/>
      </w:pPr>
      <w:rPr>
        <w:rFonts w:ascii="Symbol" w:hAnsi="Symbol" w:hint="default"/>
      </w:rPr>
    </w:lvl>
    <w:lvl w:ilvl="1" w:tplc="04090003" w:tentative="1">
      <w:start w:val="1"/>
      <w:numFmt w:val="bullet"/>
      <w:lvlText w:val="o"/>
      <w:lvlJc w:val="left"/>
      <w:pPr>
        <w:ind w:left="2224" w:hanging="360"/>
      </w:pPr>
      <w:rPr>
        <w:rFonts w:ascii="Courier New" w:hAnsi="Courier New" w:cs="Courier New" w:hint="default"/>
      </w:rPr>
    </w:lvl>
    <w:lvl w:ilvl="2" w:tplc="04090005" w:tentative="1">
      <w:start w:val="1"/>
      <w:numFmt w:val="bullet"/>
      <w:lvlText w:val=""/>
      <w:lvlJc w:val="left"/>
      <w:pPr>
        <w:ind w:left="2944" w:hanging="360"/>
      </w:pPr>
      <w:rPr>
        <w:rFonts w:ascii="Wingdings" w:hAnsi="Wingdings" w:hint="default"/>
      </w:rPr>
    </w:lvl>
    <w:lvl w:ilvl="3" w:tplc="04090001" w:tentative="1">
      <w:start w:val="1"/>
      <w:numFmt w:val="bullet"/>
      <w:lvlText w:val=""/>
      <w:lvlJc w:val="left"/>
      <w:pPr>
        <w:ind w:left="3664" w:hanging="360"/>
      </w:pPr>
      <w:rPr>
        <w:rFonts w:ascii="Symbol" w:hAnsi="Symbol" w:hint="default"/>
      </w:rPr>
    </w:lvl>
    <w:lvl w:ilvl="4" w:tplc="04090003" w:tentative="1">
      <w:start w:val="1"/>
      <w:numFmt w:val="bullet"/>
      <w:lvlText w:val="o"/>
      <w:lvlJc w:val="left"/>
      <w:pPr>
        <w:ind w:left="4384" w:hanging="360"/>
      </w:pPr>
      <w:rPr>
        <w:rFonts w:ascii="Courier New" w:hAnsi="Courier New" w:cs="Courier New" w:hint="default"/>
      </w:rPr>
    </w:lvl>
    <w:lvl w:ilvl="5" w:tplc="04090005" w:tentative="1">
      <w:start w:val="1"/>
      <w:numFmt w:val="bullet"/>
      <w:lvlText w:val=""/>
      <w:lvlJc w:val="left"/>
      <w:pPr>
        <w:ind w:left="5104" w:hanging="360"/>
      </w:pPr>
      <w:rPr>
        <w:rFonts w:ascii="Wingdings" w:hAnsi="Wingdings" w:hint="default"/>
      </w:rPr>
    </w:lvl>
    <w:lvl w:ilvl="6" w:tplc="04090001" w:tentative="1">
      <w:start w:val="1"/>
      <w:numFmt w:val="bullet"/>
      <w:lvlText w:val=""/>
      <w:lvlJc w:val="left"/>
      <w:pPr>
        <w:ind w:left="5824" w:hanging="360"/>
      </w:pPr>
      <w:rPr>
        <w:rFonts w:ascii="Symbol" w:hAnsi="Symbol" w:hint="default"/>
      </w:rPr>
    </w:lvl>
    <w:lvl w:ilvl="7" w:tplc="04090003" w:tentative="1">
      <w:start w:val="1"/>
      <w:numFmt w:val="bullet"/>
      <w:lvlText w:val="o"/>
      <w:lvlJc w:val="left"/>
      <w:pPr>
        <w:ind w:left="6544" w:hanging="360"/>
      </w:pPr>
      <w:rPr>
        <w:rFonts w:ascii="Courier New" w:hAnsi="Courier New" w:cs="Courier New" w:hint="default"/>
      </w:rPr>
    </w:lvl>
    <w:lvl w:ilvl="8" w:tplc="04090005" w:tentative="1">
      <w:start w:val="1"/>
      <w:numFmt w:val="bullet"/>
      <w:lvlText w:val=""/>
      <w:lvlJc w:val="left"/>
      <w:pPr>
        <w:ind w:left="7264" w:hanging="360"/>
      </w:pPr>
      <w:rPr>
        <w:rFonts w:ascii="Wingdings" w:hAnsi="Wingdings" w:hint="default"/>
      </w:rPr>
    </w:lvl>
  </w:abstractNum>
  <w:abstractNum w:abstractNumId="6" w15:restartNumberingAfterBreak="0">
    <w:nsid w:val="10BE046C"/>
    <w:multiLevelType w:val="hybridMultilevel"/>
    <w:tmpl w:val="AFCCC68C"/>
    <w:lvl w:ilvl="0" w:tplc="FA8089F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5574BB"/>
    <w:multiLevelType w:val="hybridMultilevel"/>
    <w:tmpl w:val="7EB683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AA6A8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6A01BC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A5E414F"/>
    <w:multiLevelType w:val="hybridMultilevel"/>
    <w:tmpl w:val="3AF67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314C9"/>
    <w:multiLevelType w:val="hybridMultilevel"/>
    <w:tmpl w:val="E72C3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511DC"/>
    <w:multiLevelType w:val="hybridMultilevel"/>
    <w:tmpl w:val="2BEA26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1466B2"/>
    <w:multiLevelType w:val="multilevel"/>
    <w:tmpl w:val="0B9A987E"/>
    <w:lvl w:ilvl="0">
      <w:start w:val="1"/>
      <w:numFmt w:val="none"/>
      <w:suff w:val="nothing"/>
      <w:lvlText w:val=""/>
      <w:lvlJc w:val="left"/>
      <w:pPr>
        <w:ind w:left="0" w:firstLine="0"/>
      </w:pPr>
      <w:rPr>
        <w:rFonts w:hint="default"/>
      </w:rPr>
    </w:lvl>
    <w:lvl w:ilvl="1">
      <w:start w:val="1"/>
      <w:numFmt w:val="upperRoman"/>
      <w:pStyle w:val="Heading2"/>
      <w:lvlText w:val="%2."/>
      <w:lvlJc w:val="left"/>
      <w:pPr>
        <w:ind w:left="360" w:firstLine="0"/>
      </w:pPr>
      <w:rPr>
        <w:rFonts w:hint="default"/>
      </w:rPr>
    </w:lvl>
    <w:lvl w:ilvl="2">
      <w:start w:val="1"/>
      <w:numFmt w:val="upperLetter"/>
      <w:pStyle w:val="Heading3"/>
      <w:lvlText w:val="%3."/>
      <w:lvlJc w:val="left"/>
      <w:pPr>
        <w:ind w:left="720" w:firstLine="0"/>
      </w:pPr>
      <w:rPr>
        <w:rFonts w:hint="default"/>
      </w:rPr>
    </w:lvl>
    <w:lvl w:ilvl="3">
      <w:start w:val="1"/>
      <w:numFmt w:val="decimal"/>
      <w:pStyle w:val="Heading4"/>
      <w:lvlText w:val="%4."/>
      <w:lvlJc w:val="left"/>
      <w:pPr>
        <w:ind w:left="1440" w:firstLine="0"/>
      </w:pPr>
      <w:rPr>
        <w:rFonts w:hint="default"/>
      </w:rPr>
    </w:lvl>
    <w:lvl w:ilvl="4">
      <w:start w:val="1"/>
      <w:numFmt w:val="decimal"/>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4" w15:restartNumberingAfterBreak="0">
    <w:nsid w:val="253521B1"/>
    <w:multiLevelType w:val="hybridMultilevel"/>
    <w:tmpl w:val="93F6C3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AA5149"/>
    <w:multiLevelType w:val="hybridMultilevel"/>
    <w:tmpl w:val="39887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B91757"/>
    <w:multiLevelType w:val="multilevel"/>
    <w:tmpl w:val="CC30F320"/>
    <w:name w:val="_1"/>
    <w:lvl w:ilvl="0">
      <w:start w:val="1"/>
      <w:numFmt w:val="decimal"/>
      <w:lvlText w:val="%1."/>
      <w:lvlJc w:val="left"/>
      <w:pPr>
        <w:ind w:left="90" w:firstLine="720"/>
      </w:pPr>
      <w:rPr>
        <w:rFonts w:hint="default"/>
        <w:i w:val="0"/>
      </w:rPr>
    </w:lvl>
    <w:lvl w:ilvl="1">
      <w:start w:val="1"/>
      <w:numFmt w:val="upperLetter"/>
      <w:lvlText w:val="%2."/>
      <w:lvlJc w:val="left"/>
      <w:pPr>
        <w:tabs>
          <w:tab w:val="num" w:pos="1238"/>
        </w:tabs>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7" w15:restartNumberingAfterBreak="0">
    <w:nsid w:val="29A024A0"/>
    <w:multiLevelType w:val="multilevel"/>
    <w:tmpl w:val="56268A5C"/>
    <w:numStyleLink w:val="SectionHeadingsListStyle"/>
  </w:abstractNum>
  <w:abstractNum w:abstractNumId="18" w15:restartNumberingAfterBreak="0">
    <w:nsid w:val="2A264078"/>
    <w:multiLevelType w:val="multilevel"/>
    <w:tmpl w:val="A9F24A90"/>
    <w:lvl w:ilvl="0">
      <w:start w:val="1"/>
      <w:numFmt w:val="upperRoman"/>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2B4F246F"/>
    <w:multiLevelType w:val="multilevel"/>
    <w:tmpl w:val="11346B4C"/>
    <w:lvl w:ilvl="0">
      <w:start w:val="1"/>
      <w:numFmt w:val="none"/>
      <w:lvlText w:val=""/>
      <w:lvlJc w:val="left"/>
      <w:pPr>
        <w:ind w:left="0" w:firstLine="0"/>
      </w:pPr>
      <w:rPr>
        <w:rFonts w:hint="default"/>
      </w:rPr>
    </w:lvl>
    <w:lvl w:ilvl="1">
      <w:start w:val="1"/>
      <w:numFmt w:val="upperRoman"/>
      <w:lvlText w:val="%2."/>
      <w:lvlJc w:val="left"/>
      <w:pPr>
        <w:ind w:left="720" w:firstLine="0"/>
      </w:pPr>
      <w:rPr>
        <w:rFonts w:hint="default"/>
      </w:rPr>
    </w:lvl>
    <w:lvl w:ilvl="2">
      <w:start w:val="1"/>
      <w:numFmt w:val="upperLetter"/>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0" w15:restartNumberingAfterBreak="0">
    <w:nsid w:val="2ECC7169"/>
    <w:multiLevelType w:val="hybridMultilevel"/>
    <w:tmpl w:val="6666E2CE"/>
    <w:lvl w:ilvl="0" w:tplc="1CAC4BE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ED86347"/>
    <w:multiLevelType w:val="hybridMultilevel"/>
    <w:tmpl w:val="EE444552"/>
    <w:lvl w:ilvl="0" w:tplc="F8F8CDD8">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2" w15:restartNumberingAfterBreak="0">
    <w:nsid w:val="2FFC019E"/>
    <w:multiLevelType w:val="hybridMultilevel"/>
    <w:tmpl w:val="B56A29A0"/>
    <w:name w:val="Custom list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51235EA"/>
    <w:multiLevelType w:val="hybridMultilevel"/>
    <w:tmpl w:val="21E82A26"/>
    <w:lvl w:ilvl="0" w:tplc="416E6B66">
      <w:start w:val="1"/>
      <w:numFmt w:val="lowerLetter"/>
      <w:pStyle w:val="Heading5"/>
      <w:lvlText w:val="%1."/>
      <w:lvlJc w:val="left"/>
      <w:pPr>
        <w:ind w:left="0" w:hanging="360"/>
      </w:pPr>
      <w:rPr>
        <w:i w:val="0"/>
        <w:i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4" w15:restartNumberingAfterBreak="0">
    <w:nsid w:val="360F2A89"/>
    <w:multiLevelType w:val="hybridMultilevel"/>
    <w:tmpl w:val="9D46ECCC"/>
    <w:lvl w:ilvl="0" w:tplc="028613E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A480BD5"/>
    <w:multiLevelType w:val="hybridMultilevel"/>
    <w:tmpl w:val="36BC13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C39CC"/>
    <w:multiLevelType w:val="multilevel"/>
    <w:tmpl w:val="C9AA3672"/>
    <w:styleLink w:val="CurrentList1"/>
    <w:lvl w:ilvl="0">
      <w:start w:val="1"/>
      <w:numFmt w:val="upperRoman"/>
      <w:lvlText w:val="%1."/>
      <w:lvlJc w:val="left"/>
      <w:pPr>
        <w:ind w:left="720" w:hanging="720"/>
      </w:pPr>
      <w:rPr>
        <w:rFonts w:ascii="Century Schoolbook" w:hAnsi="Century Schoolbook" w:hint="default"/>
        <w:b/>
        <w:i w:val="0"/>
        <w:sz w:val="24"/>
      </w:rPr>
    </w:lvl>
    <w:lvl w:ilvl="1">
      <w:start w:val="1"/>
      <w:numFmt w:val="upperLetter"/>
      <w:lvlText w:val="%2."/>
      <w:lvlJc w:val="left"/>
      <w:pPr>
        <w:ind w:left="1440" w:hanging="720"/>
      </w:pPr>
      <w:rPr>
        <w:rFonts w:hint="default"/>
        <w:i w:val="0"/>
        <w:iCs w:val="0"/>
      </w:rPr>
    </w:lvl>
    <w:lvl w:ilvl="2">
      <w:start w:val="1"/>
      <w:numFmt w:val="decimal"/>
      <w:lvlText w:val="%3."/>
      <w:lvlJc w:val="left"/>
      <w:pPr>
        <w:ind w:left="1440" w:firstLine="0"/>
      </w:pPr>
      <w:rPr>
        <w:rFonts w:hint="default"/>
        <w:i w:val="0"/>
        <w:iCs w:val="0"/>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7" w15:restartNumberingAfterBreak="0">
    <w:nsid w:val="3B9C1E6C"/>
    <w:multiLevelType w:val="hybridMultilevel"/>
    <w:tmpl w:val="41F4869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5053BF"/>
    <w:multiLevelType w:val="multilevel"/>
    <w:tmpl w:val="D18EC852"/>
    <w:lvl w:ilvl="0">
      <w:start w:val="1"/>
      <w:numFmt w:val="none"/>
      <w:suff w:val="nothing"/>
      <w:lvlText w:val=""/>
      <w:lvlJc w:val="left"/>
      <w:pPr>
        <w:ind w:left="0" w:firstLine="0"/>
      </w:pPr>
      <w:rPr>
        <w:rFonts w:hint="default"/>
      </w:rPr>
    </w:lvl>
    <w:lvl w:ilvl="1">
      <w:start w:val="1"/>
      <w:numFmt w:val="upperRoman"/>
      <w:lvlText w:val="%2."/>
      <w:lvlJc w:val="left"/>
      <w:pPr>
        <w:ind w:left="360" w:firstLine="0"/>
      </w:pPr>
      <w:rPr>
        <w:rFonts w:hint="default"/>
      </w:rPr>
    </w:lvl>
    <w:lvl w:ilvl="2">
      <w:start w:val="1"/>
      <w:numFmt w:val="upperLetter"/>
      <w:lvlText w:val="%3."/>
      <w:lvlJc w:val="left"/>
      <w:pPr>
        <w:ind w:left="720" w:firstLine="720"/>
      </w:pPr>
      <w:rPr>
        <w:rFonts w:hint="default"/>
      </w:rPr>
    </w:lvl>
    <w:lvl w:ilvl="3">
      <w:start w:val="1"/>
      <w:numFmt w:val="decimal"/>
      <w:lvlText w:val="%4."/>
      <w:lvlJc w:val="left"/>
      <w:pPr>
        <w:ind w:left="1440" w:firstLine="72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29" w15:restartNumberingAfterBreak="0">
    <w:nsid w:val="432C3A1C"/>
    <w:multiLevelType w:val="hybridMultilevel"/>
    <w:tmpl w:val="20C23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550524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471B1B5E"/>
    <w:multiLevelType w:val="hybridMultilevel"/>
    <w:tmpl w:val="12688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B90165C"/>
    <w:multiLevelType w:val="hybridMultilevel"/>
    <w:tmpl w:val="EF04027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3" w15:restartNumberingAfterBreak="0">
    <w:nsid w:val="4CCD1CC1"/>
    <w:multiLevelType w:val="hybridMultilevel"/>
    <w:tmpl w:val="7AC8ABCA"/>
    <w:lvl w:ilvl="0" w:tplc="FC7022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DE80F1F"/>
    <w:multiLevelType w:val="hybridMultilevel"/>
    <w:tmpl w:val="1B66670A"/>
    <w:lvl w:ilvl="0" w:tplc="FF7862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E7D621E"/>
    <w:multiLevelType w:val="multilevel"/>
    <w:tmpl w:val="58C050F2"/>
    <w:lvl w:ilvl="0">
      <w:start w:val="1"/>
      <w:numFmt w:val="upperRoman"/>
      <w:lvlText w:val="%1."/>
      <w:lvlJc w:val="left"/>
      <w:pPr>
        <w:ind w:left="720" w:hanging="720"/>
      </w:pPr>
      <w:rPr>
        <w:rFonts w:ascii="Century Schoolbook" w:hAnsi="Century Schoolbook" w:hint="default"/>
        <w:b/>
        <w:i w:val="0"/>
        <w:sz w:val="24"/>
      </w:rPr>
    </w:lvl>
    <w:lvl w:ilvl="1">
      <w:start w:val="1"/>
      <w:numFmt w:val="upperLetter"/>
      <w:lvlText w:val="%2."/>
      <w:lvlJc w:val="left"/>
      <w:pPr>
        <w:ind w:left="1440" w:hanging="72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6" w15:restartNumberingAfterBreak="0">
    <w:nsid w:val="52C3503C"/>
    <w:multiLevelType w:val="hybridMultilevel"/>
    <w:tmpl w:val="7C925A80"/>
    <w:lvl w:ilvl="0" w:tplc="4970B2C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57CC7F58"/>
    <w:multiLevelType w:val="hybridMultilevel"/>
    <w:tmpl w:val="BB96039C"/>
    <w:lvl w:ilvl="0" w:tplc="E51AC4B8">
      <w:start w:val="1"/>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3E6891"/>
    <w:multiLevelType w:val="hybridMultilevel"/>
    <w:tmpl w:val="E556BFF4"/>
    <w:lvl w:ilvl="0" w:tplc="8436829A">
      <w:start w:val="1"/>
      <w:numFmt w:val="bullet"/>
      <w:lvlText w:val="-"/>
      <w:lvlJc w:val="left"/>
      <w:pPr>
        <w:ind w:left="720" w:hanging="360"/>
      </w:pPr>
      <w:rPr>
        <w:rFonts w:ascii="Century Schoolbook" w:eastAsia="Times New Roman" w:hAnsi="Century School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29B2BED"/>
    <w:multiLevelType w:val="multilevel"/>
    <w:tmpl w:val="9D4AA452"/>
    <w:lvl w:ilvl="0">
      <w:start w:val="1"/>
      <w:numFmt w:val="upperLetter"/>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638B0762"/>
    <w:multiLevelType w:val="multilevel"/>
    <w:tmpl w:val="57C814AC"/>
    <w:lvl w:ilvl="0">
      <w:start w:val="1"/>
      <w:numFmt w:val="none"/>
      <w:suff w:val="nothing"/>
      <w:lvlText w:val=""/>
      <w:lvlJc w:val="left"/>
      <w:pPr>
        <w:ind w:left="0" w:firstLine="0"/>
      </w:pPr>
      <w:rPr>
        <w:rFonts w:hint="default"/>
      </w:rPr>
    </w:lvl>
    <w:lvl w:ilvl="1">
      <w:start w:val="1"/>
      <w:numFmt w:val="upperRoman"/>
      <w:lvlText w:val="%2."/>
      <w:lvlJc w:val="left"/>
      <w:pPr>
        <w:ind w:left="360" w:firstLine="0"/>
      </w:pPr>
      <w:rPr>
        <w:rFonts w:hint="default"/>
      </w:rPr>
    </w:lvl>
    <w:lvl w:ilvl="2">
      <w:start w:val="1"/>
      <w:numFmt w:val="upperLetter"/>
      <w:lvlText w:val="%3."/>
      <w:lvlJc w:val="left"/>
      <w:pPr>
        <w:ind w:left="720" w:firstLine="0"/>
      </w:pPr>
      <w:rPr>
        <w:rFonts w:hint="default"/>
      </w:rPr>
    </w:lvl>
    <w:lvl w:ilvl="3">
      <w:start w:val="1"/>
      <w:numFmt w:val="decimal"/>
      <w:lvlText w:val="%4."/>
      <w:lvlJc w:val="left"/>
      <w:pPr>
        <w:ind w:left="1440" w:firstLine="72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1" w15:restartNumberingAfterBreak="0">
    <w:nsid w:val="657B6D7C"/>
    <w:multiLevelType w:val="hybridMultilevel"/>
    <w:tmpl w:val="4B6CCD78"/>
    <w:lvl w:ilvl="0" w:tplc="0CD230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644E9B"/>
    <w:multiLevelType w:val="hybridMultilevel"/>
    <w:tmpl w:val="53788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D786A3D"/>
    <w:multiLevelType w:val="hybridMultilevel"/>
    <w:tmpl w:val="A01A6E48"/>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4" w15:restartNumberingAfterBreak="0">
    <w:nsid w:val="6E25566E"/>
    <w:multiLevelType w:val="multilevel"/>
    <w:tmpl w:val="09E880EC"/>
    <w:lvl w:ilvl="0">
      <w:start w:val="1"/>
      <w:numFmt w:val="upperLetter"/>
      <w:lvlText w:val="%1."/>
      <w:lvlJc w:val="left"/>
      <w:pPr>
        <w:ind w:left="36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72EA4FDF"/>
    <w:multiLevelType w:val="hybridMultilevel"/>
    <w:tmpl w:val="AF9A48A2"/>
    <w:lvl w:ilvl="0" w:tplc="711CB4FC">
      <w:start w:val="202"/>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6" w15:restartNumberingAfterBreak="0">
    <w:nsid w:val="73C50E4D"/>
    <w:multiLevelType w:val="multilevel"/>
    <w:tmpl w:val="56268A5C"/>
    <w:styleLink w:val="SectionHeadingsListStyle"/>
    <w:lvl w:ilvl="0">
      <w:start w:val="1"/>
      <w:numFmt w:val="none"/>
      <w:pStyle w:val="Heading1"/>
      <w:suff w:val="nothing"/>
      <w:lvlText w:val=""/>
      <w:lvlJc w:val="left"/>
      <w:pPr>
        <w:ind w:left="0" w:firstLine="0"/>
      </w:pPr>
      <w:rPr>
        <w:rFonts w:hint="default"/>
      </w:rPr>
    </w:lvl>
    <w:lvl w:ilvl="1">
      <w:start w:val="1"/>
      <w:numFmt w:val="upperRoman"/>
      <w:lvlText w:val="%2."/>
      <w:lvlJc w:val="left"/>
      <w:pPr>
        <w:ind w:left="720" w:firstLine="0"/>
      </w:pPr>
      <w:rPr>
        <w:rFonts w:hint="default"/>
      </w:rPr>
    </w:lvl>
    <w:lvl w:ilvl="2">
      <w:start w:val="1"/>
      <w:numFmt w:val="upperLetter"/>
      <w:lvlText w:val="%3."/>
      <w:lvlJc w:val="left"/>
      <w:pPr>
        <w:ind w:left="1440" w:firstLine="0"/>
      </w:pPr>
      <w:rPr>
        <w:rFonts w:hint="default"/>
      </w:rPr>
    </w:lvl>
    <w:lvl w:ilvl="3">
      <w:start w:val="1"/>
      <w:numFmt w:val="decimal"/>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7" w15:restartNumberingAfterBreak="0">
    <w:nsid w:val="73CF2E84"/>
    <w:multiLevelType w:val="multilevel"/>
    <w:tmpl w:val="A0741866"/>
    <w:lvl w:ilvl="0">
      <w:start w:val="1"/>
      <w:numFmt w:val="upperRoman"/>
      <w:lvlText w:val="%1."/>
      <w:lvlJc w:val="left"/>
      <w:pPr>
        <w:ind w:left="720" w:hanging="720"/>
      </w:pPr>
      <w:rPr>
        <w:rFonts w:ascii="Century Schoolbook" w:hAnsi="Century Schoolbook" w:hint="default"/>
        <w:b/>
        <w:i w:val="0"/>
        <w:sz w:val="24"/>
      </w:rPr>
    </w:lvl>
    <w:lvl w:ilvl="1">
      <w:start w:val="1"/>
      <w:numFmt w:val="upperLetter"/>
      <w:lvlText w:val="%2."/>
      <w:lvlJc w:val="left"/>
      <w:pPr>
        <w:ind w:left="1440" w:hanging="720"/>
      </w:pPr>
      <w:rPr>
        <w:rFonts w:hint="default"/>
        <w:b/>
        <w:bCs/>
      </w:rPr>
    </w:lvl>
    <w:lvl w:ilvl="2">
      <w:start w:val="1"/>
      <w:numFmt w:val="decimal"/>
      <w:lvlText w:val="%3."/>
      <w:lvlJc w:val="left"/>
      <w:pPr>
        <w:ind w:left="1440" w:firstLine="0"/>
      </w:pPr>
      <w:rPr>
        <w:rFonts w:hint="default"/>
        <w:b/>
        <w:bCs/>
        <w:smallCaps/>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8" w15:restartNumberingAfterBreak="0">
    <w:nsid w:val="749A1678"/>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49" w15:restartNumberingAfterBreak="0">
    <w:nsid w:val="762B0F5B"/>
    <w:multiLevelType w:val="hybridMultilevel"/>
    <w:tmpl w:val="973A1674"/>
    <w:lvl w:ilvl="0" w:tplc="0409000F">
      <w:start w:val="1"/>
      <w:numFmt w:val="decimal"/>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0" w15:restartNumberingAfterBreak="0">
    <w:nsid w:val="79AF0A9A"/>
    <w:multiLevelType w:val="multilevel"/>
    <w:tmpl w:val="0409001D"/>
    <w:styleLink w:val="RomanNumerals"/>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7A5A2C9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 w15:restartNumberingAfterBreak="0">
    <w:nsid w:val="7A7951B3"/>
    <w:multiLevelType w:val="hybridMultilevel"/>
    <w:tmpl w:val="E58E1AC4"/>
    <w:lvl w:ilvl="0" w:tplc="4D2055E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50166998">
    <w:abstractNumId w:val="9"/>
  </w:num>
  <w:num w:numId="2" w16cid:durableId="1323317362">
    <w:abstractNumId w:val="50"/>
  </w:num>
  <w:num w:numId="3" w16cid:durableId="1196390072">
    <w:abstractNumId w:val="18"/>
  </w:num>
  <w:num w:numId="4" w16cid:durableId="2137947513">
    <w:abstractNumId w:val="8"/>
  </w:num>
  <w:num w:numId="5" w16cid:durableId="733239323">
    <w:abstractNumId w:val="51"/>
  </w:num>
  <w:num w:numId="6" w16cid:durableId="1588884371">
    <w:abstractNumId w:val="0"/>
  </w:num>
  <w:num w:numId="7" w16cid:durableId="1400060785">
    <w:abstractNumId w:val="39"/>
  </w:num>
  <w:num w:numId="8" w16cid:durableId="281810927">
    <w:abstractNumId w:val="44"/>
  </w:num>
  <w:num w:numId="9" w16cid:durableId="1606033461">
    <w:abstractNumId w:val="39"/>
  </w:num>
  <w:num w:numId="10" w16cid:durableId="1861553659">
    <w:abstractNumId w:val="16"/>
  </w:num>
  <w:num w:numId="11" w16cid:durableId="88691675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2761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13086572">
    <w:abstractNumId w:val="2"/>
  </w:num>
  <w:num w:numId="14" w16cid:durableId="218398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912240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0883804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5648818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20668861">
    <w:abstractNumId w:val="19"/>
  </w:num>
  <w:num w:numId="19" w16cid:durableId="1397585205">
    <w:abstractNumId w:val="48"/>
  </w:num>
  <w:num w:numId="20" w16cid:durableId="1778256500">
    <w:abstractNumId w:val="30"/>
  </w:num>
  <w:num w:numId="21" w16cid:durableId="187650659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13769623">
    <w:abstractNumId w:val="46"/>
  </w:num>
  <w:num w:numId="23" w16cid:durableId="1125151357">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208675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6636205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52204979">
    <w:abstractNumId w:val="17"/>
  </w:num>
  <w:num w:numId="27" w16cid:durableId="891229341">
    <w:abstractNumId w:val="28"/>
  </w:num>
  <w:num w:numId="28" w16cid:durableId="12094193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84734374">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54598273">
    <w:abstractNumId w:val="40"/>
  </w:num>
  <w:num w:numId="31" w16cid:durableId="1977484382">
    <w:abstractNumId w:val="13"/>
  </w:num>
  <w:num w:numId="32" w16cid:durableId="1145586323">
    <w:abstractNumId w:val="22"/>
  </w:num>
  <w:num w:numId="33" w16cid:durableId="378480165">
    <w:abstractNumId w:val="14"/>
  </w:num>
  <w:num w:numId="34" w16cid:durableId="1154684088">
    <w:abstractNumId w:val="27"/>
  </w:num>
  <w:num w:numId="35" w16cid:durableId="205415191">
    <w:abstractNumId w:val="38"/>
  </w:num>
  <w:num w:numId="36" w16cid:durableId="1746797705">
    <w:abstractNumId w:val="10"/>
  </w:num>
  <w:num w:numId="37" w16cid:durableId="276956729">
    <w:abstractNumId w:val="24"/>
  </w:num>
  <w:num w:numId="38" w16cid:durableId="375930417">
    <w:abstractNumId w:val="24"/>
    <w:lvlOverride w:ilvl="0">
      <w:startOverride w:val="1"/>
    </w:lvlOverride>
  </w:num>
  <w:num w:numId="39" w16cid:durableId="1632441520">
    <w:abstractNumId w:val="20"/>
  </w:num>
  <w:num w:numId="40" w16cid:durableId="580062481">
    <w:abstractNumId w:val="12"/>
  </w:num>
  <w:num w:numId="41" w16cid:durableId="643042426">
    <w:abstractNumId w:val="13"/>
    <w:lvlOverride w:ilvl="0">
      <w:startOverride w:val="1"/>
    </w:lvlOverride>
    <w:lvlOverride w:ilvl="1">
      <w:startOverride w:val="2"/>
    </w:lvlOverride>
  </w:num>
  <w:num w:numId="42" w16cid:durableId="1036151266">
    <w:abstractNumId w:val="13"/>
    <w:lvlOverride w:ilvl="0">
      <w:startOverride w:val="1"/>
    </w:lvlOverride>
    <w:lvlOverride w:ilvl="1">
      <w:startOverride w:val="3"/>
    </w:lvlOverride>
  </w:num>
  <w:num w:numId="43" w16cid:durableId="32370329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58105684">
    <w:abstractNumId w:val="13"/>
    <w:lvlOverride w:ilvl="0">
      <w:startOverride w:val="1"/>
    </w:lvlOverride>
    <w:lvlOverride w:ilvl="1">
      <w:startOverride w:val="3"/>
    </w:lvlOverride>
  </w:num>
  <w:num w:numId="45" w16cid:durableId="1277176372">
    <w:abstractNumId w:val="13"/>
    <w:lvlOverride w:ilvl="0">
      <w:startOverride w:val="1"/>
    </w:lvlOverride>
    <w:lvlOverride w:ilvl="1">
      <w:startOverride w:val="1"/>
    </w:lvlOverride>
    <w:lvlOverride w:ilvl="2">
      <w:startOverride w:val="7"/>
    </w:lvlOverride>
  </w:num>
  <w:num w:numId="46" w16cid:durableId="98723153">
    <w:abstractNumId w:val="13"/>
    <w:lvlOverride w:ilvl="0">
      <w:startOverride w:val="1"/>
    </w:lvlOverride>
    <w:lvlOverride w:ilvl="1">
      <w:startOverride w:val="4"/>
    </w:lvlOverride>
  </w:num>
  <w:num w:numId="47" w16cid:durableId="1770732735">
    <w:abstractNumId w:val="13"/>
    <w:lvlOverride w:ilvl="0">
      <w:startOverride w:val="1"/>
    </w:lvlOverride>
    <w:lvlOverride w:ilvl="1">
      <w:startOverride w:val="3"/>
    </w:lvlOverride>
  </w:num>
  <w:num w:numId="48" w16cid:durableId="130558029">
    <w:abstractNumId w:val="25"/>
  </w:num>
  <w:num w:numId="49" w16cid:durableId="557908965">
    <w:abstractNumId w:val="21"/>
  </w:num>
  <w:num w:numId="50" w16cid:durableId="1785925021">
    <w:abstractNumId w:val="23"/>
  </w:num>
  <w:num w:numId="51" w16cid:durableId="713819475">
    <w:abstractNumId w:val="34"/>
  </w:num>
  <w:num w:numId="52" w16cid:durableId="1970940703">
    <w:abstractNumId w:val="41"/>
  </w:num>
  <w:num w:numId="53" w16cid:durableId="728916434">
    <w:abstractNumId w:val="33"/>
  </w:num>
  <w:num w:numId="54" w16cid:durableId="351876900">
    <w:abstractNumId w:val="52"/>
  </w:num>
  <w:num w:numId="55" w16cid:durableId="1660574457">
    <w:abstractNumId w:val="37"/>
  </w:num>
  <w:num w:numId="56" w16cid:durableId="805658310">
    <w:abstractNumId w:val="47"/>
  </w:num>
  <w:num w:numId="57" w16cid:durableId="538515061">
    <w:abstractNumId w:val="1"/>
  </w:num>
  <w:num w:numId="58" w16cid:durableId="1624117614">
    <w:abstractNumId w:val="35"/>
  </w:num>
  <w:num w:numId="59" w16cid:durableId="1072004368">
    <w:abstractNumId w:val="11"/>
  </w:num>
  <w:num w:numId="60" w16cid:durableId="734469191">
    <w:abstractNumId w:val="4"/>
  </w:num>
  <w:num w:numId="61" w16cid:durableId="695349124">
    <w:abstractNumId w:val="3"/>
  </w:num>
  <w:num w:numId="62" w16cid:durableId="1024751572">
    <w:abstractNumId w:val="29"/>
  </w:num>
  <w:num w:numId="63" w16cid:durableId="2122996402">
    <w:abstractNumId w:val="15"/>
  </w:num>
  <w:num w:numId="64" w16cid:durableId="1805923693">
    <w:abstractNumId w:val="31"/>
  </w:num>
  <w:num w:numId="65" w16cid:durableId="1290091377">
    <w:abstractNumId w:val="5"/>
  </w:num>
  <w:num w:numId="66" w16cid:durableId="116146377">
    <w:abstractNumId w:val="26"/>
  </w:num>
  <w:num w:numId="67" w16cid:durableId="57360330">
    <w:abstractNumId w:val="42"/>
  </w:num>
  <w:num w:numId="68" w16cid:durableId="1185559588">
    <w:abstractNumId w:val="49"/>
  </w:num>
  <w:num w:numId="69" w16cid:durableId="1456437599">
    <w:abstractNumId w:val="6"/>
  </w:num>
  <w:num w:numId="70" w16cid:durableId="1406411882">
    <w:abstractNumId w:val="45"/>
  </w:num>
  <w:num w:numId="71" w16cid:durableId="746852847">
    <w:abstractNumId w:val="7"/>
  </w:num>
  <w:num w:numId="72" w16cid:durableId="1678383095">
    <w:abstractNumId w:val="36"/>
  </w:num>
  <w:num w:numId="73" w16cid:durableId="84814999">
    <w:abstractNumId w:val="32"/>
  </w:num>
  <w:num w:numId="74" w16cid:durableId="21269954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autoHyphenation/>
  <w:consecutiveHyphenLimit w:val="2"/>
  <w:hyphenationZone w:val="1080"/>
  <w:doNotHyphenateCap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230"/>
    <w:rsid w:val="00004A5A"/>
    <w:rsid w:val="000072AC"/>
    <w:rsid w:val="00022E40"/>
    <w:rsid w:val="00027D5D"/>
    <w:rsid w:val="000653A8"/>
    <w:rsid w:val="00065B71"/>
    <w:rsid w:val="000678EB"/>
    <w:rsid w:val="0007207E"/>
    <w:rsid w:val="00072B6C"/>
    <w:rsid w:val="00076CAB"/>
    <w:rsid w:val="00091DD1"/>
    <w:rsid w:val="00092031"/>
    <w:rsid w:val="00095FF1"/>
    <w:rsid w:val="000A1536"/>
    <w:rsid w:val="000A26AE"/>
    <w:rsid w:val="000A3120"/>
    <w:rsid w:val="000C1E8F"/>
    <w:rsid w:val="000C6C2C"/>
    <w:rsid w:val="00100F64"/>
    <w:rsid w:val="00101091"/>
    <w:rsid w:val="00122E02"/>
    <w:rsid w:val="00126CAB"/>
    <w:rsid w:val="00130426"/>
    <w:rsid w:val="001521C4"/>
    <w:rsid w:val="0016574B"/>
    <w:rsid w:val="00177D7D"/>
    <w:rsid w:val="0018194B"/>
    <w:rsid w:val="001A2EC5"/>
    <w:rsid w:val="001B09FA"/>
    <w:rsid w:val="001B4706"/>
    <w:rsid w:val="001B709D"/>
    <w:rsid w:val="001D2D20"/>
    <w:rsid w:val="001E1B44"/>
    <w:rsid w:val="001E7012"/>
    <w:rsid w:val="001F6E9C"/>
    <w:rsid w:val="001F7F8C"/>
    <w:rsid w:val="002025DC"/>
    <w:rsid w:val="00232273"/>
    <w:rsid w:val="00255977"/>
    <w:rsid w:val="00263A4F"/>
    <w:rsid w:val="0027470E"/>
    <w:rsid w:val="002A2B7D"/>
    <w:rsid w:val="002A751B"/>
    <w:rsid w:val="002B2C2C"/>
    <w:rsid w:val="002C6F13"/>
    <w:rsid w:val="002C71DB"/>
    <w:rsid w:val="002E24CC"/>
    <w:rsid w:val="003030BD"/>
    <w:rsid w:val="00306AF9"/>
    <w:rsid w:val="003105D7"/>
    <w:rsid w:val="00323F7B"/>
    <w:rsid w:val="0035248D"/>
    <w:rsid w:val="003658D9"/>
    <w:rsid w:val="0036669D"/>
    <w:rsid w:val="0038112B"/>
    <w:rsid w:val="00382E04"/>
    <w:rsid w:val="003932AF"/>
    <w:rsid w:val="003A59DD"/>
    <w:rsid w:val="003B2D81"/>
    <w:rsid w:val="003C0964"/>
    <w:rsid w:val="003D2C78"/>
    <w:rsid w:val="003E6141"/>
    <w:rsid w:val="003F4179"/>
    <w:rsid w:val="00401BED"/>
    <w:rsid w:val="00405CDD"/>
    <w:rsid w:val="00411E6B"/>
    <w:rsid w:val="00427EC5"/>
    <w:rsid w:val="0043707B"/>
    <w:rsid w:val="004403AA"/>
    <w:rsid w:val="00445286"/>
    <w:rsid w:val="00461118"/>
    <w:rsid w:val="004637EC"/>
    <w:rsid w:val="0047021F"/>
    <w:rsid w:val="004820BE"/>
    <w:rsid w:val="0048398D"/>
    <w:rsid w:val="00483EE3"/>
    <w:rsid w:val="00491743"/>
    <w:rsid w:val="00491AFF"/>
    <w:rsid w:val="004979C8"/>
    <w:rsid w:val="004A4758"/>
    <w:rsid w:val="004A4F8E"/>
    <w:rsid w:val="004C3570"/>
    <w:rsid w:val="004C5821"/>
    <w:rsid w:val="004D00A7"/>
    <w:rsid w:val="0050214A"/>
    <w:rsid w:val="00516C64"/>
    <w:rsid w:val="005233C0"/>
    <w:rsid w:val="0054267F"/>
    <w:rsid w:val="00542A92"/>
    <w:rsid w:val="005577CE"/>
    <w:rsid w:val="005612F2"/>
    <w:rsid w:val="00572754"/>
    <w:rsid w:val="00580866"/>
    <w:rsid w:val="005C7A67"/>
    <w:rsid w:val="005F3B1F"/>
    <w:rsid w:val="00612D77"/>
    <w:rsid w:val="00613B3E"/>
    <w:rsid w:val="0061725C"/>
    <w:rsid w:val="00621783"/>
    <w:rsid w:val="006252CA"/>
    <w:rsid w:val="00637346"/>
    <w:rsid w:val="006401DC"/>
    <w:rsid w:val="0065061F"/>
    <w:rsid w:val="00655727"/>
    <w:rsid w:val="00673195"/>
    <w:rsid w:val="006734B0"/>
    <w:rsid w:val="006803CF"/>
    <w:rsid w:val="00687EBA"/>
    <w:rsid w:val="00690ADA"/>
    <w:rsid w:val="006934A7"/>
    <w:rsid w:val="0069644D"/>
    <w:rsid w:val="00696E19"/>
    <w:rsid w:val="006A3A37"/>
    <w:rsid w:val="006A4920"/>
    <w:rsid w:val="006B0A3B"/>
    <w:rsid w:val="006B5631"/>
    <w:rsid w:val="006B5707"/>
    <w:rsid w:val="006D4029"/>
    <w:rsid w:val="006E1BEE"/>
    <w:rsid w:val="006F0D99"/>
    <w:rsid w:val="006F4631"/>
    <w:rsid w:val="0070305D"/>
    <w:rsid w:val="007045FA"/>
    <w:rsid w:val="00714E1E"/>
    <w:rsid w:val="00720808"/>
    <w:rsid w:val="0073614D"/>
    <w:rsid w:val="007403C0"/>
    <w:rsid w:val="00742BB0"/>
    <w:rsid w:val="00742BCA"/>
    <w:rsid w:val="007462FA"/>
    <w:rsid w:val="007571E5"/>
    <w:rsid w:val="007726F7"/>
    <w:rsid w:val="00790013"/>
    <w:rsid w:val="007902D0"/>
    <w:rsid w:val="007D2F56"/>
    <w:rsid w:val="007E0536"/>
    <w:rsid w:val="007F1124"/>
    <w:rsid w:val="008111D9"/>
    <w:rsid w:val="00822CE8"/>
    <w:rsid w:val="008330FB"/>
    <w:rsid w:val="00842B7E"/>
    <w:rsid w:val="008478CF"/>
    <w:rsid w:val="00853564"/>
    <w:rsid w:val="00875028"/>
    <w:rsid w:val="008761E5"/>
    <w:rsid w:val="008929D0"/>
    <w:rsid w:val="00893B18"/>
    <w:rsid w:val="00897751"/>
    <w:rsid w:val="008A045A"/>
    <w:rsid w:val="008A263F"/>
    <w:rsid w:val="008B11E2"/>
    <w:rsid w:val="008B3384"/>
    <w:rsid w:val="008C7909"/>
    <w:rsid w:val="008D1F23"/>
    <w:rsid w:val="008D7B30"/>
    <w:rsid w:val="00911991"/>
    <w:rsid w:val="009250E7"/>
    <w:rsid w:val="009260EB"/>
    <w:rsid w:val="00956969"/>
    <w:rsid w:val="0097210F"/>
    <w:rsid w:val="0098451F"/>
    <w:rsid w:val="00990848"/>
    <w:rsid w:val="00996215"/>
    <w:rsid w:val="009B1A1D"/>
    <w:rsid w:val="009C7212"/>
    <w:rsid w:val="009F2624"/>
    <w:rsid w:val="00A009CD"/>
    <w:rsid w:val="00A17AFD"/>
    <w:rsid w:val="00A22725"/>
    <w:rsid w:val="00A45648"/>
    <w:rsid w:val="00A675A0"/>
    <w:rsid w:val="00A70937"/>
    <w:rsid w:val="00A72DE1"/>
    <w:rsid w:val="00A7433A"/>
    <w:rsid w:val="00A7666C"/>
    <w:rsid w:val="00A82B63"/>
    <w:rsid w:val="00AA533F"/>
    <w:rsid w:val="00AA7DE7"/>
    <w:rsid w:val="00AC1D41"/>
    <w:rsid w:val="00AD3521"/>
    <w:rsid w:val="00AE0E2C"/>
    <w:rsid w:val="00AF2D8C"/>
    <w:rsid w:val="00AF515B"/>
    <w:rsid w:val="00B02287"/>
    <w:rsid w:val="00B05B2E"/>
    <w:rsid w:val="00B11454"/>
    <w:rsid w:val="00B15D21"/>
    <w:rsid w:val="00B2507D"/>
    <w:rsid w:val="00B322CC"/>
    <w:rsid w:val="00B62652"/>
    <w:rsid w:val="00B751BD"/>
    <w:rsid w:val="00B83930"/>
    <w:rsid w:val="00BA3826"/>
    <w:rsid w:val="00BB37FB"/>
    <w:rsid w:val="00BC7C65"/>
    <w:rsid w:val="00BD4B96"/>
    <w:rsid w:val="00BE0857"/>
    <w:rsid w:val="00BE4589"/>
    <w:rsid w:val="00BF35DD"/>
    <w:rsid w:val="00BF5335"/>
    <w:rsid w:val="00C0487A"/>
    <w:rsid w:val="00C0799E"/>
    <w:rsid w:val="00C27DAA"/>
    <w:rsid w:val="00C32D56"/>
    <w:rsid w:val="00C342BE"/>
    <w:rsid w:val="00C37242"/>
    <w:rsid w:val="00C456F2"/>
    <w:rsid w:val="00C561A8"/>
    <w:rsid w:val="00C67369"/>
    <w:rsid w:val="00C73D1B"/>
    <w:rsid w:val="00CA174E"/>
    <w:rsid w:val="00CB6B05"/>
    <w:rsid w:val="00CB734D"/>
    <w:rsid w:val="00CC1257"/>
    <w:rsid w:val="00CC779C"/>
    <w:rsid w:val="00D071EC"/>
    <w:rsid w:val="00D34C3C"/>
    <w:rsid w:val="00D4501F"/>
    <w:rsid w:val="00D52803"/>
    <w:rsid w:val="00D61CCB"/>
    <w:rsid w:val="00D8240B"/>
    <w:rsid w:val="00D8782A"/>
    <w:rsid w:val="00D90027"/>
    <w:rsid w:val="00DA1995"/>
    <w:rsid w:val="00DA5417"/>
    <w:rsid w:val="00DB0602"/>
    <w:rsid w:val="00DB571F"/>
    <w:rsid w:val="00DC0FD6"/>
    <w:rsid w:val="00DC7812"/>
    <w:rsid w:val="00DC78CA"/>
    <w:rsid w:val="00E039C0"/>
    <w:rsid w:val="00E0661E"/>
    <w:rsid w:val="00E07916"/>
    <w:rsid w:val="00E21357"/>
    <w:rsid w:val="00E35087"/>
    <w:rsid w:val="00E40230"/>
    <w:rsid w:val="00E66DAC"/>
    <w:rsid w:val="00E67509"/>
    <w:rsid w:val="00E77CA4"/>
    <w:rsid w:val="00E908D3"/>
    <w:rsid w:val="00E940D7"/>
    <w:rsid w:val="00EA387D"/>
    <w:rsid w:val="00EA5AB1"/>
    <w:rsid w:val="00EB04FB"/>
    <w:rsid w:val="00EC26AC"/>
    <w:rsid w:val="00EC2704"/>
    <w:rsid w:val="00ED57D0"/>
    <w:rsid w:val="00EE0792"/>
    <w:rsid w:val="00EF1AA3"/>
    <w:rsid w:val="00EF6267"/>
    <w:rsid w:val="00F04239"/>
    <w:rsid w:val="00F055B7"/>
    <w:rsid w:val="00F109F2"/>
    <w:rsid w:val="00F151D9"/>
    <w:rsid w:val="00F20918"/>
    <w:rsid w:val="00F24226"/>
    <w:rsid w:val="00F32A43"/>
    <w:rsid w:val="00F3330B"/>
    <w:rsid w:val="00F5040B"/>
    <w:rsid w:val="00F531F5"/>
    <w:rsid w:val="00F55660"/>
    <w:rsid w:val="00F558B2"/>
    <w:rsid w:val="00F6654A"/>
    <w:rsid w:val="00F7359E"/>
    <w:rsid w:val="00F95786"/>
    <w:rsid w:val="00FC605A"/>
    <w:rsid w:val="00FD4DC9"/>
    <w:rsid w:val="00FE3594"/>
    <w:rsid w:val="00FF10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F41705"/>
  <w15:docId w15:val="{A7BB5465-32A4-3C4E-8D8E-0D7A794D7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5648"/>
    <w:pPr>
      <w:suppressAutoHyphens/>
      <w:ind w:firstLine="360"/>
      <w:jc w:val="both"/>
    </w:pPr>
    <w:rPr>
      <w:sz w:val="21"/>
    </w:rPr>
  </w:style>
  <w:style w:type="paragraph" w:styleId="Heading1">
    <w:name w:val="heading 1"/>
    <w:basedOn w:val="Normal"/>
    <w:next w:val="Normal"/>
    <w:link w:val="Heading1Char"/>
    <w:uiPriority w:val="1"/>
    <w:qFormat/>
    <w:rsid w:val="00177D7D"/>
    <w:pPr>
      <w:numPr>
        <w:numId w:val="22"/>
      </w:numPr>
      <w:spacing w:before="120" w:after="120"/>
      <w:jc w:val="center"/>
      <w:outlineLvl w:val="0"/>
    </w:pPr>
    <w:rPr>
      <w:b/>
      <w:szCs w:val="20"/>
    </w:rPr>
  </w:style>
  <w:style w:type="paragraph" w:styleId="Heading2">
    <w:name w:val="heading 2"/>
    <w:basedOn w:val="Heading1"/>
    <w:next w:val="Normal"/>
    <w:link w:val="Heading2Char"/>
    <w:uiPriority w:val="9"/>
    <w:unhideWhenUsed/>
    <w:qFormat/>
    <w:rsid w:val="007902D0"/>
    <w:pPr>
      <w:keepNext/>
      <w:numPr>
        <w:ilvl w:val="1"/>
        <w:numId w:val="31"/>
      </w:numPr>
      <w:ind w:left="720" w:hanging="360"/>
      <w:jc w:val="left"/>
      <w:outlineLvl w:val="1"/>
    </w:pPr>
  </w:style>
  <w:style w:type="paragraph" w:styleId="Heading3">
    <w:name w:val="heading 3"/>
    <w:basedOn w:val="ListParagraph"/>
    <w:next w:val="Normal"/>
    <w:link w:val="Heading3Char"/>
    <w:uiPriority w:val="9"/>
    <w:qFormat/>
    <w:rsid w:val="00742BCA"/>
    <w:pPr>
      <w:keepNext/>
      <w:numPr>
        <w:ilvl w:val="2"/>
        <w:numId w:val="31"/>
      </w:numPr>
      <w:spacing w:before="120" w:after="120"/>
      <w:ind w:left="1440" w:hanging="720"/>
      <w:jc w:val="left"/>
      <w:outlineLvl w:val="2"/>
    </w:pPr>
    <w:rPr>
      <w:u w:val="single"/>
    </w:rPr>
  </w:style>
  <w:style w:type="paragraph" w:styleId="Heading4">
    <w:name w:val="heading 4"/>
    <w:basedOn w:val="Normal"/>
    <w:next w:val="Normal"/>
    <w:link w:val="Heading4Char"/>
    <w:uiPriority w:val="9"/>
    <w:qFormat/>
    <w:rsid w:val="00742BCA"/>
    <w:pPr>
      <w:keepNext/>
      <w:numPr>
        <w:ilvl w:val="3"/>
        <w:numId w:val="31"/>
      </w:numPr>
      <w:spacing w:before="120" w:after="120"/>
      <w:ind w:left="2160" w:hanging="720"/>
      <w:jc w:val="left"/>
      <w:outlineLvl w:val="3"/>
    </w:pPr>
  </w:style>
  <w:style w:type="paragraph" w:styleId="Heading5">
    <w:name w:val="heading 5"/>
    <w:basedOn w:val="Normal"/>
    <w:next w:val="Normal"/>
    <w:link w:val="Heading5Char"/>
    <w:uiPriority w:val="9"/>
    <w:unhideWhenUsed/>
    <w:qFormat/>
    <w:rsid w:val="00842B7E"/>
    <w:pPr>
      <w:keepNext/>
      <w:keepLines/>
      <w:numPr>
        <w:numId w:val="50"/>
      </w:numPr>
      <w:spacing w:before="120" w:after="120"/>
      <w:ind w:left="2880" w:hanging="720"/>
      <w:jc w:val="left"/>
      <w:outlineLvl w:val="4"/>
    </w:pPr>
    <w:rPr>
      <w:rFonts w:eastAsiaTheme="majorEastAsia" w:cstheme="majorBidi"/>
      <w:i/>
    </w:rPr>
  </w:style>
  <w:style w:type="paragraph" w:styleId="Heading6">
    <w:name w:val="heading 6"/>
    <w:basedOn w:val="Normal"/>
    <w:next w:val="Normal"/>
    <w:link w:val="Heading6Char"/>
    <w:uiPriority w:val="9"/>
    <w:unhideWhenUsed/>
    <w:qFormat/>
    <w:rsid w:val="00DA5417"/>
    <w:pPr>
      <w:keepNext/>
      <w:keepLines/>
      <w:numPr>
        <w:ilvl w:val="5"/>
        <w:numId w:val="3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A5417"/>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A5417"/>
    <w:pPr>
      <w:keepNext/>
      <w:keepLines/>
      <w:numPr>
        <w:ilvl w:val="7"/>
        <w:numId w:val="31"/>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DA5417"/>
    <w:pPr>
      <w:keepNext/>
      <w:keepLines/>
      <w:numPr>
        <w:ilvl w:val="8"/>
        <w:numId w:val="31"/>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15D21"/>
    <w:pPr>
      <w:tabs>
        <w:tab w:val="center" w:pos="4680"/>
        <w:tab w:val="right" w:pos="9360"/>
      </w:tabs>
    </w:pPr>
  </w:style>
  <w:style w:type="character" w:customStyle="1" w:styleId="HeaderChar">
    <w:name w:val="Header Char"/>
    <w:basedOn w:val="DefaultParagraphFont"/>
    <w:link w:val="Header"/>
    <w:uiPriority w:val="99"/>
    <w:rsid w:val="00B15D21"/>
  </w:style>
  <w:style w:type="paragraph" w:styleId="Footer">
    <w:name w:val="footer"/>
    <w:basedOn w:val="Normal"/>
    <w:link w:val="FooterChar"/>
    <w:uiPriority w:val="99"/>
    <w:unhideWhenUsed/>
    <w:rsid w:val="00B15D21"/>
    <w:pPr>
      <w:tabs>
        <w:tab w:val="center" w:pos="4680"/>
        <w:tab w:val="right" w:pos="9360"/>
      </w:tabs>
    </w:pPr>
  </w:style>
  <w:style w:type="character" w:customStyle="1" w:styleId="FooterChar">
    <w:name w:val="Footer Char"/>
    <w:basedOn w:val="DefaultParagraphFont"/>
    <w:link w:val="Footer"/>
    <w:uiPriority w:val="99"/>
    <w:rsid w:val="00B15D21"/>
  </w:style>
  <w:style w:type="character" w:customStyle="1" w:styleId="Heading1Char">
    <w:name w:val="Heading 1 Char"/>
    <w:basedOn w:val="DefaultParagraphFont"/>
    <w:link w:val="Heading1"/>
    <w:uiPriority w:val="1"/>
    <w:rsid w:val="004979C8"/>
    <w:rPr>
      <w:b/>
      <w:sz w:val="21"/>
      <w:szCs w:val="20"/>
    </w:rPr>
  </w:style>
  <w:style w:type="paragraph" w:styleId="TOCHeading">
    <w:name w:val="TOC Heading"/>
    <w:basedOn w:val="Normal"/>
    <w:next w:val="Normal"/>
    <w:uiPriority w:val="39"/>
    <w:unhideWhenUsed/>
    <w:qFormat/>
    <w:rsid w:val="00A72DE1"/>
    <w:pPr>
      <w:spacing w:before="480" w:line="276" w:lineRule="auto"/>
      <w:jc w:val="center"/>
    </w:pPr>
    <w:rPr>
      <w:bCs/>
      <w:sz w:val="22"/>
      <w:szCs w:val="28"/>
    </w:rPr>
  </w:style>
  <w:style w:type="paragraph" w:styleId="TOC1">
    <w:name w:val="toc 1"/>
    <w:basedOn w:val="Normal"/>
    <w:next w:val="Normal"/>
    <w:uiPriority w:val="39"/>
    <w:unhideWhenUsed/>
    <w:qFormat/>
    <w:rsid w:val="00A72DE1"/>
    <w:pPr>
      <w:spacing w:before="120" w:after="120"/>
    </w:pPr>
    <w:rPr>
      <w:bCs/>
    </w:rPr>
  </w:style>
  <w:style w:type="paragraph" w:styleId="TOC2">
    <w:name w:val="toc 2"/>
    <w:basedOn w:val="Normal"/>
    <w:next w:val="Normal"/>
    <w:uiPriority w:val="39"/>
    <w:unhideWhenUsed/>
    <w:qFormat/>
    <w:rsid w:val="00A72DE1"/>
    <w:pPr>
      <w:tabs>
        <w:tab w:val="left" w:pos="720"/>
        <w:tab w:val="left" w:pos="919"/>
        <w:tab w:val="left" w:pos="1000"/>
        <w:tab w:val="right" w:leader="dot" w:pos="6650"/>
      </w:tabs>
      <w:spacing w:before="120"/>
    </w:pPr>
    <w:rPr>
      <w:bCs/>
      <w:noProof/>
      <w:szCs w:val="22"/>
    </w:rPr>
  </w:style>
  <w:style w:type="paragraph" w:styleId="TOC3">
    <w:name w:val="toc 3"/>
    <w:basedOn w:val="Normal"/>
    <w:next w:val="Normal"/>
    <w:uiPriority w:val="39"/>
    <w:unhideWhenUsed/>
    <w:qFormat/>
    <w:rsid w:val="00A72DE1"/>
    <w:pPr>
      <w:tabs>
        <w:tab w:val="left" w:pos="1080"/>
        <w:tab w:val="left" w:pos="1197"/>
        <w:tab w:val="right" w:leader="dot" w:pos="6650"/>
      </w:tabs>
      <w:ind w:left="360"/>
    </w:pPr>
    <w:rPr>
      <w:noProof/>
      <w:szCs w:val="22"/>
    </w:rPr>
  </w:style>
  <w:style w:type="paragraph" w:styleId="TOC4">
    <w:name w:val="toc 4"/>
    <w:basedOn w:val="Normal"/>
    <w:next w:val="Normal"/>
    <w:uiPriority w:val="39"/>
    <w:unhideWhenUsed/>
    <w:qFormat/>
    <w:rsid w:val="00A72DE1"/>
    <w:pPr>
      <w:tabs>
        <w:tab w:val="left" w:pos="1080"/>
        <w:tab w:val="left" w:pos="1352"/>
        <w:tab w:val="right" w:leader="dot" w:pos="6650"/>
      </w:tabs>
      <w:ind w:left="720"/>
    </w:pPr>
    <w:rPr>
      <w:noProof/>
      <w:szCs w:val="20"/>
    </w:rPr>
  </w:style>
  <w:style w:type="paragraph" w:styleId="TOC5">
    <w:name w:val="toc 5"/>
    <w:basedOn w:val="Normal"/>
    <w:next w:val="Normal"/>
    <w:autoRedefine/>
    <w:uiPriority w:val="39"/>
    <w:unhideWhenUsed/>
    <w:rsid w:val="00B15D21"/>
    <w:pPr>
      <w:ind w:left="800"/>
    </w:pPr>
    <w:rPr>
      <w:rFonts w:asciiTheme="minorHAnsi" w:hAnsiTheme="minorHAnsi"/>
      <w:szCs w:val="20"/>
    </w:rPr>
  </w:style>
  <w:style w:type="paragraph" w:styleId="TOC6">
    <w:name w:val="toc 6"/>
    <w:basedOn w:val="Normal"/>
    <w:next w:val="Normal"/>
    <w:autoRedefine/>
    <w:uiPriority w:val="39"/>
    <w:unhideWhenUsed/>
    <w:rsid w:val="00B15D21"/>
    <w:pPr>
      <w:ind w:left="1000"/>
    </w:pPr>
    <w:rPr>
      <w:rFonts w:asciiTheme="minorHAnsi" w:hAnsiTheme="minorHAnsi"/>
      <w:szCs w:val="20"/>
    </w:rPr>
  </w:style>
  <w:style w:type="paragraph" w:styleId="TOC7">
    <w:name w:val="toc 7"/>
    <w:basedOn w:val="Normal"/>
    <w:next w:val="Normal"/>
    <w:autoRedefine/>
    <w:uiPriority w:val="39"/>
    <w:unhideWhenUsed/>
    <w:rsid w:val="00B15D21"/>
    <w:pPr>
      <w:ind w:left="1200"/>
    </w:pPr>
    <w:rPr>
      <w:rFonts w:asciiTheme="minorHAnsi" w:hAnsiTheme="minorHAnsi"/>
      <w:szCs w:val="20"/>
    </w:rPr>
  </w:style>
  <w:style w:type="paragraph" w:styleId="TOC8">
    <w:name w:val="toc 8"/>
    <w:basedOn w:val="Normal"/>
    <w:next w:val="Normal"/>
    <w:autoRedefine/>
    <w:uiPriority w:val="39"/>
    <w:unhideWhenUsed/>
    <w:rsid w:val="00B15D21"/>
    <w:pPr>
      <w:ind w:left="1400"/>
    </w:pPr>
    <w:rPr>
      <w:rFonts w:asciiTheme="minorHAnsi" w:hAnsiTheme="minorHAnsi"/>
      <w:szCs w:val="20"/>
    </w:rPr>
  </w:style>
  <w:style w:type="paragraph" w:styleId="TOC9">
    <w:name w:val="toc 9"/>
    <w:basedOn w:val="Normal"/>
    <w:next w:val="Normal"/>
    <w:autoRedefine/>
    <w:uiPriority w:val="39"/>
    <w:unhideWhenUsed/>
    <w:rsid w:val="00B15D21"/>
    <w:pPr>
      <w:ind w:left="1600"/>
    </w:pPr>
    <w:rPr>
      <w:rFonts w:asciiTheme="minorHAnsi" w:hAnsiTheme="minorHAnsi"/>
      <w:szCs w:val="20"/>
    </w:rPr>
  </w:style>
  <w:style w:type="character" w:styleId="Hyperlink">
    <w:name w:val="Hyperlink"/>
    <w:uiPriority w:val="99"/>
    <w:rsid w:val="00F7359E"/>
    <w:rPr>
      <w:color w:val="0000FF"/>
      <w:u w:val="single"/>
    </w:rPr>
  </w:style>
  <w:style w:type="numbering" w:customStyle="1" w:styleId="RomanNumerals">
    <w:name w:val="Roman Numerals!"/>
    <w:uiPriority w:val="99"/>
    <w:rsid w:val="003C0964"/>
    <w:pPr>
      <w:numPr>
        <w:numId w:val="2"/>
      </w:numPr>
    </w:pPr>
  </w:style>
  <w:style w:type="paragraph" w:styleId="FootnoteText">
    <w:name w:val="footnote text"/>
    <w:aliases w:val="Footnote Text (Spacing added,tab removed)"/>
    <w:basedOn w:val="Normal"/>
    <w:link w:val="FootnoteTextChar"/>
    <w:uiPriority w:val="99"/>
    <w:unhideWhenUsed/>
    <w:qFormat/>
    <w:rsid w:val="00EA387D"/>
    <w:pPr>
      <w:spacing w:after="60"/>
      <w:ind w:firstLine="0"/>
    </w:pPr>
    <w:rPr>
      <w:sz w:val="18"/>
    </w:rPr>
  </w:style>
  <w:style w:type="character" w:customStyle="1" w:styleId="FootnoteTextChar">
    <w:name w:val="Footnote Text Char"/>
    <w:aliases w:val="Footnote Text (Spacing added Char,tab removed) Char"/>
    <w:basedOn w:val="DefaultParagraphFont"/>
    <w:link w:val="FootnoteText"/>
    <w:uiPriority w:val="99"/>
    <w:rsid w:val="00EA387D"/>
    <w:rPr>
      <w:sz w:val="18"/>
    </w:rPr>
  </w:style>
  <w:style w:type="character" w:styleId="FootnoteReference">
    <w:name w:val="footnote reference"/>
    <w:basedOn w:val="DefaultParagraphFont"/>
    <w:uiPriority w:val="99"/>
    <w:unhideWhenUsed/>
    <w:qFormat/>
    <w:rsid w:val="00445286"/>
    <w:rPr>
      <w:b w:val="0"/>
      <w:color w:val="000000" w:themeColor="text1"/>
      <w:sz w:val="18"/>
      <w:u w:val="none"/>
      <w:vertAlign w:val="superscript"/>
    </w:rPr>
  </w:style>
  <w:style w:type="character" w:customStyle="1" w:styleId="Heading2Char">
    <w:name w:val="Heading 2 Char"/>
    <w:basedOn w:val="DefaultParagraphFont"/>
    <w:link w:val="Heading2"/>
    <w:uiPriority w:val="9"/>
    <w:rsid w:val="007902D0"/>
    <w:rPr>
      <w:b/>
      <w:sz w:val="21"/>
      <w:szCs w:val="20"/>
    </w:rPr>
  </w:style>
  <w:style w:type="paragraph" w:styleId="ListParagraph">
    <w:name w:val="List Paragraph"/>
    <w:basedOn w:val="Normal"/>
    <w:uiPriority w:val="34"/>
    <w:qFormat/>
    <w:rsid w:val="001E1B44"/>
    <w:pPr>
      <w:ind w:left="720"/>
      <w:contextualSpacing/>
    </w:pPr>
  </w:style>
  <w:style w:type="character" w:customStyle="1" w:styleId="Heading3Char">
    <w:name w:val="Heading 3 Char"/>
    <w:basedOn w:val="DefaultParagraphFont"/>
    <w:link w:val="Heading3"/>
    <w:uiPriority w:val="9"/>
    <w:rsid w:val="00742BCA"/>
    <w:rPr>
      <w:sz w:val="21"/>
      <w:u w:val="single"/>
    </w:rPr>
  </w:style>
  <w:style w:type="paragraph" w:customStyle="1" w:styleId="BlockQuote">
    <w:name w:val="Block Quote"/>
    <w:basedOn w:val="Normal"/>
    <w:qFormat/>
    <w:rsid w:val="00EC2704"/>
    <w:pPr>
      <w:spacing w:before="40" w:after="40"/>
      <w:ind w:left="360" w:right="360" w:firstLine="0"/>
    </w:pPr>
    <w:rPr>
      <w:sz w:val="18"/>
      <w:szCs w:val="17"/>
    </w:rPr>
  </w:style>
  <w:style w:type="character" w:customStyle="1" w:styleId="Heading4Char">
    <w:name w:val="Heading 4 Char"/>
    <w:basedOn w:val="DefaultParagraphFont"/>
    <w:link w:val="Heading4"/>
    <w:uiPriority w:val="9"/>
    <w:rsid w:val="00742BCA"/>
    <w:rPr>
      <w:sz w:val="21"/>
    </w:rPr>
  </w:style>
  <w:style w:type="character" w:customStyle="1" w:styleId="Heading5Char">
    <w:name w:val="Heading 5 Char"/>
    <w:basedOn w:val="DefaultParagraphFont"/>
    <w:link w:val="Heading5"/>
    <w:uiPriority w:val="9"/>
    <w:rsid w:val="00842B7E"/>
    <w:rPr>
      <w:rFonts w:eastAsiaTheme="majorEastAsia" w:cstheme="majorBidi"/>
      <w:i/>
      <w:sz w:val="21"/>
    </w:rPr>
  </w:style>
  <w:style w:type="character" w:customStyle="1" w:styleId="Heading6Char">
    <w:name w:val="Heading 6 Char"/>
    <w:basedOn w:val="DefaultParagraphFont"/>
    <w:link w:val="Heading6"/>
    <w:uiPriority w:val="9"/>
    <w:rsid w:val="00DA5417"/>
    <w:rPr>
      <w:rFonts w:asciiTheme="majorHAnsi" w:eastAsiaTheme="majorEastAsia" w:hAnsiTheme="majorHAnsi" w:cstheme="majorBidi"/>
      <w:color w:val="1F3763" w:themeColor="accent1" w:themeShade="7F"/>
      <w:sz w:val="20"/>
    </w:rPr>
  </w:style>
  <w:style w:type="character" w:customStyle="1" w:styleId="Heading7Char">
    <w:name w:val="Heading 7 Char"/>
    <w:basedOn w:val="DefaultParagraphFont"/>
    <w:link w:val="Heading7"/>
    <w:uiPriority w:val="9"/>
    <w:semiHidden/>
    <w:rsid w:val="00DA5417"/>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semiHidden/>
    <w:rsid w:val="00DA54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A5417"/>
    <w:rPr>
      <w:rFonts w:asciiTheme="majorHAnsi" w:eastAsiaTheme="majorEastAsia" w:hAnsiTheme="majorHAnsi" w:cstheme="majorBidi"/>
      <w:i/>
      <w:iCs/>
      <w:color w:val="272727" w:themeColor="text1" w:themeTint="D8"/>
      <w:sz w:val="21"/>
      <w:szCs w:val="21"/>
    </w:rPr>
  </w:style>
  <w:style w:type="numbering" w:customStyle="1" w:styleId="SectionHeadingsListStyle">
    <w:name w:val="Section Headings (List Style)"/>
    <w:uiPriority w:val="99"/>
    <w:rsid w:val="004D00A7"/>
    <w:pPr>
      <w:numPr>
        <w:numId w:val="22"/>
      </w:numPr>
    </w:pPr>
  </w:style>
  <w:style w:type="paragraph" w:styleId="BalloonText">
    <w:name w:val="Balloon Text"/>
    <w:basedOn w:val="Normal"/>
    <w:link w:val="BalloonTextChar"/>
    <w:uiPriority w:val="99"/>
    <w:semiHidden/>
    <w:unhideWhenUsed/>
    <w:rsid w:val="00FC605A"/>
    <w:rPr>
      <w:rFonts w:cs="Times New Roman"/>
      <w:sz w:val="18"/>
      <w:szCs w:val="18"/>
    </w:rPr>
  </w:style>
  <w:style w:type="character" w:customStyle="1" w:styleId="BalloonTextChar">
    <w:name w:val="Balloon Text Char"/>
    <w:basedOn w:val="DefaultParagraphFont"/>
    <w:link w:val="BalloonText"/>
    <w:uiPriority w:val="99"/>
    <w:semiHidden/>
    <w:rsid w:val="00FC605A"/>
    <w:rPr>
      <w:rFonts w:cs="Times New Roman"/>
      <w:sz w:val="18"/>
      <w:szCs w:val="18"/>
    </w:rPr>
  </w:style>
  <w:style w:type="character" w:styleId="PageNumber">
    <w:name w:val="page number"/>
    <w:basedOn w:val="DefaultParagraphFont"/>
    <w:uiPriority w:val="99"/>
    <w:semiHidden/>
    <w:unhideWhenUsed/>
    <w:rsid w:val="00D52803"/>
  </w:style>
  <w:style w:type="paragraph" w:styleId="NormalWeb">
    <w:name w:val="Normal (Web)"/>
    <w:basedOn w:val="Normal"/>
    <w:uiPriority w:val="99"/>
    <w:semiHidden/>
    <w:unhideWhenUsed/>
    <w:rsid w:val="0061725C"/>
    <w:rPr>
      <w:rFonts w:cs="Times New Roman"/>
      <w:sz w:val="24"/>
    </w:rPr>
  </w:style>
  <w:style w:type="character" w:styleId="CommentReference">
    <w:name w:val="annotation reference"/>
    <w:basedOn w:val="DefaultParagraphFont"/>
    <w:uiPriority w:val="99"/>
    <w:semiHidden/>
    <w:unhideWhenUsed/>
    <w:rsid w:val="0061725C"/>
    <w:rPr>
      <w:sz w:val="18"/>
      <w:szCs w:val="18"/>
    </w:rPr>
  </w:style>
  <w:style w:type="paragraph" w:styleId="CommentText">
    <w:name w:val="annotation text"/>
    <w:basedOn w:val="Normal"/>
    <w:link w:val="CommentTextChar"/>
    <w:uiPriority w:val="99"/>
    <w:semiHidden/>
    <w:unhideWhenUsed/>
    <w:rsid w:val="0061725C"/>
    <w:pPr>
      <w:ind w:firstLine="0"/>
      <w:jc w:val="left"/>
    </w:pPr>
    <w:rPr>
      <w:rFonts w:eastAsiaTheme="minorEastAsia" w:cs="Times New Roman"/>
      <w:sz w:val="24"/>
    </w:rPr>
  </w:style>
  <w:style w:type="character" w:customStyle="1" w:styleId="CommentTextChar">
    <w:name w:val="Comment Text Char"/>
    <w:basedOn w:val="DefaultParagraphFont"/>
    <w:link w:val="CommentText"/>
    <w:uiPriority w:val="99"/>
    <w:semiHidden/>
    <w:rsid w:val="0061725C"/>
    <w:rPr>
      <w:rFonts w:eastAsiaTheme="minorEastAsia" w:cs="Times New Roman"/>
    </w:rPr>
  </w:style>
  <w:style w:type="paragraph" w:styleId="Revision">
    <w:name w:val="Revision"/>
    <w:hidden/>
    <w:uiPriority w:val="99"/>
    <w:semiHidden/>
    <w:rsid w:val="00B02287"/>
    <w:rPr>
      <w:sz w:val="21"/>
    </w:rPr>
  </w:style>
  <w:style w:type="paragraph" w:customStyle="1" w:styleId="p1">
    <w:name w:val="p1"/>
    <w:basedOn w:val="Normal"/>
    <w:semiHidden/>
    <w:rsid w:val="00427EC5"/>
    <w:pPr>
      <w:spacing w:line="312" w:lineRule="auto"/>
      <w:ind w:firstLine="0"/>
      <w:jc w:val="left"/>
    </w:pPr>
    <w:rPr>
      <w:rFonts w:ascii="Helvetica Neue" w:hAnsi="Helvetica Neue" w:cs="Times New Roman"/>
      <w:color w:val="454545"/>
      <w:sz w:val="18"/>
      <w:szCs w:val="18"/>
    </w:rPr>
  </w:style>
  <w:style w:type="paragraph" w:customStyle="1" w:styleId="p2">
    <w:name w:val="p2"/>
    <w:basedOn w:val="Normal"/>
    <w:semiHidden/>
    <w:rsid w:val="00427EC5"/>
    <w:pPr>
      <w:spacing w:line="312" w:lineRule="auto"/>
      <w:ind w:firstLine="0"/>
      <w:jc w:val="left"/>
    </w:pPr>
    <w:rPr>
      <w:rFonts w:ascii="Helvetica Neue" w:hAnsi="Helvetica Neue" w:cs="Times New Roman"/>
      <w:color w:val="454545"/>
      <w:sz w:val="18"/>
      <w:szCs w:val="18"/>
    </w:rPr>
  </w:style>
  <w:style w:type="character" w:customStyle="1" w:styleId="apple-converted-space">
    <w:name w:val="apple-converted-space"/>
    <w:basedOn w:val="DefaultParagraphFont"/>
    <w:semiHidden/>
    <w:rsid w:val="00427EC5"/>
  </w:style>
  <w:style w:type="character" w:styleId="Strong">
    <w:name w:val="Strong"/>
    <w:basedOn w:val="DefaultParagraphFont"/>
    <w:uiPriority w:val="22"/>
    <w:qFormat/>
    <w:rsid w:val="00427EC5"/>
    <w:rPr>
      <w:b/>
      <w:bCs/>
    </w:rPr>
  </w:style>
  <w:style w:type="paragraph" w:styleId="EndnoteText">
    <w:name w:val="endnote text"/>
    <w:basedOn w:val="Normal"/>
    <w:link w:val="EndnoteTextChar"/>
    <w:uiPriority w:val="99"/>
    <w:semiHidden/>
    <w:unhideWhenUsed/>
    <w:rsid w:val="00427EC5"/>
    <w:pPr>
      <w:spacing w:line="312" w:lineRule="auto"/>
      <w:ind w:firstLine="0"/>
      <w:jc w:val="left"/>
    </w:pPr>
    <w:rPr>
      <w:rFonts w:ascii="Century Schoolbook" w:hAnsi="Century Schoolbook"/>
      <w:sz w:val="20"/>
      <w:szCs w:val="20"/>
    </w:rPr>
  </w:style>
  <w:style w:type="character" w:customStyle="1" w:styleId="EndnoteTextChar">
    <w:name w:val="Endnote Text Char"/>
    <w:basedOn w:val="DefaultParagraphFont"/>
    <w:link w:val="EndnoteText"/>
    <w:uiPriority w:val="99"/>
    <w:semiHidden/>
    <w:rsid w:val="00427EC5"/>
    <w:rPr>
      <w:rFonts w:ascii="Century Schoolbook" w:hAnsi="Century Schoolbook"/>
      <w:sz w:val="20"/>
      <w:szCs w:val="20"/>
    </w:rPr>
  </w:style>
  <w:style w:type="character" w:styleId="EndnoteReference">
    <w:name w:val="endnote reference"/>
    <w:basedOn w:val="DefaultParagraphFont"/>
    <w:uiPriority w:val="99"/>
    <w:semiHidden/>
    <w:unhideWhenUsed/>
    <w:rsid w:val="00427EC5"/>
    <w:rPr>
      <w:vertAlign w:val="superscript"/>
    </w:rPr>
  </w:style>
  <w:style w:type="paragraph" w:customStyle="1" w:styleId="Paragraph">
    <w:name w:val="Paragraph"/>
    <w:basedOn w:val="Normal"/>
    <w:uiPriority w:val="1"/>
    <w:qFormat/>
    <w:rsid w:val="00427EC5"/>
    <w:pPr>
      <w:spacing w:line="360" w:lineRule="auto"/>
      <w:jc w:val="left"/>
    </w:pPr>
    <w:rPr>
      <w:rFonts w:ascii="Century Schoolbook" w:eastAsia="Times New Roman" w:hAnsi="Century Schoolbook" w:cs="Times New Roman"/>
      <w:szCs w:val="22"/>
      <w14:ligatures w14:val="standardContextual"/>
    </w:rPr>
  </w:style>
  <w:style w:type="character" w:styleId="Emphasis">
    <w:name w:val="Emphasis"/>
    <w:uiPriority w:val="2"/>
    <w:qFormat/>
    <w:rsid w:val="00427EC5"/>
    <w:rPr>
      <w:rFonts w:ascii="Times New Roman" w:eastAsia="Times New Roman" w:hAnsi="Times New Roman" w:cs="Times New Roman"/>
      <w:i/>
    </w:rPr>
  </w:style>
  <w:style w:type="paragraph" w:styleId="DocumentMap">
    <w:name w:val="Document Map"/>
    <w:basedOn w:val="Normal"/>
    <w:link w:val="DocumentMapChar"/>
    <w:uiPriority w:val="99"/>
    <w:semiHidden/>
    <w:unhideWhenUsed/>
    <w:rsid w:val="00427EC5"/>
    <w:pPr>
      <w:spacing w:line="312" w:lineRule="auto"/>
      <w:ind w:firstLine="0"/>
      <w:jc w:val="left"/>
    </w:pPr>
    <w:rPr>
      <w:rFonts w:ascii="Century Schoolbook" w:hAnsi="Century Schoolbook" w:cs="Times New Roman"/>
      <w:szCs w:val="22"/>
    </w:rPr>
  </w:style>
  <w:style w:type="character" w:customStyle="1" w:styleId="DocumentMapChar">
    <w:name w:val="Document Map Char"/>
    <w:basedOn w:val="DefaultParagraphFont"/>
    <w:link w:val="DocumentMap"/>
    <w:uiPriority w:val="99"/>
    <w:semiHidden/>
    <w:rsid w:val="00427EC5"/>
    <w:rPr>
      <w:rFonts w:ascii="Century Schoolbook" w:hAnsi="Century Schoolbook" w:cs="Times New Roman"/>
      <w:sz w:val="21"/>
      <w:szCs w:val="22"/>
    </w:rPr>
  </w:style>
  <w:style w:type="character" w:styleId="FollowedHyperlink">
    <w:name w:val="FollowedHyperlink"/>
    <w:basedOn w:val="DefaultParagraphFont"/>
    <w:uiPriority w:val="99"/>
    <w:semiHidden/>
    <w:unhideWhenUsed/>
    <w:rsid w:val="00427EC5"/>
    <w:rPr>
      <w:color w:val="954F72" w:themeColor="followedHyperlink"/>
      <w:u w:val="single"/>
    </w:rPr>
  </w:style>
  <w:style w:type="paragraph" w:customStyle="1" w:styleId="msonormal0">
    <w:name w:val="msonormal"/>
    <w:basedOn w:val="Normal"/>
    <w:semiHidden/>
    <w:rsid w:val="00427EC5"/>
    <w:pPr>
      <w:spacing w:before="100" w:beforeAutospacing="1" w:after="100" w:afterAutospacing="1" w:line="312" w:lineRule="auto"/>
      <w:ind w:firstLine="0"/>
      <w:jc w:val="left"/>
    </w:pPr>
    <w:rPr>
      <w:rFonts w:ascii="Century Schoolbook" w:eastAsiaTheme="minorEastAsia" w:hAnsi="Century Schoolbook" w:cs="Times New Roman"/>
      <w:szCs w:val="22"/>
    </w:rPr>
  </w:style>
  <w:style w:type="character" w:customStyle="1" w:styleId="FootnoteTextChar1">
    <w:name w:val="Footnote Text Char1"/>
    <w:basedOn w:val="DefaultParagraphFont"/>
    <w:uiPriority w:val="99"/>
    <w:semiHidden/>
    <w:rsid w:val="00427EC5"/>
    <w:rPr>
      <w:rFonts w:ascii="Century Schoolbook" w:hAnsi="Century Schoolbook" w:hint="default"/>
      <w:sz w:val="20"/>
      <w:szCs w:val="20"/>
    </w:rPr>
  </w:style>
  <w:style w:type="character" w:customStyle="1" w:styleId="HeaderChar1">
    <w:name w:val="Header Char1"/>
    <w:basedOn w:val="DefaultParagraphFont"/>
    <w:uiPriority w:val="99"/>
    <w:semiHidden/>
    <w:rsid w:val="00427EC5"/>
    <w:rPr>
      <w:rFonts w:ascii="Century Schoolbook" w:hAnsi="Century Schoolbook" w:hint="default"/>
    </w:rPr>
  </w:style>
  <w:style w:type="character" w:customStyle="1" w:styleId="FooterChar1">
    <w:name w:val="Footer Char1"/>
    <w:basedOn w:val="DefaultParagraphFont"/>
    <w:uiPriority w:val="99"/>
    <w:semiHidden/>
    <w:rsid w:val="00427EC5"/>
    <w:rPr>
      <w:rFonts w:ascii="Century Schoolbook" w:hAnsi="Century Schoolbook" w:hint="default"/>
    </w:rPr>
  </w:style>
  <w:style w:type="character" w:styleId="UnresolvedMention">
    <w:name w:val="Unresolved Mention"/>
    <w:basedOn w:val="DefaultParagraphFont"/>
    <w:uiPriority w:val="99"/>
    <w:rsid w:val="00427EC5"/>
    <w:rPr>
      <w:color w:val="808080"/>
      <w:shd w:val="clear" w:color="auto" w:fill="E6E6E6"/>
    </w:rPr>
  </w:style>
  <w:style w:type="paragraph" w:styleId="BodyText">
    <w:name w:val="Body Text"/>
    <w:basedOn w:val="Normal"/>
    <w:link w:val="BodyTextChar"/>
    <w:rsid w:val="00427EC5"/>
    <w:pPr>
      <w:spacing w:line="312" w:lineRule="auto"/>
      <w:ind w:right="3240" w:firstLine="0"/>
      <w:jc w:val="center"/>
    </w:pPr>
    <w:rPr>
      <w:rFonts w:ascii="CG Times" w:eastAsia="Times New Roman" w:hAnsi="CG Times" w:cs="Times New Roman"/>
      <w:snapToGrid w:val="0"/>
      <w:spacing w:val="20"/>
      <w:sz w:val="20"/>
      <w:szCs w:val="20"/>
    </w:rPr>
  </w:style>
  <w:style w:type="character" w:customStyle="1" w:styleId="BodyTextChar">
    <w:name w:val="Body Text Char"/>
    <w:basedOn w:val="DefaultParagraphFont"/>
    <w:link w:val="BodyText"/>
    <w:rsid w:val="00427EC5"/>
    <w:rPr>
      <w:rFonts w:ascii="CG Times" w:eastAsia="Times New Roman" w:hAnsi="CG Times" w:cs="Times New Roman"/>
      <w:snapToGrid w:val="0"/>
      <w:spacing w:val="20"/>
      <w:sz w:val="20"/>
      <w:szCs w:val="20"/>
    </w:rPr>
  </w:style>
  <w:style w:type="table" w:styleId="TableGrid">
    <w:name w:val="Table Grid"/>
    <w:basedOn w:val="TableNormal"/>
    <w:uiPriority w:val="39"/>
    <w:rsid w:val="00427EC5"/>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27EC5"/>
    <w:rPr>
      <w:rFonts w:ascii="Century Schoolbook" w:eastAsiaTheme="minorHAnsi" w:hAnsi="Century Schoolbook" w:cstheme="minorBidi"/>
      <w:b/>
      <w:bCs/>
      <w:sz w:val="20"/>
      <w:szCs w:val="20"/>
    </w:rPr>
  </w:style>
  <w:style w:type="character" w:customStyle="1" w:styleId="CommentSubjectChar">
    <w:name w:val="Comment Subject Char"/>
    <w:basedOn w:val="CommentTextChar"/>
    <w:link w:val="CommentSubject"/>
    <w:uiPriority w:val="99"/>
    <w:semiHidden/>
    <w:rsid w:val="00427EC5"/>
    <w:rPr>
      <w:rFonts w:ascii="Century Schoolbook" w:eastAsiaTheme="minorEastAsia" w:hAnsi="Century Schoolbook" w:cs="Times New Roman"/>
      <w:b/>
      <w:bCs/>
      <w:sz w:val="20"/>
      <w:szCs w:val="20"/>
    </w:rPr>
  </w:style>
  <w:style w:type="paragraph" w:styleId="Title">
    <w:name w:val="Title"/>
    <w:basedOn w:val="Heading1"/>
    <w:next w:val="Normal"/>
    <w:link w:val="TitleChar"/>
    <w:uiPriority w:val="10"/>
    <w:qFormat/>
    <w:rsid w:val="00427EC5"/>
    <w:pPr>
      <w:numPr>
        <w:numId w:val="0"/>
      </w:numPr>
      <w:spacing w:before="240" w:after="240" w:line="480" w:lineRule="auto"/>
    </w:pPr>
    <w:rPr>
      <w:rFonts w:ascii="Century Schoolbook" w:hAnsi="Century Schoolbook" w:cs="Times New Roman"/>
      <w:b w:val="0"/>
      <w:smallCaps/>
      <w:szCs w:val="24"/>
    </w:rPr>
  </w:style>
  <w:style w:type="character" w:customStyle="1" w:styleId="TitleChar">
    <w:name w:val="Title Char"/>
    <w:basedOn w:val="DefaultParagraphFont"/>
    <w:link w:val="Title"/>
    <w:uiPriority w:val="10"/>
    <w:rsid w:val="00427EC5"/>
    <w:rPr>
      <w:rFonts w:ascii="Century Schoolbook" w:hAnsi="Century Schoolbook" w:cs="Times New Roman"/>
      <w:smallCaps/>
      <w:sz w:val="21"/>
    </w:rPr>
  </w:style>
  <w:style w:type="character" w:customStyle="1" w:styleId="costarpage">
    <w:name w:val="co_starpage"/>
    <w:basedOn w:val="DefaultParagraphFont"/>
    <w:rsid w:val="00092031"/>
  </w:style>
  <w:style w:type="numbering" w:customStyle="1" w:styleId="CurrentList1">
    <w:name w:val="Current List1"/>
    <w:uiPriority w:val="99"/>
    <w:rsid w:val="00092031"/>
    <w:pPr>
      <w:numPr>
        <w:numId w:val="6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8" Type="http://schemas.openxmlformats.org/officeDocument/2006/relationships/hyperlink" Target="https://www.latimes.com/science/la-os-snowmobile8feb08-story.html" TargetMode="External"/><Relationship Id="rId13" Type="http://schemas.openxmlformats.org/officeDocument/2006/relationships/hyperlink" Target="https://www.friendsofhopevalley.org/2008newsletterweb.pdf" TargetMode="External"/><Relationship Id="rId3" Type="http://schemas.openxmlformats.org/officeDocument/2006/relationships/hyperlink" Target="https://books.google.com/books?id=JCgEAAAAMBAJ&amp;pg=RA1-PA25" TargetMode="External"/><Relationship Id="rId7" Type="http://schemas.openxmlformats.org/officeDocument/2006/relationships/hyperlink" Target="https://winterwildlands.org/wp-content/uploads/2015/06/2015-Winter-Rec-Report.pdf" TargetMode="External"/><Relationship Id="rId12" Type="http://schemas.openxmlformats.org/officeDocument/2006/relationships/hyperlink" Target="https://yourtahoeguide.com/2018/12/the-debate-over-snowmobile-access-forest-service-eye-plans-on-snowmobiles/" TargetMode="External"/><Relationship Id="rId17" Type="http://schemas.openxmlformats.org/officeDocument/2006/relationships/hyperlink" Target="https://law.stanford.edu/2024/06/28/stanfords-deborah-sivas-on-scotus-loper-decision-overturning-chevrons-40-years-of-precedent-and-its-impact-on-environmental-law/" TargetMode="External"/><Relationship Id="rId2" Type="http://schemas.openxmlformats.org/officeDocument/2006/relationships/hyperlink" Target="https://www.fjc.gov/sites/default/files/materials/06/PrimerBakerFinal0802.pdf" TargetMode="External"/><Relationship Id="rId16" Type="http://schemas.openxmlformats.org/officeDocument/2006/relationships/hyperlink" Target="https://www.fs.usda.gov/Internet/FSE_DOCUMENTS/stelprdb5294291.pdf" TargetMode="External"/><Relationship Id="rId1" Type="http://schemas.openxmlformats.org/officeDocument/2006/relationships/hyperlink" Target="https://www.fs.usda.gov/Internet/FSE_DOCUMENTS/stelprdb5294291.pdf" TargetMode="External"/><Relationship Id="rId6" Type="http://schemas.openxmlformats.org/officeDocument/2006/relationships/hyperlink" Target="https://snowgoer.com/latest-news/exclusive-2022-snowmobile-sales-data-shows-winners-losers/30784/" TargetMode="External"/><Relationship Id="rId11" Type="http://schemas.openxmlformats.org/officeDocument/2006/relationships/hyperlink" Target="https://www.tahoedailytribune.com/news/latest-snowmobile-debate-centers-on-small-california-road/" TargetMode="External"/><Relationship Id="rId5" Type="http://schemas.openxmlformats.org/officeDocument/2006/relationships/hyperlink" Target="https://www.uscourts.gov/data-news/reports/statistical-reports/statistical-tables-federal-judiciary/statistical-tables-federal-judiciary-june-2025?utm_source=chatgpt.com" TargetMode="External"/><Relationship Id="rId15" Type="http://schemas.openxmlformats.org/officeDocument/2006/relationships/hyperlink" Target="https://www.friendsofhopevalley.org/2008newsletterweb.pdf" TargetMode="External"/><Relationship Id="rId10" Type="http://schemas.openxmlformats.org/officeDocument/2006/relationships/hyperlink" Target="https://www.fs.usda.gov/Internet/FSE_DOCUMENTS/fseprd602655.pdf" TargetMode="External"/><Relationship Id="rId4" Type="http://schemas.openxmlformats.org/officeDocument/2006/relationships/hyperlink" Target="https://books.google.com/books?id=xCQEAAAAMBAJ&amp;pg=PT43" TargetMode="External"/><Relationship Id="rId9" Type="http://schemas.openxmlformats.org/officeDocument/2006/relationships/hyperlink" Target="https://www.fs.usda.gov/recreation/programs/ohv/" TargetMode="External"/><Relationship Id="rId14" Type="http://schemas.openxmlformats.org/officeDocument/2006/relationships/hyperlink" Target="https://www.friendsofhopevalley.org/news07_winter.pdf"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US" sz="1200" b="1">
                <a:solidFill>
                  <a:schemeClr val="tx1"/>
                </a:solidFill>
                <a:latin typeface="Times New Roman" panose="02020603050405020304" pitchFamily="18" charset="0"/>
                <a:cs typeface="Times New Roman" panose="02020603050405020304" pitchFamily="18" charset="0"/>
              </a:rPr>
              <a:t>Typology of the Circuits</a:t>
            </a:r>
            <a:r>
              <a:rPr lang="en-US" sz="1200" b="1" i="0" u="none" strike="noStrike" baseline="0">
                <a:solidFill>
                  <a:schemeClr val="tx1"/>
                </a:solidFill>
                <a:effectLst/>
              </a:rPr>
              <a:t>’ </a:t>
            </a:r>
            <a:r>
              <a:rPr lang="en-US" sz="1200" b="1">
                <a:solidFill>
                  <a:schemeClr val="tx1"/>
                </a:solidFill>
                <a:latin typeface="Times New Roman" panose="02020603050405020304" pitchFamily="18" charset="0"/>
                <a:cs typeface="Times New Roman" panose="02020603050405020304" pitchFamily="18" charset="0"/>
              </a:rPr>
              <a:t> Administrative-Remand Rules</a:t>
            </a:r>
          </a:p>
        </c:rich>
      </c:tx>
      <c:layout>
        <c:manualLayout>
          <c:xMode val="edge"/>
          <c:yMode val="edge"/>
          <c:x val="0.15642015336318255"/>
          <c:y val="3.7348272642390289E-2"/>
        </c:manualLayout>
      </c:layout>
      <c:overlay val="0"/>
      <c:spPr>
        <a:noFill/>
        <a:ln>
          <a:noFill/>
        </a:ln>
        <a:effectLst/>
      </c:spPr>
      <c:txPr>
        <a:bodyPr rot="0" spcFirstLastPara="1" vertOverflow="ellipsis" vert="horz" wrap="square" anchor="ctr" anchorCtr="1"/>
        <a:lstStyle/>
        <a:p>
          <a:pPr>
            <a:defRPr sz="1200" b="1"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tx>
            <c:strRef>
              <c:f>Sheet1!$B$1</c:f>
              <c:strCache>
                <c:ptCount val="1"/>
                <c:pt idx="0">
                  <c:v>Y-Values</c:v>
                </c:pt>
              </c:strCache>
            </c:strRef>
          </c:tx>
          <c:spPr>
            <a:ln w="19050" cap="rnd">
              <a:noFill/>
              <a:round/>
            </a:ln>
            <a:effectLst/>
          </c:spPr>
          <c:marker>
            <c:symbol val="circle"/>
            <c:size val="5"/>
            <c:spPr>
              <a:solidFill>
                <a:schemeClr val="accent1"/>
              </a:solidFill>
              <a:ln w="9525">
                <a:solidFill>
                  <a:schemeClr val="accent1"/>
                </a:solidFill>
              </a:ln>
              <a:effectLst/>
            </c:spPr>
          </c:marker>
          <c:dLbls>
            <c:dLbl>
              <c:idx val="0"/>
              <c:tx>
                <c:rich>
                  <a:bodyPr/>
                  <a:lstStyle/>
                  <a:p>
                    <a:r>
                      <a:rPr lang="en-US"/>
                      <a:t>D.C.</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0200-D840-9505-C8FB20F997CE}"/>
                </c:ext>
              </c:extLst>
            </c:dLbl>
            <c:dLbl>
              <c:idx val="1"/>
              <c:tx>
                <c:rich>
                  <a:bodyPr/>
                  <a:lstStyle/>
                  <a:p>
                    <a:r>
                      <a:rPr lang="en-US"/>
                      <a:t>Federal</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0200-D840-9505-C8FB20F997CE}"/>
                </c:ext>
              </c:extLst>
            </c:dLbl>
            <c:dLbl>
              <c:idx val="2"/>
              <c:tx>
                <c:rich>
                  <a:bodyPr/>
                  <a:lstStyle/>
                  <a:p>
                    <a:r>
                      <a:rPr lang="en-US"/>
                      <a:t>First</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0200-D840-9505-C8FB20F997CE}"/>
                </c:ext>
              </c:extLst>
            </c:dLbl>
            <c:dLbl>
              <c:idx val="4"/>
              <c:tx>
                <c:rich>
                  <a:bodyPr/>
                  <a:lstStyle/>
                  <a:p>
                    <a:r>
                      <a:rPr lang="en-US"/>
                      <a:t>Third</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200-D840-9505-C8FB20F997CE}"/>
                </c:ext>
              </c:extLst>
            </c:dLbl>
            <c:dLbl>
              <c:idx val="5"/>
              <c:tx>
                <c:rich>
                  <a:bodyPr/>
                  <a:lstStyle/>
                  <a:p>
                    <a:r>
                      <a:rPr lang="en-US"/>
                      <a:t>Fourth</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0200-D840-9505-C8FB20F997CE}"/>
                </c:ext>
              </c:extLst>
            </c:dLbl>
            <c:dLbl>
              <c:idx val="6"/>
              <c:delete val="1"/>
              <c:extLst>
                <c:ext xmlns:c15="http://schemas.microsoft.com/office/drawing/2012/chart" uri="{CE6537A1-D6FC-4f65-9D91-7224C49458BB}"/>
                <c:ext xmlns:c16="http://schemas.microsoft.com/office/drawing/2014/chart" uri="{C3380CC4-5D6E-409C-BE32-E72D297353CC}">
                  <c16:uniqueId val="{00000005-0200-D840-9505-C8FB20F997CE}"/>
                </c:ext>
              </c:extLst>
            </c:dLbl>
            <c:dLbl>
              <c:idx val="7"/>
              <c:tx>
                <c:rich>
                  <a:bodyPr/>
                  <a:lstStyle/>
                  <a:p>
                    <a:r>
                      <a:rPr lang="en-US"/>
                      <a:t>Sixth</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200-D840-9505-C8FB20F997CE}"/>
                </c:ext>
              </c:extLst>
            </c:dLbl>
            <c:dLbl>
              <c:idx val="8"/>
              <c:tx>
                <c:rich>
                  <a:bodyPr/>
                  <a:lstStyle/>
                  <a:p>
                    <a:r>
                      <a:rPr lang="en-US"/>
                      <a:t>Fifth</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200-D840-9505-C8FB20F997CE}"/>
                </c:ext>
              </c:extLst>
            </c:dLbl>
            <c:dLbl>
              <c:idx val="9"/>
              <c:tx>
                <c:rich>
                  <a:bodyPr/>
                  <a:lstStyle/>
                  <a:p>
                    <a:r>
                      <a:rPr lang="en-US"/>
                      <a:t>Eighth</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200-D840-9505-C8FB20F997CE}"/>
                </c:ext>
              </c:extLst>
            </c:dLbl>
            <c:dLbl>
              <c:idx val="10"/>
              <c:tx>
                <c:rich>
                  <a:bodyPr/>
                  <a:lstStyle/>
                  <a:p>
                    <a:r>
                      <a:rPr lang="en-US"/>
                      <a:t>Ninth</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0200-D840-9505-C8FB20F997CE}"/>
                </c:ext>
              </c:extLst>
            </c:dLbl>
            <c:dLbl>
              <c:idx val="11"/>
              <c:tx>
                <c:rich>
                  <a:bodyPr/>
                  <a:lstStyle/>
                  <a:p>
                    <a:r>
                      <a:rPr lang="en-US"/>
                      <a:t>Second</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0200-D840-9505-C8FB20F997CE}"/>
                </c:ext>
              </c:extLst>
            </c:dLbl>
            <c:dLbl>
              <c:idx val="12"/>
              <c:tx>
                <c:rich>
                  <a:bodyPr/>
                  <a:lstStyle/>
                  <a:p>
                    <a:r>
                      <a:rPr lang="en-US"/>
                      <a:t>Eleventh</a:t>
                    </a:r>
                  </a:p>
                </c:rich>
              </c:tx>
              <c:showLegendKey val="0"/>
              <c:showVal val="1"/>
              <c:showCatName val="1"/>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0200-D840-9505-C8FB20F997CE}"/>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xVal>
            <c:numRef>
              <c:f>Sheet1!$A$2:$A$14</c:f>
              <c:numCache>
                <c:formatCode>General</c:formatCode>
                <c:ptCount val="13"/>
                <c:pt idx="0">
                  <c:v>2</c:v>
                </c:pt>
                <c:pt idx="1">
                  <c:v>1.5</c:v>
                </c:pt>
                <c:pt idx="2">
                  <c:v>1.75</c:v>
                </c:pt>
                <c:pt idx="3">
                  <c:v>1</c:v>
                </c:pt>
                <c:pt idx="4">
                  <c:v>0.5</c:v>
                </c:pt>
                <c:pt idx="5">
                  <c:v>1</c:v>
                </c:pt>
                <c:pt idx="6">
                  <c:v>1</c:v>
                </c:pt>
                <c:pt idx="7">
                  <c:v>0.5</c:v>
                </c:pt>
                <c:pt idx="8">
                  <c:v>1</c:v>
                </c:pt>
                <c:pt idx="9">
                  <c:v>0.5</c:v>
                </c:pt>
                <c:pt idx="10">
                  <c:v>2</c:v>
                </c:pt>
                <c:pt idx="11">
                  <c:v>1</c:v>
                </c:pt>
                <c:pt idx="12">
                  <c:v>0</c:v>
                </c:pt>
              </c:numCache>
            </c:numRef>
          </c:xVal>
          <c:yVal>
            <c:numRef>
              <c:f>Sheet1!$B$2:$B$14</c:f>
              <c:numCache>
                <c:formatCode>General</c:formatCode>
                <c:ptCount val="13"/>
                <c:pt idx="0">
                  <c:v>1.5</c:v>
                </c:pt>
                <c:pt idx="1">
                  <c:v>1.5</c:v>
                </c:pt>
                <c:pt idx="2">
                  <c:v>2</c:v>
                </c:pt>
                <c:pt idx="3">
                  <c:v>2</c:v>
                </c:pt>
                <c:pt idx="4">
                  <c:v>1</c:v>
                </c:pt>
                <c:pt idx="5">
                  <c:v>1</c:v>
                </c:pt>
                <c:pt idx="6">
                  <c:v>1.5</c:v>
                </c:pt>
                <c:pt idx="7">
                  <c:v>1.5</c:v>
                </c:pt>
                <c:pt idx="8">
                  <c:v>1.5</c:v>
                </c:pt>
                <c:pt idx="9">
                  <c:v>1.75</c:v>
                </c:pt>
                <c:pt idx="10">
                  <c:v>1.75</c:v>
                </c:pt>
                <c:pt idx="11">
                  <c:v>2</c:v>
                </c:pt>
                <c:pt idx="12">
                  <c:v>1.5</c:v>
                </c:pt>
              </c:numCache>
            </c:numRef>
          </c:yVal>
          <c:smooth val="0"/>
          <c:extLst>
            <c:ext xmlns:c16="http://schemas.microsoft.com/office/drawing/2014/chart" uri="{C3380CC4-5D6E-409C-BE32-E72D297353CC}">
              <c16:uniqueId val="{0000000C-0200-D840-9505-C8FB20F997CE}"/>
            </c:ext>
          </c:extLst>
        </c:ser>
        <c:dLbls>
          <c:showLegendKey val="0"/>
          <c:showVal val="0"/>
          <c:showCatName val="0"/>
          <c:showSerName val="0"/>
          <c:showPercent val="0"/>
          <c:showBubbleSize val="0"/>
        </c:dLbls>
        <c:axId val="1113627823"/>
        <c:axId val="1113629903"/>
      </c:scatterChart>
      <c:valAx>
        <c:axId val="1113627823"/>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latin typeface="Times New Roman" panose="02020603050405020304" pitchFamily="18" charset="0"/>
                    <a:cs typeface="Times New Roman" panose="02020603050405020304" pitchFamily="18" charset="0"/>
                  </a:rPr>
                  <a:t>Porousness</a:t>
                </a:r>
                <a:r>
                  <a:rPr lang="en-US" sz="900" baseline="0">
                    <a:latin typeface="Times New Roman" panose="02020603050405020304" pitchFamily="18" charset="0"/>
                    <a:cs typeface="Times New Roman" panose="02020603050405020304" pitchFamily="18" charset="0"/>
                  </a:rPr>
                  <a:t> (permissiveness towards non-agency appeals)</a:t>
                </a:r>
                <a:endParaRPr lang="en-US" sz="9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13629903"/>
        <c:crosses val="autoZero"/>
        <c:crossBetween val="midCat"/>
      </c:valAx>
      <c:valAx>
        <c:axId val="11136299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latin typeface="Times New Roman" panose="02020603050405020304" pitchFamily="18" charset="0"/>
                    <a:cs typeface="Times New Roman" panose="02020603050405020304" pitchFamily="18" charset="0"/>
                  </a:rPr>
                  <a:t>Definition</a:t>
                </a:r>
                <a:r>
                  <a:rPr lang="en-US" sz="900" baseline="0">
                    <a:latin typeface="Times New Roman" panose="02020603050405020304" pitchFamily="18" charset="0"/>
                    <a:cs typeface="Times New Roman" panose="02020603050405020304" pitchFamily="18" charset="0"/>
                  </a:rPr>
                  <a:t> of test + deviation from COD</a:t>
                </a:r>
                <a:endParaRPr lang="en-US" sz="9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113627823"/>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25400" cap="flat" cmpd="sng" algn="ctr">
      <a:solidFill>
        <a:schemeClr val="tx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6F4160B-F4DD-4CA8-97F6-2528E4A9E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65</Pages>
  <Words>15122</Words>
  <Characters>86200</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Stanford Law Review</dc:creator>
  <cp:keywords/>
  <dc:description/>
  <cp:lastModifiedBy>Mariah Uustal</cp:lastModifiedBy>
  <cp:revision>6</cp:revision>
  <cp:lastPrinted>2017-02-24T22:13:00Z</cp:lastPrinted>
  <dcterms:created xsi:type="dcterms:W3CDTF">2025-10-24T22:43:00Z</dcterms:created>
  <dcterms:modified xsi:type="dcterms:W3CDTF">2025-10-27T02:15:00Z</dcterms:modified>
</cp:coreProperties>
</file>