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3E6B11">
      <w:pPr>
        <w:pStyle w:val="31"/>
        <w:spacing w:after="240"/>
        <w:ind w:firstLine="0"/>
        <w:jc w:val="center"/>
      </w:pPr>
      <w:r>
        <w:rPr>
          <w:rFonts w:ascii="Times New Roman" w:hAnsi="Times New Roman" w:eastAsia="宋体"/>
          <w:b/>
          <w:sz w:val="30"/>
        </w:rPr>
        <w:t>F1 下一圈进站预测项目进展报告</w:t>
      </w:r>
    </w:p>
    <w:p w14:paraId="2B9E94BF">
      <w:pPr>
        <w:spacing w:before="0" w:after="240" w:line="360" w:lineRule="auto"/>
        <w:ind w:firstLine="0"/>
        <w:jc w:val="center"/>
        <w:rPr>
          <w:rFonts w:hint="default" w:eastAsia="宋体"/>
          <w:lang w:val="en-US" w:eastAsia="zh-CN"/>
        </w:rPr>
      </w:pPr>
      <w:r>
        <w:rPr>
          <w:rFonts w:ascii="Times New Roman" w:hAnsi="Times New Roman" w:eastAsia="宋体"/>
          <w:b w:val="0"/>
          <w:sz w:val="21"/>
        </w:rPr>
        <w:t>项目：Kaggle Playground Series S6E5  Predicting F1 Pit Stops</w:t>
      </w:r>
      <w:r>
        <w:rPr>
          <w:rFonts w:ascii="Times New Roman" w:hAnsi="Times New Roman" w:eastAsia="宋体"/>
          <w:b w:val="0"/>
          <w:sz w:val="21"/>
        </w:rPr>
        <w:br w:type="textWrapping"/>
      </w:r>
      <w:r>
        <w:rPr>
          <w:rFonts w:ascii="Times New Roman" w:hAnsi="Times New Roman" w:eastAsia="宋体"/>
          <w:b w:val="0"/>
          <w:sz w:val="21"/>
        </w:rPr>
        <w:t>报告日期：2026 年 6 月</w:t>
      </w:r>
      <w:r>
        <w:rPr>
          <w:rFonts w:hint="eastAsia"/>
          <w:b w:val="0"/>
          <w:sz w:val="21"/>
          <w:lang w:val="en-US" w:eastAsia="zh-CN"/>
        </w:rPr>
        <w:t xml:space="preserve"> 10日</w:t>
      </w:r>
    </w:p>
    <w:p w14:paraId="761184C8">
      <w:pPr>
        <w:pStyle w:val="3"/>
        <w:keepNext/>
        <w:spacing w:before="120" w:after="60"/>
      </w:pPr>
      <w:r>
        <w:rPr>
          <w:rFonts w:ascii="Times New Roman" w:hAnsi="Times New Roman" w:eastAsia="宋体"/>
          <w:b/>
          <w:sz w:val="28"/>
        </w:rPr>
        <w:t>1 项目概述</w:t>
      </w:r>
    </w:p>
    <w:p w14:paraId="3739878A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本项目围绕一级方程式赛车的进站策略预测展开，目标是利用车手当前圈的比赛状态、轮胎状态和圈速表现，预测车手是否会在下一圈进站。目前已完成数据获取、基础统计分析、领域特征构造、CatBoost 模型训练、分层交叉验证和 Kaggle 提交验证，项目已形成一套可复现的基础方案。</w:t>
      </w:r>
      <w:bookmarkStart w:id="0" w:name="_GoBack"/>
      <w:bookmarkEnd w:id="0"/>
    </w:p>
    <w:p w14:paraId="0DD9543F">
      <w:pPr>
        <w:pStyle w:val="3"/>
        <w:keepNext/>
        <w:spacing w:before="120" w:after="60"/>
      </w:pPr>
      <w:r>
        <w:rPr>
          <w:rFonts w:ascii="Times New Roman" w:hAnsi="Times New Roman" w:eastAsia="宋体"/>
          <w:b/>
          <w:sz w:val="28"/>
        </w:rPr>
        <w:t>2 比赛任务、数据与问题归类</w:t>
      </w:r>
    </w:p>
    <w:p w14:paraId="4E6875D0">
      <w:pPr>
        <w:pStyle w:val="4"/>
        <w:keepNext/>
        <w:spacing w:before="120" w:after="60"/>
      </w:pPr>
      <w:r>
        <w:rPr>
          <w:rFonts w:ascii="Times New Roman" w:hAnsi="Times New Roman" w:eastAsia="宋体"/>
          <w:b/>
          <w:sz w:val="24"/>
        </w:rPr>
        <w:t>2.1 比赛任务</w:t>
      </w:r>
    </w:p>
    <w:p w14:paraId="0CD14D7D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比赛要求针对测试集中每一条 F1 圈次记录，输出目标变量 PitNextLap 的预测概率。其中，PitNextLap=1 表示车手将在下一圈进站，PitNextLap=0 表示不会在下一圈进站。比赛希望模型能够准确识别具有较高进站可能性的圈次。</w:t>
      </w:r>
    </w:p>
    <w:p w14:paraId="2F6D122E">
      <w:pPr>
        <w:pStyle w:val="4"/>
        <w:keepNext/>
        <w:spacing w:before="120" w:after="60"/>
      </w:pPr>
      <w:r>
        <w:rPr>
          <w:rFonts w:ascii="Times New Roman" w:hAnsi="Times New Roman" w:eastAsia="宋体"/>
          <w:b/>
          <w:sz w:val="24"/>
        </w:rPr>
        <w:t>2.2 数据组成</w:t>
      </w:r>
    </w:p>
    <w:p w14:paraId="3732C129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训练集包含 439140 条记录和 16 个字段，测试集包含 188165 条记录和 15 个字段。训练数据不存在缺失值和完全重复行。目标变量正类共有 87381 条，占比约 19.90%，因此数据具有一定类别不平衡。主要字段可分为以下三类。</w:t>
      </w:r>
    </w:p>
    <w:tbl>
      <w:tblPr>
        <w:tblStyle w:val="33"/>
        <w:tblW w:w="827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1"/>
        <w:gridCol w:w="4668"/>
        <w:gridCol w:w="1938"/>
      </w:tblGrid>
      <w:tr w14:paraId="2F9B71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671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1D1C6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Times New Roman" w:hAnsi="Times New Roman" w:eastAsia="宋体"/>
                <w:b/>
                <w:i w:val="0"/>
                <w:color w:val="000000" w:themeColor="dark1"/>
                <w:sz w:val="21"/>
                <w14:textFill>
                  <w14:solidFill>
                    <w14:schemeClr w14:val="dk1"/>
                  </w14:solidFill>
                </w14:textFill>
              </w:rPr>
              <w:t>数据类型</w:t>
            </w:r>
          </w:p>
        </w:tc>
        <w:tc>
          <w:tcPr>
            <w:tcW w:w="4668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28717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Times New Roman" w:hAnsi="Times New Roman" w:eastAsia="宋体"/>
                <w:b/>
                <w:i w:val="0"/>
                <w:color w:val="000000" w:themeColor="dark1"/>
                <w:sz w:val="21"/>
                <w14:textFill>
                  <w14:solidFill>
                    <w14:schemeClr w14:val="dk1"/>
                  </w14:solidFill>
                </w14:textFill>
              </w:rPr>
              <w:t>主要字段</w:t>
            </w:r>
          </w:p>
        </w:tc>
        <w:tc>
          <w:tcPr>
            <w:tcW w:w="1938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E4F8C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Times New Roman" w:hAnsi="Times New Roman" w:eastAsia="宋体"/>
                <w:b/>
                <w:i w:val="0"/>
                <w:color w:val="000000" w:themeColor="dark1"/>
                <w:sz w:val="21"/>
                <w14:textFill>
                  <w14:solidFill>
                    <w14:schemeClr w14:val="dk1"/>
                  </w14:solidFill>
                </w14:textFill>
              </w:rPr>
              <w:t>含义</w:t>
            </w:r>
          </w:p>
        </w:tc>
      </w:tr>
      <w:tr w14:paraId="2A5E44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71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F987D7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8090C"/>
              </w:rPr>
            </w:pPr>
            <w:r>
              <w:rPr>
                <w:rFonts w:ascii="Times New Roman" w:hAnsi="Times New Roman" w:eastAsia="宋体"/>
                <w:b w:val="0"/>
                <w:i w:val="0"/>
                <w:color w:val="08090C"/>
                <w:sz w:val="21"/>
              </w:rPr>
              <w:t>类别特征</w:t>
            </w:r>
          </w:p>
        </w:tc>
        <w:tc>
          <w:tcPr>
            <w:tcW w:w="4668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57C745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8090C"/>
              </w:rPr>
            </w:pPr>
            <w:r>
              <w:rPr>
                <w:rFonts w:ascii="Times New Roman" w:hAnsi="Times New Roman" w:eastAsia="宋体"/>
                <w:b w:val="0"/>
                <w:i w:val="0"/>
                <w:color w:val="08090C"/>
                <w:sz w:val="21"/>
              </w:rPr>
              <w:t>Driver、Compound、Race</w:t>
            </w:r>
          </w:p>
        </w:tc>
        <w:tc>
          <w:tcPr>
            <w:tcW w:w="1938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0A0B1E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8090C"/>
              </w:rPr>
            </w:pPr>
            <w:r>
              <w:rPr>
                <w:rFonts w:ascii="Times New Roman" w:hAnsi="Times New Roman" w:eastAsia="宋体"/>
                <w:b w:val="0"/>
                <w:i w:val="0"/>
                <w:color w:val="08090C"/>
                <w:sz w:val="21"/>
              </w:rPr>
              <w:t>车手、轮胎配方和大奖赛名称</w:t>
            </w:r>
          </w:p>
        </w:tc>
      </w:tr>
      <w:tr w14:paraId="0BCFE5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71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6F044D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8090C"/>
              </w:rPr>
            </w:pPr>
            <w:r>
              <w:rPr>
                <w:rFonts w:ascii="Times New Roman" w:hAnsi="Times New Roman" w:eastAsia="宋体"/>
                <w:b w:val="0"/>
                <w:i w:val="0"/>
                <w:color w:val="08090C"/>
                <w:sz w:val="21"/>
              </w:rPr>
              <w:t>离散数值特征</w:t>
            </w:r>
          </w:p>
        </w:tc>
        <w:tc>
          <w:tcPr>
            <w:tcW w:w="4668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161AD4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8090C"/>
              </w:rPr>
            </w:pPr>
            <w:r>
              <w:rPr>
                <w:rFonts w:ascii="Times New Roman" w:hAnsi="Times New Roman" w:eastAsia="宋体"/>
                <w:b w:val="0"/>
                <w:i w:val="0"/>
                <w:color w:val="08090C"/>
                <w:sz w:val="21"/>
              </w:rPr>
              <w:t>Year、PitStop、LapNumber、Stint、Position</w:t>
            </w:r>
          </w:p>
        </w:tc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BB86E4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8090C"/>
              </w:rPr>
            </w:pPr>
            <w:r>
              <w:rPr>
                <w:rFonts w:ascii="Times New Roman" w:hAnsi="Times New Roman" w:eastAsia="宋体"/>
                <w:b w:val="0"/>
                <w:i w:val="0"/>
                <w:color w:val="08090C"/>
                <w:sz w:val="21"/>
              </w:rPr>
              <w:t>年份、是否已进站、圈数、赛段和排名</w:t>
            </w:r>
          </w:p>
        </w:tc>
      </w:tr>
      <w:tr w14:paraId="0F8526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71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133FBE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8090C"/>
              </w:rPr>
            </w:pPr>
            <w:r>
              <w:rPr>
                <w:rFonts w:ascii="Times New Roman" w:hAnsi="Times New Roman" w:eastAsia="宋体"/>
                <w:b w:val="0"/>
                <w:i w:val="0"/>
                <w:color w:val="08090C"/>
                <w:sz w:val="21"/>
              </w:rPr>
              <w:t>连续数值特征</w:t>
            </w:r>
          </w:p>
        </w:tc>
        <w:tc>
          <w:tcPr>
            <w:tcW w:w="4668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8015E6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8090C"/>
              </w:rPr>
            </w:pPr>
            <w:r>
              <w:rPr>
                <w:rFonts w:ascii="Times New Roman" w:hAnsi="Times New Roman" w:eastAsia="宋体"/>
                <w:b w:val="0"/>
                <w:i w:val="0"/>
                <w:color w:val="08090C"/>
                <w:sz w:val="21"/>
              </w:rPr>
              <w:t>TyreLife、LapTime (s)、LapTime_Delta、Cumulative_Degradation、RaceProgress、Position_Change</w:t>
            </w:r>
          </w:p>
        </w:tc>
        <w:tc>
          <w:tcPr>
            <w:tcW w:w="1938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BCC927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8090C"/>
              </w:rPr>
            </w:pPr>
            <w:r>
              <w:rPr>
                <w:rFonts w:ascii="Times New Roman" w:hAnsi="Times New Roman" w:eastAsia="宋体"/>
                <w:b w:val="0"/>
                <w:i w:val="0"/>
                <w:color w:val="08090C"/>
                <w:sz w:val="21"/>
              </w:rPr>
              <w:t>轮胎寿命、圈速、退化程度和比赛进度</w:t>
            </w:r>
          </w:p>
        </w:tc>
      </w:tr>
    </w:tbl>
    <w:p w14:paraId="38C92C41">
      <w:pPr>
        <w:keepNext/>
        <w:ind w:firstLine="0"/>
        <w:jc w:val="center"/>
      </w:pPr>
      <w:r>
        <w:drawing>
          <wp:inline distT="0" distB="0" distL="114300" distR="114300">
            <wp:extent cx="5219700" cy="195707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19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2DA52">
      <w:pPr>
        <w:pStyle w:val="15"/>
        <w:keepNext w:val="0"/>
        <w:spacing w:before="0" w:after="0" w:line="360" w:lineRule="auto"/>
        <w:jc w:val="center"/>
      </w:pPr>
      <w:r>
        <w:rPr>
          <w:rFonts w:ascii="Times New Roman" w:hAnsi="Times New Roman" w:eastAsia="宋体"/>
          <w:b w:val="0"/>
          <w:sz w:val="21"/>
        </w:rPr>
        <w:t>图 1 目标类别分布与不同轮胎配方的下一圈进站率</w:t>
      </w:r>
    </w:p>
    <w:p w14:paraId="2D1289A1">
      <w:pPr>
        <w:pStyle w:val="4"/>
        <w:keepNext/>
        <w:spacing w:before="120" w:after="60"/>
      </w:pPr>
      <w:r>
        <w:rPr>
          <w:rFonts w:ascii="Times New Roman" w:hAnsi="Times New Roman" w:eastAsia="宋体"/>
          <w:b/>
          <w:sz w:val="24"/>
        </w:rPr>
        <w:t>2.3 目标函数与问题归类</w:t>
      </w:r>
    </w:p>
    <w:p w14:paraId="2D184B1F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该问题属于有监督学习中的二分类问题，而不是聚类或回归问题。模型输出下一圈进站的概率，官方评价指标为 ROC-AUC。ROC-AUC 衡量模型将正类样本排序在负类样本之前的能力，数值越接近 1 表示排序效果越好。由于正负类别比例不均衡，ROC-AUC 比单纯准确率更适合作为评价指标。</w:t>
      </w:r>
    </w:p>
    <w:p w14:paraId="0EB682D4">
      <w:pPr>
        <w:pStyle w:val="3"/>
        <w:keepNext/>
        <w:spacing w:before="120" w:after="60"/>
      </w:pPr>
      <w:r>
        <w:rPr>
          <w:rFonts w:ascii="Times New Roman" w:hAnsi="Times New Roman" w:eastAsia="宋体"/>
          <w:b/>
          <w:sz w:val="28"/>
        </w:rPr>
        <w:t>3 当前比赛思路与已完成工作</w:t>
      </w:r>
    </w:p>
    <w:p w14:paraId="5C9765B9">
      <w:pPr>
        <w:pStyle w:val="4"/>
        <w:keepNext/>
        <w:spacing w:before="120" w:after="60"/>
      </w:pPr>
      <w:r>
        <w:rPr>
          <w:rFonts w:ascii="Times New Roman" w:hAnsi="Times New Roman" w:eastAsia="宋体"/>
          <w:b/>
          <w:sz w:val="24"/>
        </w:rPr>
        <w:t>3.1 数据清洗</w:t>
      </w:r>
    </w:p>
    <w:p w14:paraId="1655DC6E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当前首先检查训练集与测试集的字段结构、数据类型、缺失值和重复值。数据没有缺失和重复记录，因此无需执行删除或插补。训练时删除仅用于标识样本的 id 字段，提交时保留该字段。类别变量保持原始字符串形式，由 CatBoost 原生处理，避免对高基数 Driver 字段进行大规模独热编码。</w:t>
      </w:r>
    </w:p>
    <w:p w14:paraId="3FAAAFB3">
      <w:pPr>
        <w:pStyle w:val="4"/>
        <w:keepNext/>
        <w:spacing w:before="120" w:after="60"/>
      </w:pPr>
      <w:r>
        <w:rPr>
          <w:rFonts w:ascii="Times New Roman" w:hAnsi="Times New Roman" w:eastAsia="宋体"/>
          <w:b/>
          <w:sz w:val="24"/>
        </w:rPr>
        <w:t>3.2 特征构造</w:t>
      </w:r>
    </w:p>
    <w:p w14:paraId="5E662B05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结合 F1 比赛策略知识，当前已构造以下领域特征：</w:t>
      </w:r>
    </w:p>
    <w:p w14:paraId="42461827">
      <w:pPr>
        <w:spacing w:before="0" w:after="0" w:line="360" w:lineRule="auto"/>
        <w:ind w:firstLine="420"/>
        <w:jc w:val="both"/>
        <w:rPr>
          <w:rFonts w:ascii="Times New Roman" w:hAnsi="Times New Roman" w:eastAsia="宋体"/>
          <w:b w:val="0"/>
          <w:sz w:val="21"/>
        </w:rPr>
      </w:pPr>
      <w:r>
        <w:rPr>
          <w:rFonts w:hint="eastAsia" w:ascii="Times New Roman" w:hAnsi="Times New Roman" w:eastAsia="宋体"/>
          <w:b w:val="0"/>
          <w:sz w:val="21"/>
          <w:lang w:eastAsia="zh-CN"/>
        </w:rPr>
        <w:t>（</w:t>
      </w:r>
      <w:r>
        <w:rPr>
          <w:rFonts w:hint="eastAsia" w:ascii="Times New Roman" w:hAnsi="Times New Roman" w:eastAsia="宋体"/>
          <w:b w:val="0"/>
          <w:sz w:val="21"/>
          <w:lang w:val="en-US" w:eastAsia="zh-CN"/>
        </w:rPr>
        <w:t>1</w:t>
      </w:r>
      <w:r>
        <w:rPr>
          <w:rFonts w:hint="eastAsia" w:ascii="Times New Roman" w:hAnsi="Times New Roman" w:eastAsia="宋体"/>
          <w:b w:val="0"/>
          <w:sz w:val="21"/>
          <w:lang w:eastAsia="zh-CN"/>
        </w:rPr>
        <w:t>）</w:t>
      </w:r>
      <w:r>
        <w:rPr>
          <w:rFonts w:ascii="Times New Roman" w:hAnsi="Times New Roman" w:eastAsia="宋体"/>
          <w:b w:val="0"/>
          <w:sz w:val="21"/>
        </w:rPr>
        <w:t>EstimatedRaceLaps 和 LapsRemaining：估计比赛总圈数与剩余圈数，描述比赛阶段。</w:t>
      </w:r>
    </w:p>
    <w:p w14:paraId="6EC52286">
      <w:pPr>
        <w:spacing w:before="0" w:after="0" w:line="360" w:lineRule="auto"/>
        <w:ind w:firstLine="420"/>
        <w:jc w:val="both"/>
        <w:rPr>
          <w:rFonts w:ascii="Times New Roman" w:hAnsi="Times New Roman" w:eastAsia="宋体"/>
          <w:b w:val="0"/>
          <w:sz w:val="21"/>
        </w:rPr>
      </w:pPr>
      <w:r>
        <w:rPr>
          <w:rFonts w:hint="eastAsia" w:ascii="Times New Roman" w:hAnsi="Times New Roman" w:eastAsia="宋体"/>
          <w:b w:val="0"/>
          <w:sz w:val="21"/>
          <w:lang w:eastAsia="zh-CN"/>
        </w:rPr>
        <w:t>（</w:t>
      </w:r>
      <w:r>
        <w:rPr>
          <w:rFonts w:hint="eastAsia" w:ascii="Times New Roman" w:hAnsi="Times New Roman" w:eastAsia="宋体"/>
          <w:b w:val="0"/>
          <w:sz w:val="21"/>
          <w:lang w:val="en-US" w:eastAsia="zh-CN"/>
        </w:rPr>
        <w:t>2</w:t>
      </w:r>
      <w:r>
        <w:rPr>
          <w:rFonts w:hint="eastAsia" w:ascii="Times New Roman" w:hAnsi="Times New Roman" w:eastAsia="宋体"/>
          <w:b w:val="0"/>
          <w:sz w:val="21"/>
          <w:lang w:eastAsia="zh-CN"/>
        </w:rPr>
        <w:t>）</w:t>
      </w:r>
      <w:r>
        <w:rPr>
          <w:rFonts w:ascii="Times New Roman" w:hAnsi="Times New Roman" w:eastAsia="宋体"/>
          <w:b w:val="0"/>
          <w:sz w:val="21"/>
        </w:rPr>
        <w:t>TyreAgeRatio：轮胎寿命相对于当前圈数的比例，描述轮胎使用程度。</w:t>
      </w:r>
    </w:p>
    <w:p w14:paraId="74072865">
      <w:pPr>
        <w:spacing w:before="0" w:after="0" w:line="360" w:lineRule="auto"/>
        <w:ind w:firstLine="420"/>
        <w:jc w:val="both"/>
        <w:rPr>
          <w:rFonts w:ascii="Times New Roman" w:hAnsi="Times New Roman" w:eastAsia="宋体"/>
          <w:b w:val="0"/>
          <w:sz w:val="21"/>
        </w:rPr>
      </w:pPr>
      <w:r>
        <w:rPr>
          <w:rFonts w:hint="eastAsia" w:ascii="Times New Roman" w:hAnsi="Times New Roman" w:eastAsia="宋体"/>
          <w:b w:val="0"/>
          <w:sz w:val="21"/>
          <w:lang w:eastAsia="zh-CN"/>
        </w:rPr>
        <w:t>（</w:t>
      </w:r>
      <w:r>
        <w:rPr>
          <w:rFonts w:hint="eastAsia" w:ascii="Times New Roman" w:hAnsi="Times New Roman" w:eastAsia="宋体"/>
          <w:b w:val="0"/>
          <w:sz w:val="21"/>
          <w:lang w:val="en-US" w:eastAsia="zh-CN"/>
        </w:rPr>
        <w:t>3</w:t>
      </w:r>
      <w:r>
        <w:rPr>
          <w:rFonts w:hint="eastAsia" w:ascii="Times New Roman" w:hAnsi="Times New Roman" w:eastAsia="宋体"/>
          <w:b w:val="0"/>
          <w:sz w:val="21"/>
          <w:lang w:eastAsia="zh-CN"/>
        </w:rPr>
        <w:t>）</w:t>
      </w:r>
      <w:r>
        <w:rPr>
          <w:rFonts w:ascii="Times New Roman" w:hAnsi="Times New Roman" w:eastAsia="宋体"/>
          <w:b w:val="0"/>
          <w:sz w:val="21"/>
        </w:rPr>
        <w:t>DegradationPerTyreLap 和 LapTimePerTyreLap：描述单位胎龄退化和圈速变化。</w:t>
      </w:r>
    </w:p>
    <w:p w14:paraId="3E579A3C">
      <w:pPr>
        <w:spacing w:before="0" w:after="0" w:line="360" w:lineRule="auto"/>
        <w:ind w:firstLine="420"/>
        <w:jc w:val="both"/>
        <w:rPr>
          <w:rFonts w:ascii="Times New Roman" w:hAnsi="Times New Roman" w:eastAsia="宋体"/>
          <w:b w:val="0"/>
          <w:sz w:val="21"/>
        </w:rPr>
      </w:pPr>
      <w:r>
        <w:rPr>
          <w:rFonts w:hint="eastAsia" w:ascii="Times New Roman" w:hAnsi="Times New Roman" w:eastAsia="宋体"/>
          <w:b w:val="0"/>
          <w:sz w:val="21"/>
          <w:lang w:eastAsia="zh-CN"/>
        </w:rPr>
        <w:t>（</w:t>
      </w:r>
      <w:r>
        <w:rPr>
          <w:rFonts w:hint="eastAsia" w:ascii="Times New Roman" w:hAnsi="Times New Roman" w:eastAsia="宋体"/>
          <w:b w:val="0"/>
          <w:sz w:val="21"/>
          <w:lang w:val="en-US" w:eastAsia="zh-CN"/>
        </w:rPr>
        <w:t>4</w:t>
      </w:r>
      <w:r>
        <w:rPr>
          <w:rFonts w:hint="eastAsia" w:ascii="Times New Roman" w:hAnsi="Times New Roman" w:eastAsia="宋体"/>
          <w:b w:val="0"/>
          <w:sz w:val="21"/>
          <w:lang w:eastAsia="zh-CN"/>
        </w:rPr>
        <w:t>）</w:t>
      </w:r>
      <w:r>
        <w:rPr>
          <w:rFonts w:ascii="Times New Roman" w:hAnsi="Times New Roman" w:eastAsia="宋体"/>
          <w:b w:val="0"/>
          <w:sz w:val="21"/>
        </w:rPr>
        <w:t>AbsPositionChange：描述排名波动幅度。</w:t>
      </w:r>
    </w:p>
    <w:p w14:paraId="4E25D3AE">
      <w:pPr>
        <w:spacing w:before="0" w:after="0" w:line="360" w:lineRule="auto"/>
        <w:ind w:firstLine="420"/>
        <w:jc w:val="both"/>
        <w:rPr>
          <w:rFonts w:ascii="Times New Roman" w:hAnsi="Times New Roman" w:eastAsia="宋体"/>
          <w:b w:val="0"/>
          <w:sz w:val="21"/>
        </w:rPr>
      </w:pPr>
      <w:r>
        <w:rPr>
          <w:rFonts w:ascii="Times New Roman" w:hAnsi="Times New Roman" w:eastAsia="宋体"/>
          <w:sz w:val="21"/>
        </w:rPr>
        <w:t>（5）Race_Year、Race_Compound 和 Driver_Compound：刻画赛道、年份、轮胎与车手之间的交互关系。</w:t>
      </w:r>
    </w:p>
    <w:p w14:paraId="68198D4B">
      <w:pPr>
        <w:pStyle w:val="4"/>
        <w:keepNext/>
        <w:spacing w:before="120" w:after="60"/>
      </w:pPr>
      <w:r>
        <w:rPr>
          <w:rFonts w:ascii="Times New Roman" w:hAnsi="Times New Roman" w:eastAsia="宋体"/>
          <w:b/>
          <w:sz w:val="24"/>
        </w:rPr>
        <w:t>3.3 模型选择与验证</w:t>
      </w:r>
    </w:p>
    <w:p w14:paraId="5EE935AD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当前主模型选择 CatBoostClassifier。该模型能够直接处理 Driver、Race 等高基数类别特征，并能够拟合轮胎寿命、比赛进度与进站概率之间的非线性关系。实验采用 3 折分层交叉验证，使各折保持接近的正负样本比例，并使用早停降低过拟合风险。</w:t>
      </w:r>
    </w:p>
    <w:p w14:paraId="53EA1094">
      <w:pPr>
        <w:pStyle w:val="3"/>
        <w:keepNext/>
        <w:spacing w:before="120" w:after="60"/>
      </w:pPr>
      <w:r>
        <w:rPr>
          <w:rFonts w:ascii="Times New Roman" w:hAnsi="Times New Roman" w:eastAsia="宋体"/>
          <w:b/>
          <w:sz w:val="28"/>
        </w:rPr>
        <w:t>4 阶段性结果</w:t>
      </w:r>
    </w:p>
    <w:p w14:paraId="2C52E53A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当前 CatBoost 方案的三折 ROC-AUC 分别为 0.950752、0.950300 和 0.950094，总体 OOF ROC-AUC 为 0.950380，折间标准差为 0.000275，说明模型结果较稳定。Kaggle 提交结果为 Public 0.95002、Private 0.95079。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1814"/>
        <w:gridCol w:w="4082"/>
      </w:tblGrid>
      <w:tr w14:paraId="50CC33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FD4D70">
            <w:pPr>
              <w:spacing w:after="0" w:line="288" w:lineRule="auto"/>
              <w:jc w:val="center"/>
              <w:rPr>
                <w:b/>
                <w:i w:val="0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Times New Roman" w:hAnsi="Times New Roman" w:eastAsia="宋体"/>
                <w:b/>
                <w:i w:val="0"/>
                <w:color w:val="000000" w:themeColor="dark1"/>
                <w:sz w:val="21"/>
                <w14:textFill>
                  <w14:solidFill>
                    <w14:schemeClr w14:val="dk1"/>
                  </w14:solidFill>
                </w14:textFill>
              </w:rPr>
              <w:t>评价项目</w:t>
            </w:r>
          </w:p>
        </w:tc>
        <w:tc>
          <w:tcPr>
            <w:tcW w:w="1814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85929F">
            <w:pPr>
              <w:spacing w:after="0" w:line="288" w:lineRule="auto"/>
              <w:jc w:val="center"/>
              <w:rPr>
                <w:b/>
                <w:i w:val="0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Times New Roman" w:hAnsi="Times New Roman" w:eastAsia="宋体"/>
                <w:b/>
                <w:i w:val="0"/>
                <w:color w:val="000000" w:themeColor="dark1"/>
                <w:sz w:val="21"/>
                <w14:textFill>
                  <w14:solidFill>
                    <w14:schemeClr w14:val="dk1"/>
                  </w14:solidFill>
                </w14:textFill>
              </w:rPr>
              <w:t>结果</w:t>
            </w:r>
          </w:p>
        </w:tc>
        <w:tc>
          <w:tcPr>
            <w:tcW w:w="4082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54037A">
            <w:pPr>
              <w:spacing w:after="0" w:line="288" w:lineRule="auto"/>
              <w:jc w:val="center"/>
              <w:rPr>
                <w:b/>
                <w:i w:val="0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Times New Roman" w:hAnsi="Times New Roman" w:eastAsia="宋体"/>
                <w:b/>
                <w:i w:val="0"/>
                <w:color w:val="000000" w:themeColor="dark1"/>
                <w:sz w:val="21"/>
                <w14:textFill>
                  <w14:solidFill>
                    <w14:schemeClr w14:val="dk1"/>
                  </w14:solidFill>
                </w14:textFill>
              </w:rPr>
              <w:t>说明</w:t>
            </w:r>
          </w:p>
        </w:tc>
      </w:tr>
      <w:tr w14:paraId="710B6B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5E9341">
            <w:pPr>
              <w:spacing w:after="0" w:line="288" w:lineRule="auto"/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Times New Roman" w:hAnsi="Times New Roman" w:eastAsia="宋体"/>
                <w:b w:val="0"/>
                <w:i w:val="0"/>
                <w:color w:val="08090C"/>
                <w:sz w:val="21"/>
              </w:rPr>
              <w:t>总体 OOF ROC-AUC</w:t>
            </w:r>
          </w:p>
        </w:tc>
        <w:tc>
          <w:tcPr>
            <w:tcW w:w="1814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72C367">
            <w:pPr>
              <w:spacing w:after="0" w:line="288" w:lineRule="auto"/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Times New Roman" w:hAnsi="Times New Roman" w:eastAsia="宋体"/>
                <w:b w:val="0"/>
                <w:i w:val="0"/>
                <w:color w:val="08090C"/>
                <w:sz w:val="21"/>
              </w:rPr>
              <w:t>0.950380</w:t>
            </w:r>
          </w:p>
        </w:tc>
        <w:tc>
          <w:tcPr>
            <w:tcW w:w="4082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310B7D">
            <w:pPr>
              <w:spacing w:after="0" w:line="288" w:lineRule="auto"/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Times New Roman" w:hAnsi="Times New Roman" w:eastAsia="宋体"/>
                <w:b w:val="0"/>
                <w:i w:val="0"/>
                <w:color w:val="08090C"/>
                <w:sz w:val="21"/>
              </w:rPr>
              <w:t>本地交叉验证整体结果</w:t>
            </w:r>
          </w:p>
        </w:tc>
      </w:tr>
      <w:tr w14:paraId="30EC43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A3EDCF">
            <w:pPr>
              <w:spacing w:after="0" w:line="288" w:lineRule="auto"/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Times New Roman" w:hAnsi="Times New Roman" w:eastAsia="宋体"/>
                <w:b w:val="0"/>
                <w:i w:val="0"/>
                <w:color w:val="08090C"/>
                <w:sz w:val="21"/>
              </w:rPr>
              <w:t>折间标准差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03442A">
            <w:pPr>
              <w:spacing w:after="0" w:line="288" w:lineRule="auto"/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Times New Roman" w:hAnsi="Times New Roman" w:eastAsia="宋体"/>
                <w:b w:val="0"/>
                <w:i w:val="0"/>
                <w:color w:val="08090C"/>
                <w:sz w:val="21"/>
              </w:rPr>
              <w:t>0.000275</w:t>
            </w:r>
          </w:p>
        </w:tc>
        <w:tc>
          <w:tcPr>
            <w:tcW w:w="4082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49821C">
            <w:pPr>
              <w:spacing w:after="0" w:line="288" w:lineRule="auto"/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Times New Roman" w:hAnsi="Times New Roman" w:eastAsia="宋体"/>
                <w:b w:val="0"/>
                <w:i w:val="0"/>
                <w:color w:val="08090C"/>
                <w:sz w:val="21"/>
              </w:rPr>
              <w:t>各折结果波动较小</w:t>
            </w:r>
          </w:p>
        </w:tc>
      </w:tr>
      <w:tr w14:paraId="789FBC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BE650C">
            <w:pPr>
              <w:spacing w:after="0" w:line="288" w:lineRule="auto"/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Times New Roman" w:hAnsi="Times New Roman" w:eastAsia="宋体"/>
                <w:b w:val="0"/>
                <w:i w:val="0"/>
                <w:color w:val="08090C"/>
                <w:sz w:val="21"/>
              </w:rPr>
              <w:t>Kaggle Public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3B6E89">
            <w:pPr>
              <w:spacing w:after="0" w:line="288" w:lineRule="auto"/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Times New Roman" w:hAnsi="Times New Roman" w:eastAsia="宋体"/>
                <w:b w:val="0"/>
                <w:i w:val="0"/>
                <w:color w:val="08090C"/>
                <w:sz w:val="21"/>
              </w:rPr>
              <w:t>0.95002</w:t>
            </w:r>
          </w:p>
        </w:tc>
        <w:tc>
          <w:tcPr>
            <w:tcW w:w="408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6391A1">
            <w:pPr>
              <w:spacing w:after="0" w:line="288" w:lineRule="auto"/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Times New Roman" w:hAnsi="Times New Roman" w:eastAsia="宋体"/>
                <w:b w:val="0"/>
                <w:i w:val="0"/>
                <w:color w:val="08090C"/>
                <w:sz w:val="21"/>
              </w:rPr>
              <w:t>公开测试集结果</w:t>
            </w:r>
          </w:p>
        </w:tc>
      </w:tr>
      <w:tr w14:paraId="394D98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35199D">
            <w:pPr>
              <w:spacing w:after="0" w:line="288" w:lineRule="auto"/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Times New Roman" w:hAnsi="Times New Roman" w:eastAsia="宋体"/>
                <w:b w:val="0"/>
                <w:i w:val="0"/>
                <w:color w:val="08090C"/>
                <w:sz w:val="21"/>
              </w:rPr>
              <w:t>Kaggle Private</w:t>
            </w:r>
          </w:p>
        </w:tc>
        <w:tc>
          <w:tcPr>
            <w:tcW w:w="1814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D58BAA">
            <w:pPr>
              <w:spacing w:after="0" w:line="288" w:lineRule="auto"/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Times New Roman" w:hAnsi="Times New Roman" w:eastAsia="宋体"/>
                <w:b w:val="0"/>
                <w:i w:val="0"/>
                <w:color w:val="08090C"/>
                <w:sz w:val="21"/>
              </w:rPr>
              <w:t>0.95079</w:t>
            </w:r>
          </w:p>
        </w:tc>
        <w:tc>
          <w:tcPr>
            <w:tcW w:w="4082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E12135">
            <w:pPr>
              <w:spacing w:after="0" w:line="288" w:lineRule="auto"/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Times New Roman" w:hAnsi="Times New Roman" w:eastAsia="宋体"/>
                <w:b w:val="0"/>
                <w:i w:val="0"/>
                <w:color w:val="08090C"/>
                <w:sz w:val="21"/>
              </w:rPr>
              <w:t>最终私有测试集结果</w:t>
            </w:r>
          </w:p>
        </w:tc>
      </w:tr>
    </w:tbl>
    <w:p w14:paraId="1ADDC66F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特征重要性分析显示，Race_Year、TyreAgeRatio、Stint 和 LapTime_Delta 是当前最重要的特征。该结果表明赛道与年份差异、轮胎使用程度、当前赛段以及圈速变化是影响下一圈进站决策的主要因素。</w:t>
      </w:r>
    </w:p>
    <w:p w14:paraId="534FB833">
      <w:pPr>
        <w:keepNext/>
        <w:ind w:firstLine="0"/>
        <w:jc w:val="center"/>
      </w:pPr>
      <w:r>
        <w:drawing>
          <wp:inline distT="0" distB="0" distL="114300" distR="114300">
            <wp:extent cx="4895850" cy="3807460"/>
            <wp:effectExtent l="0" t="0" r="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96000" cy="38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4E83C">
      <w:pPr>
        <w:pStyle w:val="15"/>
        <w:keepNext w:val="0"/>
        <w:spacing w:before="0" w:after="0" w:line="360" w:lineRule="auto"/>
        <w:jc w:val="center"/>
      </w:pPr>
      <w:r>
        <w:rPr>
          <w:rFonts w:ascii="Times New Roman" w:hAnsi="Times New Roman" w:eastAsia="宋体"/>
          <w:b w:val="0"/>
          <w:sz w:val="21"/>
        </w:rPr>
        <w:t>图 2 CatBoost 模型前 20 个重要特征</w:t>
      </w:r>
    </w:p>
    <w:p w14:paraId="5A4A596D">
      <w:pPr>
        <w:pStyle w:val="3"/>
        <w:keepNext/>
        <w:spacing w:before="120" w:after="60"/>
      </w:pPr>
      <w:r>
        <w:rPr>
          <w:rFonts w:ascii="Times New Roman" w:hAnsi="Times New Roman" w:eastAsia="宋体"/>
          <w:b/>
          <w:sz w:val="28"/>
        </w:rPr>
        <w:t>5 后续需要进行的任务</w:t>
      </w:r>
    </w:p>
    <w:p w14:paraId="3D9375B1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当前方案已经完成可靠基线，但仍以单一 CatBoost 模型为主。下一阶段计划如下。</w:t>
      </w:r>
    </w:p>
    <w:tbl>
      <w:tblPr>
        <w:tblStyle w:val="33"/>
        <w:tblW w:w="831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89"/>
        <w:gridCol w:w="3724"/>
      </w:tblGrid>
      <w:tr w14:paraId="149CBC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4589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63FFF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Times New Roman" w:hAnsi="Times New Roman" w:eastAsia="宋体"/>
                <w:b/>
                <w:i w:val="0"/>
                <w:color w:val="000000" w:themeColor="dark1"/>
                <w:sz w:val="21"/>
                <w14:textFill>
                  <w14:solidFill>
                    <w14:schemeClr w14:val="dk1"/>
                  </w14:solidFill>
                </w14:textFill>
              </w:rPr>
              <w:t>后续任务</w:t>
            </w:r>
          </w:p>
        </w:tc>
        <w:tc>
          <w:tcPr>
            <w:tcW w:w="3724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69F8B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Times New Roman" w:hAnsi="Times New Roman" w:eastAsia="宋体"/>
                <w:b/>
                <w:i w:val="0"/>
                <w:color w:val="000000" w:themeColor="dark1"/>
                <w:sz w:val="21"/>
                <w14:textFill>
                  <w14:solidFill>
                    <w14:schemeClr w14:val="dk1"/>
                  </w14:solidFill>
                </w14:textFill>
              </w:rPr>
              <w:t>预期作用</w:t>
            </w:r>
          </w:p>
        </w:tc>
      </w:tr>
      <w:tr w14:paraId="75EC9B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589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864625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8090C"/>
              </w:rPr>
            </w:pPr>
            <w:r>
              <w:rPr>
                <w:rFonts w:ascii="Times New Roman" w:hAnsi="Times New Roman" w:eastAsia="宋体"/>
                <w:b w:val="0"/>
                <w:i w:val="0"/>
                <w:color w:val="08090C"/>
                <w:sz w:val="21"/>
              </w:rPr>
              <w:t>增加逻辑回归、随机森林、LightGBM 和 XGBoost 对照实验</w:t>
            </w:r>
          </w:p>
        </w:tc>
        <w:tc>
          <w:tcPr>
            <w:tcW w:w="3724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BBDB56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8090C"/>
              </w:rPr>
            </w:pPr>
            <w:r>
              <w:rPr>
                <w:rFonts w:ascii="Times New Roman" w:hAnsi="Times New Roman" w:eastAsia="宋体"/>
                <w:b w:val="0"/>
                <w:i w:val="0"/>
                <w:color w:val="08090C"/>
                <w:sz w:val="21"/>
              </w:rPr>
              <w:t>形成完整模型对比，明确 CatBoost 优势</w:t>
            </w:r>
          </w:p>
        </w:tc>
      </w:tr>
      <w:tr w14:paraId="05BE14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589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2D8FF4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8090C"/>
              </w:rPr>
            </w:pPr>
            <w:r>
              <w:rPr>
                <w:rFonts w:ascii="Times New Roman" w:hAnsi="Times New Roman" w:eastAsia="宋体"/>
                <w:b w:val="0"/>
                <w:i w:val="0"/>
                <w:color w:val="08090C"/>
                <w:sz w:val="21"/>
              </w:rPr>
              <w:t>进行原始特征、基础领域特征和完整特征的消融实验</w:t>
            </w:r>
          </w:p>
        </w:tc>
        <w:tc>
          <w:tcPr>
            <w:tcW w:w="3724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BA01AD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8090C"/>
              </w:rPr>
            </w:pPr>
            <w:r>
              <w:rPr>
                <w:rFonts w:ascii="Times New Roman" w:hAnsi="Times New Roman" w:eastAsia="宋体"/>
                <w:b w:val="0"/>
                <w:i w:val="0"/>
                <w:color w:val="08090C"/>
                <w:sz w:val="21"/>
              </w:rPr>
              <w:t>量化特征工程带来的提升</w:t>
            </w:r>
          </w:p>
        </w:tc>
      </w:tr>
      <w:tr w14:paraId="0A56D6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5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A745B0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8090C"/>
              </w:rPr>
            </w:pPr>
            <w:r>
              <w:rPr>
                <w:rFonts w:ascii="Times New Roman" w:hAnsi="Times New Roman" w:eastAsia="宋体"/>
                <w:b w:val="0"/>
                <w:i w:val="0"/>
                <w:color w:val="08090C"/>
                <w:sz w:val="21"/>
              </w:rPr>
              <w:t>采用多随机种子与按 Driver、Race_Year 分组的交叉验证</w:t>
            </w:r>
          </w:p>
        </w:tc>
        <w:tc>
          <w:tcPr>
            <w:tcW w:w="37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5B2A6A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8090C"/>
              </w:rPr>
            </w:pPr>
            <w:r>
              <w:rPr>
                <w:rFonts w:ascii="Times New Roman" w:hAnsi="Times New Roman" w:eastAsia="宋体"/>
                <w:b w:val="0"/>
                <w:i w:val="0"/>
                <w:color w:val="08090C"/>
                <w:sz w:val="21"/>
              </w:rPr>
              <w:t>检验未知车手或比赛环境下的泛化能力</w:t>
            </w:r>
          </w:p>
        </w:tc>
      </w:tr>
      <w:tr w14:paraId="797FBF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589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A78B4A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8090C"/>
              </w:rPr>
            </w:pPr>
            <w:r>
              <w:rPr>
                <w:rFonts w:ascii="Times New Roman" w:hAnsi="Times New Roman" w:eastAsia="宋体"/>
                <w:b w:val="0"/>
                <w:i w:val="0"/>
                <w:color w:val="08090C"/>
                <w:sz w:val="21"/>
              </w:rPr>
              <w:t>构造折内历史进站率、圈速趋势和退化斜率等时序统计特征</w:t>
            </w:r>
          </w:p>
        </w:tc>
        <w:tc>
          <w:tcPr>
            <w:tcW w:w="3724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8FC48B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8090C"/>
              </w:rPr>
            </w:pPr>
            <w:r>
              <w:rPr>
                <w:rFonts w:ascii="Times New Roman" w:hAnsi="Times New Roman" w:eastAsia="宋体"/>
                <w:b w:val="0"/>
                <w:i w:val="0"/>
                <w:color w:val="08090C"/>
                <w:sz w:val="21"/>
              </w:rPr>
              <w:t>进一步利用连续圈次与比赛策略信息</w:t>
            </w:r>
          </w:p>
        </w:tc>
      </w:tr>
      <w:tr w14:paraId="7D9646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5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45C55E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8090C"/>
              </w:rPr>
            </w:pPr>
            <w:r>
              <w:rPr>
                <w:rFonts w:ascii="Times New Roman" w:hAnsi="Times New Roman" w:eastAsia="宋体"/>
                <w:b w:val="0"/>
                <w:i w:val="0"/>
                <w:color w:val="08090C"/>
                <w:sz w:val="21"/>
              </w:rPr>
              <w:t>对 CatBoost、LightGBM 和 XGBoost 进行调参及概率融合</w:t>
            </w:r>
          </w:p>
        </w:tc>
        <w:tc>
          <w:tcPr>
            <w:tcW w:w="37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A2D09F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8090C"/>
              </w:rPr>
            </w:pPr>
            <w:r>
              <w:rPr>
                <w:rFonts w:ascii="Times New Roman" w:hAnsi="Times New Roman" w:eastAsia="宋体"/>
                <w:b w:val="0"/>
                <w:i w:val="0"/>
                <w:color w:val="08090C"/>
                <w:sz w:val="21"/>
              </w:rPr>
              <w:t>争取将 Private ROC-AUC 提升至 0.953 至 0.954</w:t>
            </w:r>
          </w:p>
        </w:tc>
      </w:tr>
      <w:tr w14:paraId="407B6A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589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F1C8C2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8090C"/>
              </w:rPr>
            </w:pPr>
            <w:r>
              <w:rPr>
                <w:rFonts w:ascii="Times New Roman" w:hAnsi="Times New Roman" w:eastAsia="宋体"/>
                <w:b w:val="0"/>
                <w:i w:val="0"/>
                <w:color w:val="08090C"/>
                <w:sz w:val="21"/>
              </w:rPr>
              <w:t>分析错误样本和不同轮胎、赛道、年份子群体的 AUC</w:t>
            </w:r>
          </w:p>
        </w:tc>
        <w:tc>
          <w:tcPr>
            <w:tcW w:w="3724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A01E25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 w:val="0"/>
                <w:i w:val="0"/>
                <w:color w:val="08090C"/>
              </w:rPr>
            </w:pPr>
            <w:r>
              <w:rPr>
                <w:rFonts w:ascii="Times New Roman" w:hAnsi="Times New Roman" w:eastAsia="宋体"/>
                <w:b w:val="0"/>
                <w:i w:val="0"/>
                <w:color w:val="08090C"/>
                <w:sz w:val="21"/>
              </w:rPr>
              <w:t>发现模型薄弱场景并支持结果解释</w:t>
            </w:r>
          </w:p>
        </w:tc>
      </w:tr>
    </w:tbl>
    <w:p w14:paraId="399EAA64">
      <w:pPr>
        <w:pStyle w:val="3"/>
        <w:keepNext/>
        <w:spacing w:before="120" w:after="60"/>
      </w:pPr>
      <w:r>
        <w:rPr>
          <w:rFonts w:ascii="Times New Roman" w:hAnsi="Times New Roman" w:eastAsia="宋体"/>
          <w:b/>
          <w:sz w:val="28"/>
        </w:rPr>
        <w:t>6 当前结论</w:t>
      </w:r>
    </w:p>
    <w:p w14:paraId="22A945CE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项目目前已完成从数据分析、特征构造、模型训练到比赛提交的完整基础流程，模型 Private ROC-AUC 达到 0.95079。现阶段结果证明领域特征与 CatBoost 对该任务有效。后续工作的重点将从建立基础模型转向模型对比、特征消融、稳健验证和模型融合，以提高预测效果并完善课程汇报所需的实验论证。</w:t>
      </w:r>
    </w:p>
    <w:sectPr>
      <w:pgSz w:w="11906" w:h="16838"/>
      <w:pgMar w:top="1440" w:right="1797" w:bottom="1440" w:left="179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36047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 w:ascii="Times New Roman" w:hAnsi="Times New Roman" w:eastAsia="宋体"/>
      <w:b/>
      <w:bCs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 w:ascii="Times New Roman" w:hAnsi="Times New Roman" w:eastAsia="宋体"/>
      <w:b/>
      <w:bCs/>
      <w:sz w:val="24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 w:ascii="Times New Roman" w:hAnsi="Times New Roman" w:eastAsia="宋体"/>
      <w:b/>
      <w:bCs/>
      <w:sz w:val="21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 w:ascii="Times New Roman" w:hAnsi="Times New Roman" w:eastAsia="宋体"/>
      <w:b/>
      <w:bCs/>
      <w:i/>
      <w:iCs/>
      <w:sz w:val="18"/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rFonts w:ascii="Times New Roman" w:hAnsi="Times New Roman" w:eastAsia="宋体"/>
      <w:bCs/>
      <w:sz w:val="21"/>
      <w:szCs w:val="18"/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  <w:rPr>
      <w:rFonts w:ascii="Times New Roman" w:hAnsi="Times New Roman" w:eastAsia="宋体"/>
      <w:sz w:val="21"/>
    </w:r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spacing w:after="300" w:line="240" w:lineRule="auto"/>
      <w:contextualSpacing/>
    </w:pPr>
    <w:rPr>
      <w:rFonts w:asciiTheme="majorHAnsi" w:hAnsiTheme="majorHAnsi" w:eastAsiaTheme="majorEastAsia" w:cstheme="majorBidi" w:ascii="Times New Roman" w:hAnsi="Times New Roman" w:eastAsia="宋体"/>
      <w:spacing w:val="5"/>
      <w:kern w:val="28"/>
      <w:sz w:val="30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1207</Words>
  <Characters>1806</Characters>
  <Lines>0</Lines>
  <Paragraphs>0</Paragraphs>
  <TotalTime>4</TotalTime>
  <ScaleCrop>false</ScaleCrop>
  <LinksUpToDate>false</LinksUpToDate>
  <CharactersWithSpaces>1903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/>
  <dc:description/>
  <cp:lastModifiedBy/>
  <dcterms:modified xsi:type="dcterms:W3CDTF">2026-06-10T13:59:12Z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eyJoZGlkIjoiMTMyOTMzNTBjNzNjYTY0ZDRmYjczNTBmYjI2ZDVjNTYiLCJ1c2VySWQiOiIxMjExMzgxNDgzIn0=</vt:lpwstr>
  </property>
  <property fmtid="{D5CDD505-2E9C-101B-9397-08002B2CF9AE}" pid="3" name="KSOProductBuildVer">
    <vt:lpwstr>2052-12.1.0.24034</vt:lpwstr>
  </property>
  <property fmtid="{D5CDD505-2E9C-101B-9397-08002B2CF9AE}" pid="4" name="ICV">
    <vt:lpwstr>32F438850A23420DAC32C19E7B71E559_12</vt:lpwstr>
  </property>
</Properties>
</file>