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7658" w14:textId="77777777" w:rsidR="002D6F66" w:rsidRDefault="00000000">
      <w:pPr>
        <w:pStyle w:val="Title"/>
        <w:spacing w:after="60"/>
      </w:pPr>
      <w:r>
        <w:t>Design and Implementation of a Framework-Agnostic, General-Purpose Machine Learning Platform</w:t>
      </w:r>
    </w:p>
    <w:p w14:paraId="60B9EF60" w14:textId="77777777" w:rsidR="002D6F66" w:rsidRDefault="00000000">
      <w:r>
        <w:t>A systems research thesis and implementation blueprint</w:t>
      </w:r>
    </w:p>
    <w:p w14:paraId="0828285D" w14:textId="77777777" w:rsidR="002D6F66" w:rsidRDefault="00000000">
      <w:r>
        <w:t>Scope: heterogeneous machine-learning libraries, reproducibility, lineage, orchestration, registry, serving, security, and evaluation</w:t>
      </w:r>
    </w:p>
    <w:p w14:paraId="07A11F20" w14:textId="77777777" w:rsidR="002D6F66" w:rsidRDefault="00000000">
      <w:r>
        <w:t>Manuscript status: proposed architecture and executable research plan; no empirical benchmarks are represented as completed.</w:t>
      </w:r>
    </w:p>
    <w:p w14:paraId="4B33CFF6" w14:textId="77777777" w:rsidR="002D6F66" w:rsidRDefault="00000000">
      <w:pPr>
        <w:pStyle w:val="Heading1"/>
      </w:pPr>
      <w:r>
        <w:t>Abstract</w:t>
      </w:r>
    </w:p>
    <w:p w14:paraId="1DBDF932" w14:textId="77777777" w:rsidR="002D6F66" w:rsidRDefault="00000000">
      <w:r>
        <w:t>Machine learning (ML) engineering relies on heterogeneous libraries, languages, compute engines and deployment targets. Experiment trackers simplify the capture of metrics and artifacts, while workflow orchestrators, data-versioning systems, model registries and inference servers solve complementary parts of the lifecycle. Their interfaces, however, do not imply universal portability: algorithm-specific training loops, custom preprocessing, distributed execution, serialization formats and dependency constraints resist a single standardized wrapper. This thesis proposes a framework-agnostic general-purpose ML platform (GPMLP) built around a minimal run-and-artifact contract, a pluggable adapter capability model, immutable provenance, content-addressable artifacts, and an independent execution control plane. The design supports a broad spectrum of libraries through progressively richer integration levels: black-box execution, structured telemetry, native model packaging, and managed inference. A reference architecture, entity schema, event/state semantics, API contracts, security model, deployment topology and implementation roadmap are developed. The research proposes falsifiable hypotheses and benchmarks for compatibility coverage, instrumentation overhead, recovery correctness, reproducibility and operating cost. The contribution is an extensibility theory and engineering method rather than a claim of already demonstrated performance.</w:t>
      </w:r>
    </w:p>
    <w:p w14:paraId="1C0DAB10" w14:textId="77777777" w:rsidR="002D6F66" w:rsidRDefault="00000000">
      <w:r>
        <w:t>Keywords: MLOps; experiment tracking; MLflow; framework agnosticism; provenance; container orchestration; model registry; reproducibility; distributed systems.</w:t>
      </w:r>
    </w:p>
    <w:p w14:paraId="53684B9E" w14:textId="77777777" w:rsidR="002D6F66" w:rsidRDefault="00000000">
      <w:pPr>
        <w:pStyle w:val="Heading1"/>
      </w:pPr>
      <w:r>
        <w:t>1. Introduction and Research Questions</w:t>
      </w:r>
    </w:p>
    <w:p w14:paraId="6329DF30" w14:textId="77777777" w:rsidR="002D6F66" w:rsidRDefault="00000000">
      <w:pPr>
        <w:pStyle w:val="Heading2"/>
      </w:pPr>
      <w:r>
        <w:t>1.1 Motivation</w:t>
      </w:r>
    </w:p>
    <w:p w14:paraId="586418C4" w14:textId="77777777" w:rsidR="002D6F66" w:rsidRDefault="00000000">
      <w:r>
        <w:t>A practical ML workflow begins with data selection, feature computation and training, but typically continues through evaluation, comparison, packaging, approval, deployment, monitoring and retraining. A researcher may use scikit-learn for tabular baselines, PyTorch for deep learning, XGBoost for boosting, TensorFlow for production workloads, and a custom executable or R package for specialized work. Platform infrastructure should not dictate algorithm selection. Yet integrations that attempt to understand every model class become brittle as libraries and execution environments evolve.</w:t>
      </w:r>
    </w:p>
    <w:p w14:paraId="1316F95D" w14:textId="77777777" w:rsidR="002D6F66" w:rsidRDefault="00000000">
      <w:r>
        <w:t xml:space="preserve">A heterogeneous organization rarely chooses a single learning framework. Research notebooks may start with NumPy and scikit-learn, transition to PyTorch for representation learning, and later incorporate XGBoost for tabular baselines. Production inference may occur in a different language or an edge runtime, while compliance teams need to reconstruct the source data, configuration, approvals, and artifacts behind a prediction. The friction is therefore not merely a missing dashboard. It is a mismatch between the identity of an experiment and the execution conventions of the program that produced it. A platform that assumes all workloads expose a fitted estimator or a Python model object cannot faithfully represent simulation workflows, reinforcement-learning episodes, training carried out by a command-line executable, or federated runs whose parameters never leave a controlled boundary. By contrast, an event and artifact protocol can represent these cases without inspecting internal model classes. The practical </w:t>
      </w:r>
      <w:r>
        <w:lastRenderedPageBreak/>
        <w:t>ambition of generality is thus broad coverage of lifecycle operations, not a promise of universal model understanding.</w:t>
      </w:r>
    </w:p>
    <w:p w14:paraId="7369164F" w14:textId="77777777" w:rsidR="002D6F66" w:rsidRDefault="00000000">
      <w:r>
        <w:t>A general-purpose platform must therefore distinguish the universal semantics of an experiment from the optional semantics of a particular learning library. The former include identity, execution state, inputs, parameters, measurements, outputs and provenance. The latter include estimator classes, callbacks, checkpoints, graph signatures, distributed strategies and inference entry points. A sound architecture captures the universal layer without forcing all libraries into the same model object.</w:t>
      </w:r>
    </w:p>
    <w:p w14:paraId="2189D760" w14:textId="77777777" w:rsidR="002D6F66" w:rsidRDefault="00000000">
      <w:pPr>
        <w:pStyle w:val="Heading2"/>
      </w:pPr>
      <w:r>
        <w:t>1.2 Problem statement</w:t>
      </w:r>
    </w:p>
    <w:p w14:paraId="40184F53" w14:textId="77777777" w:rsidR="002D6F66" w:rsidRDefault="00000000">
      <w:r>
        <w:t>Existing platforms demonstrate strong individual capabilities but can require multiple cooperating products for complete lifecycle management. A framework-specific integration offers rich telemetry at the cost of maintenance and coverage. A purely container-based execution system covers nearly any workload but understands relatively little about model semantics. The research problem is to determine how an ML platform can maximize usable compatibility while preserving reproducibility, reliable execution, low integration effort, secure isolation and a coherent user experience.</w:t>
      </w:r>
    </w:p>
    <w:p w14:paraId="7FA7E7A2" w14:textId="77777777" w:rsidR="002D6F66" w:rsidRDefault="00000000">
      <w:r>
        <w:t>The engineering difficulty is visible at four boundaries. At the language boundary, client applications require consistent errors, authentication, and schema evolution across Python, R, Java, and shell scripts. At the execution boundary, submitted code must retain its dependencies without contaminating long-running control-plane services. At the storage boundary, metadata transactions cannot atomically include writes to an external object store; upload and registration must therefore be coordinated through explicit staging and commit states. At the governance boundary, researchers need flexibility to store unconventional artifacts while operators need enforceable policies for ownership, retention, approvals, and access. The thesis treats these boundaries as one system problem. A successful solution must remain useful when no specialized plugin exists, and it must expose clearly which stronger guarantees become possible only after adding one.</w:t>
      </w:r>
    </w:p>
    <w:p w14:paraId="676E32CD" w14:textId="77777777" w:rsidR="002D6F66" w:rsidRDefault="00000000">
      <w:pPr>
        <w:pStyle w:val="Heading2"/>
      </w:pPr>
      <w:r>
        <w:t>1.3 Research questions</w:t>
      </w:r>
    </w:p>
    <w:p w14:paraId="099FD38B" w14:textId="77777777" w:rsidR="002D6F66" w:rsidRDefault="00000000">
      <w:pPr>
        <w:pStyle w:val="ListBullet"/>
      </w:pPr>
      <w:r>
        <w:t>RQ1: What is the smallest vendor- and framework-neutral metadata contract sufficient to track meaningful experiments and their provenance?</w:t>
      </w:r>
    </w:p>
    <w:p w14:paraId="538332A4" w14:textId="77777777" w:rsidR="002D6F66" w:rsidRDefault="00000000">
      <w:pPr>
        <w:pStyle w:val="ListBullet"/>
      </w:pPr>
      <w:r>
        <w:t>RQ2: How can progressive adapters support diverse libraries without requiring model-class introspection at the core?</w:t>
      </w:r>
    </w:p>
    <w:p w14:paraId="6B3AB1CA" w14:textId="77777777" w:rsidR="002D6F66" w:rsidRDefault="00000000">
      <w:pPr>
        <w:pStyle w:val="ListBullet"/>
      </w:pPr>
      <w:r>
        <w:t>RQ3: Which control-plane and artifact semantics ensure recoverable runs and verifiable model versions under distributed failure?</w:t>
      </w:r>
    </w:p>
    <w:p w14:paraId="45C38805" w14:textId="77777777" w:rsidR="002D6F66" w:rsidRDefault="00000000">
      <w:pPr>
        <w:pStyle w:val="ListBullet"/>
      </w:pPr>
      <w:r>
        <w:t>RQ4: How should compatibility, overhead, reproducibility, operability and extensibility be evaluated quantitatively?</w:t>
      </w:r>
    </w:p>
    <w:p w14:paraId="7946088C" w14:textId="77777777" w:rsidR="002D6F66" w:rsidRDefault="00000000">
      <w:pPr>
        <w:pStyle w:val="Heading2"/>
      </w:pPr>
      <w:r>
        <w:t>1.4 Contributions and boundaries</w:t>
      </w:r>
    </w:p>
    <w:p w14:paraId="0EC2CFCF" w14:textId="77777777" w:rsidR="002D6F66" w:rsidRDefault="00000000">
      <w:r>
        <w:t>This manuscript contributes (i) an interoperability taxonomy, (ii) a capability-negotiated adapter architecture, (iii) a versioned, immutable provenance model, (iv) a reference service decomposition and lifecycle protocol, and (v) a reproducible benchmark specification. It does not assert universal inference portability, lossless conversion between arbitrary model formats, fully deterministic GPU results, or experimental outcomes not yet measured. The term “general-purpose” denotes broad execution and observation support with explicitly reported limits.</w:t>
      </w:r>
    </w:p>
    <w:p w14:paraId="62AAEFDF" w14:textId="77777777" w:rsidR="002D6F66" w:rsidRDefault="00000000">
      <w:pPr>
        <w:pStyle w:val="Heading1"/>
      </w:pPr>
      <w:r>
        <w:t>2. Survey of Existing Platforms and Standards</w:t>
      </w:r>
    </w:p>
    <w:p w14:paraId="52C11647" w14:textId="77777777" w:rsidR="002D6F66" w:rsidRDefault="00000000">
      <w:pPr>
        <w:pStyle w:val="Heading2"/>
      </w:pPr>
      <w:r>
        <w:t>2.1 Taxonomy of MLOps functions</w:t>
      </w:r>
    </w:p>
    <w:p w14:paraId="54807A95" w14:textId="77777777" w:rsidR="002D6F66" w:rsidRDefault="00000000">
      <w:r>
        <w:t>ML platforms can be analyzed through five orthogonal roles: observability (runs, metrics and logs), data and artifact versioning, orchestration, registry/governance, and serving/operations. A product may cover several roles, but comparison should not equate the presence of an API with operational feature equivalence. A useful survey distinguishes native functionality, external integrations, and user-supplied engineering. Official documentation is preferred where behavior changes by release.</w:t>
      </w:r>
    </w:p>
    <w:p w14:paraId="5FEB8955" w14:textId="77777777" w:rsidR="002D6F66" w:rsidRDefault="00000000">
      <w:pPr>
        <w:pStyle w:val="Heading2"/>
      </w:pPr>
      <w:r>
        <w:lastRenderedPageBreak/>
        <w:t>2.2 MLflow</w:t>
      </w:r>
    </w:p>
    <w:p w14:paraId="6A006E99" w14:textId="77777777" w:rsidR="002D6F66" w:rsidRDefault="00000000">
      <w:r>
        <w:t>MLflow Tracking defines experiments and runs, with parameter, metric, tag and artifact logging exposed through several APIs [1]. MLflow Models introduces a standardized packaging convention with framework-specific flavors and a generic Python-function interface [2,3]. Its flavor concept is a key precedent for this research: model packaging can expose multiple interfaces while the underlying training program remains heterogeneous. This thesis differs by making execution-level compatibility the mandatory baseline, and treating callable inference as an optional advertised capability rather than assuming every artifact is serveable.</w:t>
      </w:r>
    </w:p>
    <w:p w14:paraId="2D9FD2ED" w14:textId="77777777" w:rsidR="002D6F66" w:rsidRDefault="00000000">
      <w:r>
        <w:t>MLflow is a useful baseline because its tracking concepts are intentionally lightweight and its ecosystem contains framework integrations, registry operations, and deployment-related components. However, evaluating a new system against MLflow requires feature-level precision. A fair comparison distinguishes tracking API compatibility from production execution orchestration, and distinguishes a portable model packaging convention from the ability to execute every possible native model. For instance, a custom Python-function flavor may standardize invocation while still depending on Python packages and environment reconstruction. An evaluator should therefore record both successful ingestion of a model artifact and successful inference in a fresh worker with declared dependencies. Tests should also compare write amplification, event batching, artifact transfer, registry transaction behavior, and how failure is reported to users. These questions are more informative than a checklist that assigns a single yes/no value to 'framework support'.</w:t>
      </w:r>
    </w:p>
    <w:p w14:paraId="676BA4CA" w14:textId="77777777" w:rsidR="002D6F66" w:rsidRDefault="00000000">
      <w:pPr>
        <w:pStyle w:val="Heading2"/>
      </w:pPr>
      <w:r>
        <w:t>2.3 Kubeflow and Kubernetes-native systems</w:t>
      </w:r>
    </w:p>
    <w:p w14:paraId="279DB94B" w14:textId="77777777" w:rsidR="002D6F66" w:rsidRDefault="00000000">
      <w:r>
        <w:t>Kubeflow Pipelines expresses workflows as directed graphs of components and executes container workloads on Kubernetes; its documented mechanisms include caching, retries, resource constraints and artifact passing [4]. This makes it a strong orchestration reference. Yet workflow portability is distinct from library-neutral metadata and inference semantics. The proposed GPMLP can use Kubeflow or another scheduler as a backend instead of recreating cluster scheduling in the first prototype.</w:t>
      </w:r>
    </w:p>
    <w:p w14:paraId="68DA38E7" w14:textId="77777777" w:rsidR="002D6F66" w:rsidRDefault="00000000">
      <w:r>
        <w:t>The Kubernetes-native approach reveals an important architectural separation: the scheduler is responsible for resource placement and process lifecycle, while the ML platform should own experiment meaning, provenance, permissions, and reproducibility metadata. Attempting to replace a mature cluster scheduler in an initial prototype would introduce a second distributed-systems research problem without strengthening interoperability. Instead, the proposed controller emits standard workload specifications and observes their status through a reconciliation loop. It remains possible to support alternative compute backends later through an execution-provider interface. This separation improves portability to private clusters and local development while preserving a consistent run identifier and audit trail across environments. A credible comparison must account for the cost of operating Kubernetes itself; small teams may prefer a local executor or managed batch backend even if the control-plane semantics remain unchanged.</w:t>
      </w:r>
    </w:p>
    <w:p w14:paraId="16C5DAC6" w14:textId="77777777" w:rsidR="002D6F66" w:rsidRDefault="00000000">
      <w:pPr>
        <w:pStyle w:val="Heading2"/>
      </w:pPr>
      <w:r>
        <w:t>2.4 DVC, dataset provenance and lineage</w:t>
      </w:r>
    </w:p>
    <w:p w14:paraId="3F66A423" w14:textId="77777777" w:rsidR="002D6F66" w:rsidRDefault="00000000">
      <w:r>
        <w:t>DVC emphasizes Git-connected versioning of data, pipelines, models and experiments and supports programming-language-agnostic workflows [5]. Its emphasis on version-controlled inputs motivates immutable dataset references and provenance edges. OpenLineage formalizes jobs, run events and datasets, with extensible facets [6]. These concepts can be mapped to ML runs while retaining ML-specific entities such as model versions and evaluations. Neither generic data lineage nor version control automatically proves byte-for-byte training reproducibility.</w:t>
      </w:r>
    </w:p>
    <w:p w14:paraId="5FB3B41F" w14:textId="77777777" w:rsidR="002D6F66" w:rsidRDefault="00000000">
      <w:r>
        <w:t xml:space="preserve">Version control for source code alone cannot reproduce training data. Dataset inputs may be mutable tables, externally hosted corpora, generated features, or licensed archives for which full copying is prohibited. The platform therefore represents a dataset as a declared locator plus an identity policy: snapshot ID, table version, immutable object digest, or a documented best-effort reference when strong identity is unavailable. An identity record also states whether the underlying bytes remain accessible, who has permission to read them, and whether a retention guarantee exists. These attributes must not be </w:t>
      </w:r>
      <w:r>
        <w:lastRenderedPageBreak/>
        <w:t>conflated. Two experiments can share a dataset identifier yet fail to be reproducible because the data became inaccessible or because a transformation depends on an unrecorded external service. Provenance validation consequently traverses both artifact edges and dependency edges, reporting missing or unverifiable nodes rather than generating an unconditional reproducibility badge.</w:t>
      </w:r>
    </w:p>
    <w:p w14:paraId="0C11E833" w14:textId="77777777" w:rsidR="002D6F66" w:rsidRDefault="00000000">
      <w:pPr>
        <w:pStyle w:val="Heading2"/>
      </w:pPr>
      <w:r>
        <w:t>2.5 Other relevant systems</w:t>
      </w:r>
    </w:p>
    <w:p w14:paraId="2605A553" w14:textId="77777777" w:rsidR="002D6F66" w:rsidRDefault="00000000">
      <w:r>
        <w:t>Apache Airflow is a general workflow orchestrator; Ray Train and Ray Tune address distributed training and tuning; KServe focuses on serving models on Kubernetes; Feast provides feature-store abstractions; OpenTelemetry supplies vendor-neutral telemetry concepts; ONNX provides a portable representation for a supported subset of computational graphs. Weights &amp; Biases, Neptune and ClearML emphasize experiment workflows with different product boundaries. A research-grade comparison must distinguish proprietary plans from open-source scope and must avoid assuming that all features are freely self-hostable [7–15].</w:t>
      </w:r>
    </w:p>
    <w:p w14:paraId="41A42EDA" w14:textId="77777777" w:rsidR="002D6F66" w:rsidRDefault="00000000">
      <w:pPr>
        <w:pStyle w:val="Caption"/>
      </w:pPr>
      <w:r>
        <w:t>Table 1. Qualitative comparison by primary architectural emphasis (not a product score).</w:t>
      </w:r>
    </w:p>
    <w:tbl>
      <w:tblPr>
        <w:tblStyle w:val="LightShading-Accent1"/>
        <w:tblW w:w="0" w:type="auto"/>
        <w:jc w:val="center"/>
        <w:tblLook w:val="04A0" w:firstRow="1" w:lastRow="0" w:firstColumn="1" w:lastColumn="0" w:noHBand="0" w:noVBand="1"/>
      </w:tblPr>
      <w:tblGrid>
        <w:gridCol w:w="3197"/>
        <w:gridCol w:w="3197"/>
        <w:gridCol w:w="3197"/>
      </w:tblGrid>
      <w:tr w:rsidR="002D6F66" w14:paraId="481C604A"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2A648E5" w14:textId="77777777" w:rsidR="002D6F66" w:rsidRDefault="00000000">
            <w:r>
              <w:t>System</w:t>
            </w:r>
          </w:p>
        </w:tc>
        <w:tc>
          <w:tcPr>
            <w:tcW w:w="3197" w:type="dxa"/>
          </w:tcPr>
          <w:p w14:paraId="50476204" w14:textId="77777777" w:rsidR="002D6F66" w:rsidRDefault="00000000">
            <w:pPr>
              <w:cnfStyle w:val="100000000000" w:firstRow="1" w:lastRow="0" w:firstColumn="0" w:lastColumn="0" w:oddVBand="0" w:evenVBand="0" w:oddHBand="0" w:evenHBand="0" w:firstRowFirstColumn="0" w:firstRowLastColumn="0" w:lastRowFirstColumn="0" w:lastRowLastColumn="0"/>
            </w:pPr>
            <w:r>
              <w:t>Primary strength</w:t>
            </w:r>
          </w:p>
        </w:tc>
        <w:tc>
          <w:tcPr>
            <w:tcW w:w="3197" w:type="dxa"/>
          </w:tcPr>
          <w:p w14:paraId="5D8811B6" w14:textId="77777777" w:rsidR="002D6F66" w:rsidRDefault="00000000">
            <w:pPr>
              <w:cnfStyle w:val="100000000000" w:firstRow="1" w:lastRow="0" w:firstColumn="0" w:lastColumn="0" w:oddVBand="0" w:evenVBand="0" w:oddHBand="0" w:evenHBand="0" w:firstRowFirstColumn="0" w:firstRowLastColumn="0" w:lastRowFirstColumn="0" w:lastRowLastColumn="0"/>
            </w:pPr>
            <w:r>
              <w:t>Boundary relevant to this thesis</w:t>
            </w:r>
          </w:p>
        </w:tc>
      </w:tr>
      <w:tr w:rsidR="002D6F66" w14:paraId="219EC2EC"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3A6C350" w14:textId="77777777" w:rsidR="002D6F66" w:rsidRDefault="00000000">
            <w:r>
              <w:t>MLflow</w:t>
            </w:r>
          </w:p>
        </w:tc>
        <w:tc>
          <w:tcPr>
            <w:tcW w:w="3197" w:type="dxa"/>
          </w:tcPr>
          <w:p w14:paraId="2F9F9208" w14:textId="77777777" w:rsidR="002D6F66" w:rsidRDefault="00000000">
            <w:pPr>
              <w:cnfStyle w:val="000000100000" w:firstRow="0" w:lastRow="0" w:firstColumn="0" w:lastColumn="0" w:oddVBand="0" w:evenVBand="0" w:oddHBand="1" w:evenHBand="0" w:firstRowFirstColumn="0" w:firstRowLastColumn="0" w:lastRowFirstColumn="0" w:lastRowLastColumn="0"/>
            </w:pPr>
            <w:r>
              <w:t>Run tracking, model format, registry ecosystem</w:t>
            </w:r>
          </w:p>
        </w:tc>
        <w:tc>
          <w:tcPr>
            <w:tcW w:w="3197" w:type="dxa"/>
          </w:tcPr>
          <w:p w14:paraId="17B1F8B4" w14:textId="77777777" w:rsidR="002D6F66" w:rsidRDefault="00000000">
            <w:pPr>
              <w:cnfStyle w:val="000000100000" w:firstRow="0" w:lastRow="0" w:firstColumn="0" w:lastColumn="0" w:oddVBand="0" w:evenVBand="0" w:oddHBand="1" w:evenHBand="0" w:firstRowFirstColumn="0" w:firstRowLastColumn="0" w:lastRowFirstColumn="0" w:lastRowLastColumn="0"/>
            </w:pPr>
            <w:r>
              <w:t>Rich integration does not ensure arbitrary runtime portability</w:t>
            </w:r>
          </w:p>
        </w:tc>
      </w:tr>
      <w:tr w:rsidR="002D6F66" w14:paraId="22927A80"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62A88DAE" w14:textId="77777777" w:rsidR="002D6F66" w:rsidRDefault="00000000">
            <w:r>
              <w:t>Kubeflow Pipelines</w:t>
            </w:r>
          </w:p>
        </w:tc>
        <w:tc>
          <w:tcPr>
            <w:tcW w:w="3197" w:type="dxa"/>
          </w:tcPr>
          <w:p w14:paraId="77504405" w14:textId="77777777" w:rsidR="002D6F66" w:rsidRDefault="00000000">
            <w:pPr>
              <w:cnfStyle w:val="000000000000" w:firstRow="0" w:lastRow="0" w:firstColumn="0" w:lastColumn="0" w:oddVBand="0" w:evenVBand="0" w:oddHBand="0" w:evenHBand="0" w:firstRowFirstColumn="0" w:firstRowLastColumn="0" w:lastRowFirstColumn="0" w:lastRowLastColumn="0"/>
            </w:pPr>
            <w:r>
              <w:t>Containerized DAG execution</w:t>
            </w:r>
          </w:p>
        </w:tc>
        <w:tc>
          <w:tcPr>
            <w:tcW w:w="3197" w:type="dxa"/>
          </w:tcPr>
          <w:p w14:paraId="5D4E5EAA" w14:textId="77777777" w:rsidR="002D6F66" w:rsidRDefault="00000000">
            <w:pPr>
              <w:cnfStyle w:val="000000000000" w:firstRow="0" w:lastRow="0" w:firstColumn="0" w:lastColumn="0" w:oddVBand="0" w:evenVBand="0" w:oddHBand="0" w:evenHBand="0" w:firstRowFirstColumn="0" w:firstRowLastColumn="0" w:lastRowFirstColumn="0" w:lastRowLastColumn="0"/>
            </w:pPr>
            <w:r>
              <w:t>Requires complementary registry/tracking concerns</w:t>
            </w:r>
          </w:p>
        </w:tc>
      </w:tr>
      <w:tr w:rsidR="002D6F66" w14:paraId="70003C09"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687232B3" w14:textId="77777777" w:rsidR="002D6F66" w:rsidRDefault="00000000">
            <w:r>
              <w:t>DVC</w:t>
            </w:r>
          </w:p>
        </w:tc>
        <w:tc>
          <w:tcPr>
            <w:tcW w:w="3197" w:type="dxa"/>
          </w:tcPr>
          <w:p w14:paraId="000FF1B2" w14:textId="77777777" w:rsidR="002D6F66" w:rsidRDefault="00000000">
            <w:pPr>
              <w:cnfStyle w:val="000000100000" w:firstRow="0" w:lastRow="0" w:firstColumn="0" w:lastColumn="0" w:oddVBand="0" w:evenVBand="0" w:oddHBand="1" w:evenHBand="0" w:firstRowFirstColumn="0" w:firstRowLastColumn="0" w:lastRowFirstColumn="0" w:lastRowLastColumn="0"/>
            </w:pPr>
            <w:r>
              <w:t>Git-oriented data/experiment versioning</w:t>
            </w:r>
          </w:p>
        </w:tc>
        <w:tc>
          <w:tcPr>
            <w:tcW w:w="3197" w:type="dxa"/>
          </w:tcPr>
          <w:p w14:paraId="7EB7E605" w14:textId="77777777" w:rsidR="002D6F66" w:rsidRDefault="00000000">
            <w:pPr>
              <w:cnfStyle w:val="000000100000" w:firstRow="0" w:lastRow="0" w:firstColumn="0" w:lastColumn="0" w:oddVBand="0" w:evenVBand="0" w:oddHBand="1" w:evenHBand="0" w:firstRowFirstColumn="0" w:firstRowLastColumn="0" w:lastRowFirstColumn="0" w:lastRowLastColumn="0"/>
            </w:pPr>
            <w:r>
              <w:t>Advanced centralized scheduling is not its sole focus</w:t>
            </w:r>
          </w:p>
        </w:tc>
      </w:tr>
      <w:tr w:rsidR="002D6F66" w14:paraId="7E21DA37"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540C143D" w14:textId="77777777" w:rsidR="002D6F66" w:rsidRDefault="00000000">
            <w:r>
              <w:t>OpenLineage</w:t>
            </w:r>
          </w:p>
        </w:tc>
        <w:tc>
          <w:tcPr>
            <w:tcW w:w="3197" w:type="dxa"/>
          </w:tcPr>
          <w:p w14:paraId="6E714272" w14:textId="77777777" w:rsidR="002D6F66" w:rsidRDefault="00000000">
            <w:pPr>
              <w:cnfStyle w:val="000000000000" w:firstRow="0" w:lastRow="0" w:firstColumn="0" w:lastColumn="0" w:oddVBand="0" w:evenVBand="0" w:oddHBand="0" w:evenHBand="0" w:firstRowFirstColumn="0" w:firstRowLastColumn="0" w:lastRowFirstColumn="0" w:lastRowLastColumn="0"/>
            </w:pPr>
            <w:r>
              <w:t>Interoperable lineage events</w:t>
            </w:r>
          </w:p>
        </w:tc>
        <w:tc>
          <w:tcPr>
            <w:tcW w:w="3197" w:type="dxa"/>
          </w:tcPr>
          <w:p w14:paraId="0A0F0AE6" w14:textId="77777777" w:rsidR="002D6F66" w:rsidRDefault="00000000">
            <w:pPr>
              <w:cnfStyle w:val="000000000000" w:firstRow="0" w:lastRow="0" w:firstColumn="0" w:lastColumn="0" w:oddVBand="0" w:evenVBand="0" w:oddHBand="0" w:evenHBand="0" w:firstRowFirstColumn="0" w:firstRowLastColumn="0" w:lastRowFirstColumn="0" w:lastRowLastColumn="0"/>
            </w:pPr>
            <w:r>
              <w:t>Not an end-to-end ML execution platform</w:t>
            </w:r>
          </w:p>
        </w:tc>
      </w:tr>
      <w:tr w:rsidR="002D6F66" w14:paraId="038EAED4"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73BD66D0" w14:textId="77777777" w:rsidR="002D6F66" w:rsidRDefault="00000000">
            <w:r>
              <w:t>KServe</w:t>
            </w:r>
          </w:p>
        </w:tc>
        <w:tc>
          <w:tcPr>
            <w:tcW w:w="3197" w:type="dxa"/>
          </w:tcPr>
          <w:p w14:paraId="441E3D10" w14:textId="77777777" w:rsidR="002D6F66" w:rsidRDefault="00000000">
            <w:pPr>
              <w:cnfStyle w:val="000000100000" w:firstRow="0" w:lastRow="0" w:firstColumn="0" w:lastColumn="0" w:oddVBand="0" w:evenVBand="0" w:oddHBand="1" w:evenHBand="0" w:firstRowFirstColumn="0" w:firstRowLastColumn="0" w:lastRowFirstColumn="0" w:lastRowLastColumn="0"/>
            </w:pPr>
            <w:r>
              <w:t>Kubernetes inference lifecycle</w:t>
            </w:r>
          </w:p>
        </w:tc>
        <w:tc>
          <w:tcPr>
            <w:tcW w:w="3197" w:type="dxa"/>
          </w:tcPr>
          <w:p w14:paraId="57196042" w14:textId="77777777" w:rsidR="002D6F66" w:rsidRDefault="00000000">
            <w:pPr>
              <w:cnfStyle w:val="000000100000" w:firstRow="0" w:lastRow="0" w:firstColumn="0" w:lastColumn="0" w:oddVBand="0" w:evenVBand="0" w:oddHBand="1" w:evenHBand="0" w:firstRowFirstColumn="0" w:firstRowLastColumn="0" w:lastRowFirstColumn="0" w:lastRowLastColumn="0"/>
            </w:pPr>
            <w:r>
              <w:t>Serving assumes an available runtime contract</w:t>
            </w:r>
          </w:p>
        </w:tc>
      </w:tr>
      <w:tr w:rsidR="002D6F66" w14:paraId="04813618"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13D5AF3E" w14:textId="77777777" w:rsidR="002D6F66" w:rsidRDefault="00000000">
            <w:r>
              <w:t>Ray</w:t>
            </w:r>
          </w:p>
        </w:tc>
        <w:tc>
          <w:tcPr>
            <w:tcW w:w="3197" w:type="dxa"/>
          </w:tcPr>
          <w:p w14:paraId="07B0A828" w14:textId="77777777" w:rsidR="002D6F66" w:rsidRDefault="00000000">
            <w:pPr>
              <w:cnfStyle w:val="000000000000" w:firstRow="0" w:lastRow="0" w:firstColumn="0" w:lastColumn="0" w:oddVBand="0" w:evenVBand="0" w:oddHBand="0" w:evenHBand="0" w:firstRowFirstColumn="0" w:firstRowLastColumn="0" w:lastRowFirstColumn="0" w:lastRowLastColumn="0"/>
            </w:pPr>
            <w:r>
              <w:t>Distributed Python execution and tuning</w:t>
            </w:r>
          </w:p>
        </w:tc>
        <w:tc>
          <w:tcPr>
            <w:tcW w:w="3197" w:type="dxa"/>
          </w:tcPr>
          <w:p w14:paraId="1F2FB6B6" w14:textId="77777777" w:rsidR="002D6F66" w:rsidRDefault="00000000">
            <w:pPr>
              <w:cnfStyle w:val="000000000000" w:firstRow="0" w:lastRow="0" w:firstColumn="0" w:lastColumn="0" w:oddVBand="0" w:evenVBand="0" w:oddHBand="0" w:evenHBand="0" w:firstRowFirstColumn="0" w:firstRowLastColumn="0" w:lastRowFirstColumn="0" w:lastRowLastColumn="0"/>
            </w:pPr>
            <w:r>
              <w:t>Not itself a universal governance metadata standard</w:t>
            </w:r>
          </w:p>
        </w:tc>
      </w:tr>
      <w:tr w:rsidR="002D6F66" w14:paraId="46ED20F9"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6C04DF41" w14:textId="77777777" w:rsidR="002D6F66" w:rsidRDefault="00000000">
            <w:r>
              <w:t>Proposed GPMLP</w:t>
            </w:r>
          </w:p>
        </w:tc>
        <w:tc>
          <w:tcPr>
            <w:tcW w:w="3197" w:type="dxa"/>
          </w:tcPr>
          <w:p w14:paraId="11F5A4B8" w14:textId="77777777" w:rsidR="002D6F66" w:rsidRDefault="00000000">
            <w:pPr>
              <w:cnfStyle w:val="000000100000" w:firstRow="0" w:lastRow="0" w:firstColumn="0" w:lastColumn="0" w:oddVBand="0" w:evenVBand="0" w:oddHBand="1" w:evenHBand="0" w:firstRowFirstColumn="0" w:firstRowLastColumn="0" w:lastRowFirstColumn="0" w:lastRowLastColumn="0"/>
            </w:pPr>
            <w:r>
              <w:t>Capability tiers and neutral contracts</w:t>
            </w:r>
          </w:p>
        </w:tc>
        <w:tc>
          <w:tcPr>
            <w:tcW w:w="3197" w:type="dxa"/>
          </w:tcPr>
          <w:p w14:paraId="17BCF419" w14:textId="77777777" w:rsidR="002D6F66" w:rsidRDefault="00000000">
            <w:pPr>
              <w:cnfStyle w:val="000000100000" w:firstRow="0" w:lastRow="0" w:firstColumn="0" w:lastColumn="0" w:oddVBand="0" w:evenVBand="0" w:oddHBand="1" w:evenHBand="0" w:firstRowFirstColumn="0" w:firstRowLastColumn="0" w:lastRowFirstColumn="0" w:lastRowLastColumn="0"/>
            </w:pPr>
            <w:r>
              <w:t>Must prove practicality with benchmarks</w:t>
            </w:r>
          </w:p>
        </w:tc>
      </w:tr>
    </w:tbl>
    <w:p w14:paraId="1216CBA6" w14:textId="77777777" w:rsidR="002D6F66" w:rsidRDefault="00000000">
      <w:pPr>
        <w:pStyle w:val="Heading2"/>
      </w:pPr>
      <w:r>
        <w:t>2.6 Survey synthesis and research gap</w:t>
      </w:r>
    </w:p>
    <w:p w14:paraId="0F8F54F5" w14:textId="77777777" w:rsidR="002D6F66" w:rsidRDefault="00000000">
      <w:r>
        <w:t>The survey supports a compositional rather than monolithic design. The gap is not that modern tools lack extensibility; MLflow itself has custom flavors and Python-function models. The narrower research opportunity is to make the minimum executable observation contract independent of model framework, formalize capability levels, expose explicit support claims, and evaluate integration effort against feature depth. The proposal should interoperate with mature components instead of duplicating their full feature sets.</w:t>
      </w:r>
    </w:p>
    <w:p w14:paraId="08BAF095" w14:textId="77777777" w:rsidR="002D6F66" w:rsidRDefault="00000000">
      <w:pPr>
        <w:pStyle w:val="Heading1"/>
      </w:pPr>
      <w:r>
        <w:t>3. Theoretical Foundations</w:t>
      </w:r>
    </w:p>
    <w:p w14:paraId="06AC32BD" w14:textId="77777777" w:rsidR="002D6F66" w:rsidRDefault="00000000">
      <w:pPr>
        <w:pStyle w:val="Heading2"/>
      </w:pPr>
      <w:r>
        <w:t>3.1 Generality as capability coverage</w:t>
      </w:r>
    </w:p>
    <w:p w14:paraId="17232F64" w14:textId="77777777" w:rsidR="002D6F66" w:rsidRDefault="00000000">
      <w:r>
        <w:t>A system cannot feasibly implement bespoke semantics for every possible library, version and custom learner. Instead define a workload universe W, a finite set of capabilities C, and a support predicate S(w,c) that is true when workload w completes capability c under a published conformance test. Relative support should be measured against a declared workload sample rather than an unbounded rhetorical notion of universality.</w:t>
      </w:r>
    </w:p>
    <w:p w14:paraId="3BDDC1AE" w14:textId="77777777" w:rsidR="002D6F66" w:rsidRDefault="00000000">
      <w:r>
        <w:t xml:space="preserve">A capability matrix is preferable to a slogan such as 'supports all ML frameworks'. The study should construct a workload sample stratified by learning paradigm, language, execution form, and artifact format. For every workload, evaluators distinguish submission, metric capture, checkpointing, model registration, </w:t>
      </w:r>
      <w:r>
        <w:lastRenderedPageBreak/>
        <w:t>rerun, and online serving. Coverage at one layer must not imply coverage at another. A PyTorch model may run in a container and publish metrics without any requirement that the registry understands its tensor graph; a classical estimator may additionally support portable serving through a standardized representation. Reporting the numerator and denominator for each dimension prevents easy Python examples from masking failures with R jobs, GPU-distributed execution, or opaque binaries. The test catalog should include deliberately unfamiliar toy libraries to detect integrations that only work because framework names are hard-coded.</w:t>
      </w:r>
    </w:p>
    <w:p w14:paraId="455C0C73" w14:textId="77777777" w:rsidR="002D6F66" w:rsidRDefault="00000000">
      <w:pPr>
        <w:jc w:val="center"/>
      </w:pPr>
      <w:r>
        <w:rPr>
          <w:i/>
        </w:rPr>
        <w:t>Coverage = (Σw∈W Σc∈C α(w,c) · 1[S(w,c)]) / (Σw∈W Σc∈C α(w,c))</w:t>
      </w:r>
    </w:p>
    <w:p w14:paraId="77566241" w14:textId="77777777" w:rsidR="002D6F66" w:rsidRDefault="00000000">
      <w:pPr>
        <w:pStyle w:val="Caption"/>
        <w:jc w:val="right"/>
      </w:pPr>
      <w:r>
        <w:t>(1) Weighted capability coverage</w:t>
      </w:r>
    </w:p>
    <w:p w14:paraId="48044695" w14:textId="77777777" w:rsidR="002D6F66" w:rsidRDefault="00000000">
      <w:r>
        <w:t>The weights α reflect practical importance and must be disclosed in advance. For example, execution, metrics and artifact capture may have greater initial weight than zero-code native deployment. A platform must publish both weighted and raw matrices to prevent weighting from hiding incompatibility.</w:t>
      </w:r>
    </w:p>
    <w:p w14:paraId="67149C6A" w14:textId="77777777" w:rsidR="002D6F66" w:rsidRDefault="00000000">
      <w:pPr>
        <w:pStyle w:val="Heading2"/>
      </w:pPr>
      <w:r>
        <w:t>3.2 Principle of minimum semantic commitment</w:t>
      </w:r>
    </w:p>
    <w:p w14:paraId="1CC189FE" w14:textId="77777777" w:rsidR="002D6F66" w:rsidRDefault="00000000">
      <w:r>
        <w:t>The core should store observations and references, not assume a universal estimator.fit(), model.predict(), gradient tensor or feature schema. Mandatory invariants are a unique run ID, owner/scope, execution attempt, timestamps, declared inputs, immutable output artifact identity and a terminal status. Optional metadata may declare framework, schema, metric step, distribution topology, and model signature. This design minimizes the cost of adding a new runtime because its integration burden can stop at process-level execution.</w:t>
      </w:r>
    </w:p>
    <w:p w14:paraId="47D795F0" w14:textId="77777777" w:rsidR="002D6F66" w:rsidRDefault="00000000">
      <w:pPr>
        <w:pStyle w:val="Heading2"/>
      </w:pPr>
      <w:r>
        <w:t>3.3 Adapter lattice</w:t>
      </w:r>
    </w:p>
    <w:p w14:paraId="349FE8A9" w14:textId="77777777" w:rsidR="002D6F66" w:rsidRDefault="00000000">
      <w:r>
        <w:t>Define L0 as black-box process/container execution with exit status, stdout/stderr and artifacts; L1 as structured telemetry using generic SDK/CLI/REST; L2 as framework-specific instrumentation such as callbacks and autologging; L3 as portable packaging with dependency and signature validation; and L4 as managed serving with health, readiness and input/output contracts. These tiers are cumulative only when their prerequisite contracts are satisfied; a library may support L2 tracking without L3 serving. Tiers are capabilities, not universal quality ranks.</w:t>
      </w:r>
    </w:p>
    <w:p w14:paraId="75AD7861" w14:textId="77777777" w:rsidR="002D6F66" w:rsidRDefault="00000000">
      <w:pPr>
        <w:pStyle w:val="Caption"/>
      </w:pPr>
      <w:r>
        <w:t>Table 2. Adapter capability levels and required contracts.</w:t>
      </w:r>
    </w:p>
    <w:tbl>
      <w:tblPr>
        <w:tblStyle w:val="LightShading-Accent1"/>
        <w:tblW w:w="0" w:type="auto"/>
        <w:jc w:val="center"/>
        <w:tblLook w:val="04A0" w:firstRow="1" w:lastRow="0" w:firstColumn="1" w:lastColumn="0" w:noHBand="0" w:noVBand="1"/>
      </w:tblPr>
      <w:tblGrid>
        <w:gridCol w:w="2397"/>
        <w:gridCol w:w="2397"/>
        <w:gridCol w:w="2397"/>
        <w:gridCol w:w="2397"/>
      </w:tblGrid>
      <w:tr w:rsidR="002D6F66" w14:paraId="7C98879E"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7" w:type="dxa"/>
          </w:tcPr>
          <w:p w14:paraId="1AF00B0A" w14:textId="77777777" w:rsidR="002D6F66" w:rsidRDefault="00000000">
            <w:r>
              <w:t>Level</w:t>
            </w:r>
          </w:p>
        </w:tc>
        <w:tc>
          <w:tcPr>
            <w:tcW w:w="2397" w:type="dxa"/>
          </w:tcPr>
          <w:p w14:paraId="05E44465" w14:textId="77777777" w:rsidR="002D6F66"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397" w:type="dxa"/>
          </w:tcPr>
          <w:p w14:paraId="21208E4A" w14:textId="77777777" w:rsidR="002D6F66" w:rsidRDefault="00000000">
            <w:pPr>
              <w:cnfStyle w:val="100000000000" w:firstRow="1" w:lastRow="0" w:firstColumn="0" w:lastColumn="0" w:oddVBand="0" w:evenVBand="0" w:oddHBand="0" w:evenHBand="0" w:firstRowFirstColumn="0" w:firstRowLastColumn="0" w:lastRowFirstColumn="0" w:lastRowLastColumn="0"/>
            </w:pPr>
            <w:r>
              <w:t>Typical compatibility</w:t>
            </w:r>
          </w:p>
        </w:tc>
        <w:tc>
          <w:tcPr>
            <w:tcW w:w="2397" w:type="dxa"/>
          </w:tcPr>
          <w:p w14:paraId="78FF7E2D" w14:textId="77777777" w:rsidR="002D6F66" w:rsidRDefault="00000000">
            <w:pPr>
              <w:cnfStyle w:val="100000000000" w:firstRow="1" w:lastRow="0" w:firstColumn="0" w:lastColumn="0" w:oddVBand="0" w:evenVBand="0" w:oddHBand="0" w:evenHBand="0" w:firstRowFirstColumn="0" w:firstRowLastColumn="0" w:lastRowFirstColumn="0" w:lastRowLastColumn="0"/>
            </w:pPr>
            <w:r>
              <w:t>Failure boundary</w:t>
            </w:r>
          </w:p>
        </w:tc>
      </w:tr>
      <w:tr w:rsidR="002D6F66" w14:paraId="3BDBB734"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7" w:type="dxa"/>
          </w:tcPr>
          <w:p w14:paraId="0297C199" w14:textId="77777777" w:rsidR="002D6F66" w:rsidRDefault="00000000">
            <w:r>
              <w:t>L0</w:t>
            </w:r>
          </w:p>
        </w:tc>
        <w:tc>
          <w:tcPr>
            <w:tcW w:w="2397" w:type="dxa"/>
          </w:tcPr>
          <w:p w14:paraId="12EAAE2D" w14:textId="77777777" w:rsidR="002D6F66" w:rsidRDefault="00000000">
            <w:pPr>
              <w:cnfStyle w:val="000000100000" w:firstRow="0" w:lastRow="0" w:firstColumn="0" w:lastColumn="0" w:oddVBand="0" w:evenVBand="0" w:oddHBand="1" w:evenHBand="0" w:firstRowFirstColumn="0" w:firstRowLastColumn="0" w:lastRowFirstColumn="0" w:lastRowLastColumn="0"/>
            </w:pPr>
            <w:r>
              <w:t>Executable plus artifact directory</w:t>
            </w:r>
          </w:p>
        </w:tc>
        <w:tc>
          <w:tcPr>
            <w:tcW w:w="2397" w:type="dxa"/>
          </w:tcPr>
          <w:p w14:paraId="5028B28A" w14:textId="77777777" w:rsidR="002D6F66" w:rsidRDefault="00000000">
            <w:pPr>
              <w:cnfStyle w:val="000000100000" w:firstRow="0" w:lastRow="0" w:firstColumn="0" w:lastColumn="0" w:oddVBand="0" w:evenVBand="0" w:oddHBand="1" w:evenHBand="0" w:firstRowFirstColumn="0" w:firstRowLastColumn="0" w:lastRowFirstColumn="0" w:lastRowLastColumn="0"/>
            </w:pPr>
            <w:r>
              <w:t>Python, R, JVM, Julia, shell, native binary</w:t>
            </w:r>
          </w:p>
        </w:tc>
        <w:tc>
          <w:tcPr>
            <w:tcW w:w="2397" w:type="dxa"/>
          </w:tcPr>
          <w:p w14:paraId="44563FD5" w14:textId="77777777" w:rsidR="002D6F66" w:rsidRDefault="00000000">
            <w:pPr>
              <w:cnfStyle w:val="000000100000" w:firstRow="0" w:lastRow="0" w:firstColumn="0" w:lastColumn="0" w:oddVBand="0" w:evenVBand="0" w:oddHBand="1" w:evenHBand="0" w:firstRowFirstColumn="0" w:firstRowLastColumn="0" w:lastRowFirstColumn="0" w:lastRowLastColumn="0"/>
            </w:pPr>
            <w:r>
              <w:t>No internal learning semantics</w:t>
            </w:r>
          </w:p>
        </w:tc>
      </w:tr>
      <w:tr w:rsidR="002D6F66" w14:paraId="237A8007"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2397" w:type="dxa"/>
          </w:tcPr>
          <w:p w14:paraId="77102426" w14:textId="77777777" w:rsidR="002D6F66" w:rsidRDefault="00000000">
            <w:r>
              <w:t>L1</w:t>
            </w:r>
          </w:p>
        </w:tc>
        <w:tc>
          <w:tcPr>
            <w:tcW w:w="2397" w:type="dxa"/>
          </w:tcPr>
          <w:p w14:paraId="4147B2FA" w14:textId="77777777" w:rsidR="002D6F66" w:rsidRDefault="00000000">
            <w:pPr>
              <w:cnfStyle w:val="000000000000" w:firstRow="0" w:lastRow="0" w:firstColumn="0" w:lastColumn="0" w:oddVBand="0" w:evenVBand="0" w:oddHBand="0" w:evenHBand="0" w:firstRowFirstColumn="0" w:firstRowLastColumn="0" w:lastRowFirstColumn="0" w:lastRowLastColumn="0"/>
            </w:pPr>
            <w:r>
              <w:t>Events via SDK/HTTP/CLI</w:t>
            </w:r>
          </w:p>
        </w:tc>
        <w:tc>
          <w:tcPr>
            <w:tcW w:w="2397" w:type="dxa"/>
          </w:tcPr>
          <w:p w14:paraId="76A9ED52" w14:textId="77777777" w:rsidR="002D6F66" w:rsidRDefault="00000000">
            <w:pPr>
              <w:cnfStyle w:val="000000000000" w:firstRow="0" w:lastRow="0" w:firstColumn="0" w:lastColumn="0" w:oddVBand="0" w:evenVBand="0" w:oddHBand="0" w:evenHBand="0" w:firstRowFirstColumn="0" w:firstRowLastColumn="0" w:lastRowFirstColumn="0" w:lastRowLastColumn="0"/>
            </w:pPr>
            <w:r>
              <w:t>Any environment with an HTTP client</w:t>
            </w:r>
          </w:p>
        </w:tc>
        <w:tc>
          <w:tcPr>
            <w:tcW w:w="2397" w:type="dxa"/>
          </w:tcPr>
          <w:p w14:paraId="70024E15" w14:textId="77777777" w:rsidR="002D6F66" w:rsidRDefault="00000000">
            <w:pPr>
              <w:cnfStyle w:val="000000000000" w:firstRow="0" w:lastRow="0" w:firstColumn="0" w:lastColumn="0" w:oddVBand="0" w:evenVBand="0" w:oddHBand="0" w:evenHBand="0" w:firstRowFirstColumn="0" w:firstRowLastColumn="0" w:lastRowFirstColumn="0" w:lastRowLastColumn="0"/>
            </w:pPr>
            <w:r>
              <w:t>Manual instrumentation needed</w:t>
            </w:r>
          </w:p>
        </w:tc>
      </w:tr>
      <w:tr w:rsidR="002D6F66" w14:paraId="45767F53"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7" w:type="dxa"/>
          </w:tcPr>
          <w:p w14:paraId="2D8E64E3" w14:textId="77777777" w:rsidR="002D6F66" w:rsidRDefault="00000000">
            <w:r>
              <w:t>L2</w:t>
            </w:r>
          </w:p>
        </w:tc>
        <w:tc>
          <w:tcPr>
            <w:tcW w:w="2397" w:type="dxa"/>
          </w:tcPr>
          <w:p w14:paraId="4AC111DC" w14:textId="77777777" w:rsidR="002D6F66" w:rsidRDefault="00000000">
            <w:pPr>
              <w:cnfStyle w:val="000000100000" w:firstRow="0" w:lastRow="0" w:firstColumn="0" w:lastColumn="0" w:oddVBand="0" w:evenVBand="0" w:oddHBand="1" w:evenHBand="0" w:firstRowFirstColumn="0" w:firstRowLastColumn="0" w:lastRowFirstColumn="0" w:lastRowLastColumn="0"/>
            </w:pPr>
            <w:r>
              <w:t>Framework callbacks or hooks</w:t>
            </w:r>
          </w:p>
        </w:tc>
        <w:tc>
          <w:tcPr>
            <w:tcW w:w="2397" w:type="dxa"/>
          </w:tcPr>
          <w:p w14:paraId="6BD70401" w14:textId="77777777" w:rsidR="002D6F66" w:rsidRDefault="00000000">
            <w:pPr>
              <w:cnfStyle w:val="000000100000" w:firstRow="0" w:lastRow="0" w:firstColumn="0" w:lastColumn="0" w:oddVBand="0" w:evenVBand="0" w:oddHBand="1" w:evenHBand="0" w:firstRowFirstColumn="0" w:firstRowLastColumn="0" w:lastRowFirstColumn="0" w:lastRowLastColumn="0"/>
            </w:pPr>
            <w:r>
              <w:t>Selected library/version combinations</w:t>
            </w:r>
          </w:p>
        </w:tc>
        <w:tc>
          <w:tcPr>
            <w:tcW w:w="2397" w:type="dxa"/>
          </w:tcPr>
          <w:p w14:paraId="32C18776" w14:textId="77777777" w:rsidR="002D6F66" w:rsidRDefault="00000000">
            <w:pPr>
              <w:cnfStyle w:val="000000100000" w:firstRow="0" w:lastRow="0" w:firstColumn="0" w:lastColumn="0" w:oddVBand="0" w:evenVBand="0" w:oddHBand="1" w:evenHBand="0" w:firstRowFirstColumn="0" w:firstRowLastColumn="0" w:lastRowFirstColumn="0" w:lastRowLastColumn="0"/>
            </w:pPr>
            <w:r>
              <w:t>Upgrade-sensitive integrations</w:t>
            </w:r>
          </w:p>
        </w:tc>
      </w:tr>
      <w:tr w:rsidR="002D6F66" w14:paraId="1C43D2C8"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2397" w:type="dxa"/>
          </w:tcPr>
          <w:p w14:paraId="6DFF7B9A" w14:textId="77777777" w:rsidR="002D6F66" w:rsidRDefault="00000000">
            <w:r>
              <w:t>L3</w:t>
            </w:r>
          </w:p>
        </w:tc>
        <w:tc>
          <w:tcPr>
            <w:tcW w:w="2397" w:type="dxa"/>
          </w:tcPr>
          <w:p w14:paraId="7D35A4B9" w14:textId="77777777" w:rsidR="002D6F66" w:rsidRDefault="00000000">
            <w:pPr>
              <w:cnfStyle w:val="000000000000" w:firstRow="0" w:lastRow="0" w:firstColumn="0" w:lastColumn="0" w:oddVBand="0" w:evenVBand="0" w:oddHBand="0" w:evenHBand="0" w:firstRowFirstColumn="0" w:firstRowLastColumn="0" w:lastRowFirstColumn="0" w:lastRowLastColumn="0"/>
            </w:pPr>
            <w:r>
              <w:t>Model manifest + load/predict contract</w:t>
            </w:r>
          </w:p>
        </w:tc>
        <w:tc>
          <w:tcPr>
            <w:tcW w:w="2397" w:type="dxa"/>
          </w:tcPr>
          <w:p w14:paraId="0DFD4F10" w14:textId="77777777" w:rsidR="002D6F66" w:rsidRDefault="00000000">
            <w:pPr>
              <w:cnfStyle w:val="000000000000" w:firstRow="0" w:lastRow="0" w:firstColumn="0" w:lastColumn="0" w:oddVBand="0" w:evenVBand="0" w:oddHBand="0" w:evenHBand="0" w:firstRowFirstColumn="0" w:firstRowLastColumn="0" w:lastRowFirstColumn="0" w:lastRowLastColumn="0"/>
            </w:pPr>
            <w:r>
              <w:t>Supported native or custom runtimes</w:t>
            </w:r>
          </w:p>
        </w:tc>
        <w:tc>
          <w:tcPr>
            <w:tcW w:w="2397" w:type="dxa"/>
          </w:tcPr>
          <w:p w14:paraId="49CEC40C" w14:textId="77777777" w:rsidR="002D6F66" w:rsidRDefault="00000000">
            <w:pPr>
              <w:cnfStyle w:val="000000000000" w:firstRow="0" w:lastRow="0" w:firstColumn="0" w:lastColumn="0" w:oddVBand="0" w:evenVBand="0" w:oddHBand="0" w:evenHBand="0" w:firstRowFirstColumn="0" w:firstRowLastColumn="0" w:lastRowFirstColumn="0" w:lastRowLastColumn="0"/>
            </w:pPr>
            <w:r>
              <w:t>Dependencies and input signatures</w:t>
            </w:r>
          </w:p>
        </w:tc>
      </w:tr>
      <w:tr w:rsidR="002D6F66" w14:paraId="7B155E43"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7" w:type="dxa"/>
          </w:tcPr>
          <w:p w14:paraId="70FA1500" w14:textId="77777777" w:rsidR="002D6F66" w:rsidRDefault="00000000">
            <w:r>
              <w:t>L4</w:t>
            </w:r>
          </w:p>
        </w:tc>
        <w:tc>
          <w:tcPr>
            <w:tcW w:w="2397" w:type="dxa"/>
          </w:tcPr>
          <w:p w14:paraId="450492BE" w14:textId="77777777" w:rsidR="002D6F66" w:rsidRDefault="00000000">
            <w:pPr>
              <w:cnfStyle w:val="000000100000" w:firstRow="0" w:lastRow="0" w:firstColumn="0" w:lastColumn="0" w:oddVBand="0" w:evenVBand="0" w:oddHBand="1" w:evenHBand="0" w:firstRowFirstColumn="0" w:firstRowLastColumn="0" w:lastRowFirstColumn="0" w:lastRowLastColumn="0"/>
            </w:pPr>
            <w:r>
              <w:t>Runtime health + serving protocol</w:t>
            </w:r>
          </w:p>
        </w:tc>
        <w:tc>
          <w:tcPr>
            <w:tcW w:w="2397" w:type="dxa"/>
          </w:tcPr>
          <w:p w14:paraId="5B7E52AC" w14:textId="77777777" w:rsidR="002D6F66" w:rsidRDefault="00000000">
            <w:pPr>
              <w:cnfStyle w:val="000000100000" w:firstRow="0" w:lastRow="0" w:firstColumn="0" w:lastColumn="0" w:oddVBand="0" w:evenVBand="0" w:oddHBand="1" w:evenHBand="0" w:firstRowFirstColumn="0" w:firstRowLastColumn="0" w:lastRowFirstColumn="0" w:lastRowLastColumn="0"/>
            </w:pPr>
            <w:r>
              <w:t>Models with stable inference adapters</w:t>
            </w:r>
          </w:p>
        </w:tc>
        <w:tc>
          <w:tcPr>
            <w:tcW w:w="2397" w:type="dxa"/>
          </w:tcPr>
          <w:p w14:paraId="18366D8C" w14:textId="77777777" w:rsidR="002D6F66" w:rsidRDefault="00000000">
            <w:pPr>
              <w:cnfStyle w:val="000000100000" w:firstRow="0" w:lastRow="0" w:firstColumn="0" w:lastColumn="0" w:oddVBand="0" w:evenVBand="0" w:oddHBand="1" w:evenHBand="0" w:firstRowFirstColumn="0" w:firstRowLastColumn="0" w:lastRowFirstColumn="0" w:lastRowLastColumn="0"/>
            </w:pPr>
            <w:r>
              <w:t>Not all models can be served</w:t>
            </w:r>
          </w:p>
        </w:tc>
      </w:tr>
    </w:tbl>
    <w:p w14:paraId="7DCE1856" w14:textId="77777777" w:rsidR="002D6F66" w:rsidRDefault="00000000">
      <w:pPr>
        <w:pStyle w:val="Heading2"/>
      </w:pPr>
      <w:r>
        <w:t>3.4 Reproducibility as a graded property</w:t>
      </w:r>
    </w:p>
    <w:p w14:paraId="66889FF0" w14:textId="77777777" w:rsidR="002D6F66" w:rsidRDefault="00000000">
      <w:r>
        <w:t>Reproducibility should be decomposed into input replayability, environment reconstructability, algorithmic repeatability and outcome agreement. Dataset hashes and container digests preserve identity but do not guarantee access, deterministic kernels, matching device architectures or stable external APIs. A reproducibility report must state which sources of nondeterminism remain uncontrolled.</w:t>
      </w:r>
    </w:p>
    <w:p w14:paraId="226CAE67" w14:textId="77777777" w:rsidR="002D6F66" w:rsidRDefault="00000000">
      <w:r>
        <w:t xml:space="preserve">Reproducibility is a spectrum of evidence rather than a boolean status. A strict deterministic replay requires code identity, exact inputs, environment reconstruction, controlled random seeds, and compatible hardware or numerical libraries. Even with those conditions, distributed reductions or accelerator kernels </w:t>
      </w:r>
      <w:r>
        <w:lastRenderedPageBreak/>
        <w:t>may introduce nondeterminism. A practical platform should issue an evidence report documenting which conditions have been proven, inferred, or left unknown. For stochastic training, comparable outcome distributions may provide the relevant notion of reproduction instead of byte-identical checkpoints. The evaluation must predeclare acceptable tolerances and repeated-run counts rather than selecting thresholds after observing results. This position guards against an especially misleading success case: recovering an old metric from the tracking database and calling it a reproduced experiment without rerunning the underlying computation.</w:t>
      </w:r>
    </w:p>
    <w:p w14:paraId="3E6B74B1" w14:textId="77777777" w:rsidR="002D6F66" w:rsidRDefault="00000000">
      <w:pPr>
        <w:jc w:val="center"/>
      </w:pPr>
      <w:r>
        <w:rPr>
          <w:i/>
        </w:rPr>
        <w:t>R(ε) = (1/N) Σi=1…N 1[d(yi, ŷi) ≤ ε ∧ valid_inputs(i)]</w:t>
      </w:r>
    </w:p>
    <w:p w14:paraId="3B688AE2" w14:textId="77777777" w:rsidR="002D6F66" w:rsidRDefault="00000000">
      <w:pPr>
        <w:pStyle w:val="Caption"/>
        <w:jc w:val="right"/>
      </w:pPr>
      <w:r>
        <w:t>(2) Reproduction success rate</w:t>
      </w:r>
    </w:p>
    <w:p w14:paraId="34A4DF1D" w14:textId="77777777" w:rsidR="002D6F66" w:rsidRDefault="00000000">
      <w:r>
        <w:t>The distance d and tolerance ε depend on task: exact checksums for deterministic preprocessing, absolute/relative tolerances for numerical metrics, or statistically defined intervals for stochastic training. The evaluation must disclose the chosen comparator before trials.</w:t>
      </w:r>
    </w:p>
    <w:p w14:paraId="34101B4D" w14:textId="77777777" w:rsidR="002D6F66" w:rsidRDefault="00000000">
      <w:pPr>
        <w:pStyle w:val="Heading2"/>
      </w:pPr>
      <w:r>
        <w:t>3.5 Distributed state-machine theory</w:t>
      </w:r>
    </w:p>
    <w:p w14:paraId="68F4228D" w14:textId="77777777" w:rsidR="002D6F66" w:rsidRDefault="00000000">
      <w:r>
        <w:t>Run control must treat asynchronous workers and eventually consistent object stores as partial-failure environments. An authoritative database persists transitions; workers own expiring leases and attempt identifiers. A retry creates a new attempt rather than overwriting prior evidence. Operations that can be repeated must have idempotency keys; external side effects require compensation or explicitly documented at-least-once behavior. A transactional outbox connects committed state changes to notifications without an unsafe dual write.</w:t>
      </w:r>
    </w:p>
    <w:p w14:paraId="78DE634B" w14:textId="77777777" w:rsidR="002D6F66" w:rsidRDefault="00000000">
      <w:pPr>
        <w:jc w:val="center"/>
      </w:pPr>
      <w:r>
        <w:rPr>
          <w:i/>
        </w:rPr>
        <w:t>event_key = SHA256(tenant_id || run_id || attempt_id || producer_id || sequence_no)</w:t>
      </w:r>
    </w:p>
    <w:p w14:paraId="06943FEB" w14:textId="77777777" w:rsidR="002D6F66" w:rsidRDefault="00000000">
      <w:pPr>
        <w:pStyle w:val="Caption"/>
        <w:jc w:val="right"/>
      </w:pPr>
      <w:r>
        <w:t>(3) Event identity</w:t>
      </w:r>
    </w:p>
    <w:p w14:paraId="0064BDAB" w14:textId="77777777" w:rsidR="002D6F66" w:rsidRDefault="00000000">
      <w:r>
        <w:t>The producer sequence identifies duplicates for one source. Consumer ordering can be reconciled by attempt and sequence, with event timestamps retained for observability rather than trusted as globally ordered truth.</w:t>
      </w:r>
    </w:p>
    <w:p w14:paraId="33CCEB70" w14:textId="77777777" w:rsidR="002D6F66" w:rsidRDefault="00000000">
      <w:pPr>
        <w:pStyle w:val="Heading2"/>
      </w:pPr>
      <w:r>
        <w:t>3.6 Content-addressed storage and provenance</w:t>
      </w:r>
    </w:p>
    <w:p w14:paraId="577108DF" w14:textId="77777777" w:rsidR="002D6F66" w:rsidRDefault="00000000">
      <w:pPr>
        <w:jc w:val="center"/>
      </w:pPr>
      <w:r>
        <w:rPr>
          <w:i/>
        </w:rPr>
        <w:t>artifact_id = SHA256(canonical_bytes(artifact))</w:t>
      </w:r>
    </w:p>
    <w:p w14:paraId="266E2B6E" w14:textId="77777777" w:rsidR="002D6F66" w:rsidRDefault="00000000">
      <w:pPr>
        <w:pStyle w:val="Caption"/>
        <w:jc w:val="right"/>
      </w:pPr>
      <w:r>
        <w:t>(4) Artifact content identifier</w:t>
      </w:r>
    </w:p>
    <w:p w14:paraId="6B84DB52" w14:textId="77777777" w:rsidR="002D6F66" w:rsidRDefault="00000000">
      <w:r>
        <w:t>For a directory, an immutable manifest stores relative paths, sizes, media types and file digests, then hashes the canonical manifest. For regulated or confidential environments, deduplication must never leak cross-tenant presence information. Content identity is separated from access authorization, display names and mutable registry aliases.</w:t>
      </w:r>
    </w:p>
    <w:p w14:paraId="62DEDA1D" w14:textId="77777777" w:rsidR="002D6F66" w:rsidRDefault="00000000">
      <w:pPr>
        <w:pStyle w:val="Heading2"/>
      </w:pPr>
      <w:r>
        <w:t>3.7 Scheduling objective</w:t>
      </w:r>
    </w:p>
    <w:p w14:paraId="1A627828" w14:textId="77777777" w:rsidR="002D6F66" w:rsidRDefault="00000000">
      <w:pPr>
        <w:jc w:val="center"/>
      </w:pPr>
      <w:r>
        <w:rPr>
          <w:i/>
        </w:rPr>
        <w:t>minimize Σj (λt·completion_time(j) + λc·cost(j) + λq·queue_delay(j))</w:t>
      </w:r>
    </w:p>
    <w:p w14:paraId="4EA86667" w14:textId="77777777" w:rsidR="002D6F66" w:rsidRDefault="00000000">
      <w:pPr>
        <w:pStyle w:val="Caption"/>
        <w:jc w:val="right"/>
      </w:pPr>
      <w:r>
        <w:t>(5) Resource-aware placement objective</w:t>
      </w:r>
    </w:p>
    <w:p w14:paraId="2D6D6F63" w14:textId="77777777" w:rsidR="002D6F66" w:rsidRDefault="00000000">
      <w:r>
        <w:t>Subject to worker CPU, memory, accelerator, affinity, quota and data-locality constraints, a scheduling algorithm balances completion time and cost. A first prototype should use Kubernetes scheduling and quotas rather than claiming a new optimal scheduler; custom policies may be evaluated later.</w:t>
      </w:r>
    </w:p>
    <w:p w14:paraId="5A56E701" w14:textId="77777777" w:rsidR="002D6F66" w:rsidRDefault="00000000">
      <w:pPr>
        <w:pStyle w:val="Heading1"/>
      </w:pPr>
      <w:r>
        <w:t>4. Requirements and Threat Model</w:t>
      </w:r>
    </w:p>
    <w:p w14:paraId="52E8FA7D" w14:textId="77777777" w:rsidR="002D6F66" w:rsidRDefault="00000000">
      <w:pPr>
        <w:pStyle w:val="Heading2"/>
      </w:pPr>
      <w:r>
        <w:t>4.1 Functional requirements</w:t>
      </w:r>
    </w:p>
    <w:p w14:paraId="4EDE612E" w14:textId="77777777" w:rsidR="002D6F66" w:rsidRDefault="00000000">
      <w:pPr>
        <w:pStyle w:val="ListBullet"/>
      </w:pPr>
      <w:r>
        <w:t>FR1: create projects, experiments, runs, attempts and search/filter metadata using stable versioned APIs.</w:t>
      </w:r>
    </w:p>
    <w:p w14:paraId="4442FE66" w14:textId="77777777" w:rsidR="002D6F66" w:rsidRDefault="00000000">
      <w:pPr>
        <w:pStyle w:val="ListBullet"/>
      </w:pPr>
      <w:r>
        <w:t>FR2: capture parameters, hierarchical metrics, tags, logs, artifacts and arbitrary JSON-typed extension facets.</w:t>
      </w:r>
    </w:p>
    <w:p w14:paraId="59265CFB" w14:textId="77777777" w:rsidR="002D6F66" w:rsidRDefault="00000000">
      <w:pPr>
        <w:pStyle w:val="ListBullet"/>
      </w:pPr>
      <w:r>
        <w:t>FR3: declare data/code/environment identities and generate traversable lineage edges.</w:t>
      </w:r>
    </w:p>
    <w:p w14:paraId="2FC9DF6D" w14:textId="77777777" w:rsidR="002D6F66" w:rsidRDefault="00000000">
      <w:pPr>
        <w:pStyle w:val="ListBullet"/>
      </w:pPr>
      <w:r>
        <w:t>FR4: submit local/containerized executions and DAG workflows with explicit retry policies.</w:t>
      </w:r>
    </w:p>
    <w:p w14:paraId="6E8D350F" w14:textId="77777777" w:rsidR="002D6F66" w:rsidRDefault="00000000">
      <w:pPr>
        <w:pStyle w:val="ListBullet"/>
      </w:pPr>
      <w:r>
        <w:t>FR5: register immutable model versions, assign controlled aliases, and evaluate/promote models.</w:t>
      </w:r>
    </w:p>
    <w:p w14:paraId="3A395FD5" w14:textId="77777777" w:rsidR="002D6F66" w:rsidRDefault="00000000">
      <w:pPr>
        <w:pStyle w:val="ListBullet"/>
      </w:pPr>
      <w:r>
        <w:lastRenderedPageBreak/>
        <w:t>FR6: expose optional framework adapters and documented user-defined custom adapters.</w:t>
      </w:r>
    </w:p>
    <w:p w14:paraId="461E510F" w14:textId="77777777" w:rsidR="002D6F66" w:rsidRDefault="00000000">
      <w:pPr>
        <w:pStyle w:val="ListBullet"/>
      </w:pPr>
      <w:r>
        <w:t>FR7: support isolated batch and online prediction where a compatible runtime exists.</w:t>
      </w:r>
    </w:p>
    <w:p w14:paraId="14188EC2" w14:textId="77777777" w:rsidR="002D6F66" w:rsidRDefault="00000000">
      <w:pPr>
        <w:pStyle w:val="ListBullet"/>
      </w:pPr>
      <w:r>
        <w:t>FR8: audit changes, enforce tenant isolation and export metadata in open formats.</w:t>
      </w:r>
    </w:p>
    <w:p w14:paraId="0D2967F2" w14:textId="77777777" w:rsidR="002D6F66" w:rsidRDefault="00000000">
      <w:pPr>
        <w:pStyle w:val="Heading2"/>
      </w:pPr>
      <w:r>
        <w:t>4.2 Nonfunctional requirements</w:t>
      </w:r>
    </w:p>
    <w:p w14:paraId="08855CA0" w14:textId="77777777" w:rsidR="002D6F66" w:rsidRDefault="00000000">
      <w:r>
        <w:t>Operational targets are hypotheses and acceptance thresholds, not observed properties: API availability at least 99.9% in the chosen deployment environment; no loss of acknowledged metadata after a single service instance failure; p95 metric ingestion under 250 ms for a specified low-load benchmark; bounded ingestion queues under a declared peak rate; and the ability to replace or upgrade an adapter without database migration. These numbers must be revisited against budget and measured workload.</w:t>
      </w:r>
    </w:p>
    <w:p w14:paraId="7F3F11F4" w14:textId="77777777" w:rsidR="002D6F66" w:rsidRDefault="00000000">
      <w:r>
        <w:t>Requirements should be expressed as testable scenarios. A scientist must be able to submit an arbitrary executable with an image or environment specification, declare inputs, stream metrics, attach artifacts, stop the run, and inspect final failure reasons. A platform administrator must be able to restrict namespaces, apply quotas, revoke access, retain immutable audit events, and recover abandoned attempts. An application developer must be able to register a candidate model, link it to exact run and dataset versions, request promotion, and determine whether a compatible serving adapter exists. Each scenario needs acceptance tests for normal execution and for boundary conditions: duplicate requests, disconnected clients, partial uploads, expired credentials, unavailable storage, and incompatible plugin versions. Without these negative tests, a demonstration can look complete while remaining operationally fragile.</w:t>
      </w:r>
    </w:p>
    <w:p w14:paraId="31A0C7CF" w14:textId="77777777" w:rsidR="002D6F66" w:rsidRDefault="00000000">
      <w:pPr>
        <w:pStyle w:val="Caption"/>
      </w:pPr>
      <w:r>
        <w:t>Table 3. Proposed measurable acceptance criteria.</w:t>
      </w:r>
    </w:p>
    <w:tbl>
      <w:tblPr>
        <w:tblStyle w:val="LightShading-Accent1"/>
        <w:tblW w:w="0" w:type="auto"/>
        <w:jc w:val="center"/>
        <w:tblLook w:val="04A0" w:firstRow="1" w:lastRow="0" w:firstColumn="1" w:lastColumn="0" w:noHBand="0" w:noVBand="1"/>
      </w:tblPr>
      <w:tblGrid>
        <w:gridCol w:w="3197"/>
        <w:gridCol w:w="3197"/>
        <w:gridCol w:w="3197"/>
      </w:tblGrid>
      <w:tr w:rsidR="002D6F66" w14:paraId="29812682"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01E27F2" w14:textId="77777777" w:rsidR="002D6F66" w:rsidRDefault="00000000">
            <w:r>
              <w:t>Dimension</w:t>
            </w:r>
          </w:p>
        </w:tc>
        <w:tc>
          <w:tcPr>
            <w:tcW w:w="3197" w:type="dxa"/>
          </w:tcPr>
          <w:p w14:paraId="1FEF16EE" w14:textId="77777777" w:rsidR="002D6F66" w:rsidRDefault="00000000">
            <w:pPr>
              <w:cnfStyle w:val="100000000000" w:firstRow="1" w:lastRow="0" w:firstColumn="0" w:lastColumn="0" w:oddVBand="0" w:evenVBand="0" w:oddHBand="0" w:evenHBand="0" w:firstRowFirstColumn="0" w:firstRowLastColumn="0" w:lastRowFirstColumn="0" w:lastRowLastColumn="0"/>
            </w:pPr>
            <w:r>
              <w:t>Provisional target</w:t>
            </w:r>
          </w:p>
        </w:tc>
        <w:tc>
          <w:tcPr>
            <w:tcW w:w="3197" w:type="dxa"/>
          </w:tcPr>
          <w:p w14:paraId="324F5BCA" w14:textId="77777777" w:rsidR="002D6F66" w:rsidRDefault="00000000">
            <w:pPr>
              <w:cnfStyle w:val="100000000000" w:firstRow="1" w:lastRow="0" w:firstColumn="0" w:lastColumn="0" w:oddVBand="0" w:evenVBand="0" w:oddHBand="0" w:evenHBand="0" w:firstRowFirstColumn="0" w:firstRowLastColumn="0" w:lastRowFirstColumn="0" w:lastRowLastColumn="0"/>
            </w:pPr>
            <w:r>
              <w:t>Measurement</w:t>
            </w:r>
          </w:p>
        </w:tc>
      </w:tr>
      <w:tr w:rsidR="002D6F66" w14:paraId="0D4D533B"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AAEFFB3" w14:textId="77777777" w:rsidR="002D6F66" w:rsidRDefault="00000000">
            <w:r>
              <w:t>Compatibility</w:t>
            </w:r>
          </w:p>
        </w:tc>
        <w:tc>
          <w:tcPr>
            <w:tcW w:w="3197" w:type="dxa"/>
          </w:tcPr>
          <w:p w14:paraId="069451E5" w14:textId="77777777" w:rsidR="002D6F66" w:rsidRDefault="00000000">
            <w:pPr>
              <w:cnfStyle w:val="000000100000" w:firstRow="0" w:lastRow="0" w:firstColumn="0" w:lastColumn="0" w:oddVBand="0" w:evenVBand="0" w:oddHBand="1" w:evenHBand="0" w:firstRowFirstColumn="0" w:firstRowLastColumn="0" w:lastRowFirstColumn="0" w:lastRowLastColumn="0"/>
            </w:pPr>
            <w:r>
              <w:t>At least L1 in ≥ 90% of declared suite</w:t>
            </w:r>
          </w:p>
        </w:tc>
        <w:tc>
          <w:tcPr>
            <w:tcW w:w="3197" w:type="dxa"/>
          </w:tcPr>
          <w:p w14:paraId="031665D5" w14:textId="77777777" w:rsidR="002D6F66" w:rsidRDefault="00000000">
            <w:pPr>
              <w:cnfStyle w:val="000000100000" w:firstRow="0" w:lastRow="0" w:firstColumn="0" w:lastColumn="0" w:oddVBand="0" w:evenVBand="0" w:oddHBand="1" w:evenHBand="0" w:firstRowFirstColumn="0" w:firstRowLastColumn="0" w:lastRowFirstColumn="0" w:lastRowLastColumn="0"/>
            </w:pPr>
            <w:r>
              <w:t>Conformance matrix by workload</w:t>
            </w:r>
          </w:p>
        </w:tc>
      </w:tr>
      <w:tr w:rsidR="002D6F66" w14:paraId="63609457"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6A7EB069" w14:textId="77777777" w:rsidR="002D6F66" w:rsidRDefault="00000000">
            <w:r>
              <w:t>Metadata ingest</w:t>
            </w:r>
          </w:p>
        </w:tc>
        <w:tc>
          <w:tcPr>
            <w:tcW w:w="3197" w:type="dxa"/>
          </w:tcPr>
          <w:p w14:paraId="1942A2E6" w14:textId="77777777" w:rsidR="002D6F66" w:rsidRDefault="00000000">
            <w:pPr>
              <w:cnfStyle w:val="000000000000" w:firstRow="0" w:lastRow="0" w:firstColumn="0" w:lastColumn="0" w:oddVBand="0" w:evenVBand="0" w:oddHBand="0" w:evenHBand="0" w:firstRowFirstColumn="0" w:firstRowLastColumn="0" w:lastRowFirstColumn="0" w:lastRowLastColumn="0"/>
            </w:pPr>
            <w:r>
              <w:t>p95 &lt; 250 ms at 100 events/s</w:t>
            </w:r>
          </w:p>
        </w:tc>
        <w:tc>
          <w:tcPr>
            <w:tcW w:w="3197" w:type="dxa"/>
          </w:tcPr>
          <w:p w14:paraId="2C70184A" w14:textId="77777777" w:rsidR="002D6F66" w:rsidRDefault="00000000">
            <w:pPr>
              <w:cnfStyle w:val="000000000000" w:firstRow="0" w:lastRow="0" w:firstColumn="0" w:lastColumn="0" w:oddVBand="0" w:evenVBand="0" w:oddHBand="0" w:evenHBand="0" w:firstRowFirstColumn="0" w:firstRowLastColumn="0" w:lastRowFirstColumn="0" w:lastRowLastColumn="0"/>
            </w:pPr>
            <w:r>
              <w:t>Client-to-ack histogram</w:t>
            </w:r>
          </w:p>
        </w:tc>
      </w:tr>
      <w:tr w:rsidR="002D6F66" w14:paraId="66DBA85D"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B27B60F" w14:textId="77777777" w:rsidR="002D6F66" w:rsidRDefault="00000000">
            <w:r>
              <w:t>Recovery</w:t>
            </w:r>
          </w:p>
        </w:tc>
        <w:tc>
          <w:tcPr>
            <w:tcW w:w="3197" w:type="dxa"/>
          </w:tcPr>
          <w:p w14:paraId="0D8018DF" w14:textId="77777777" w:rsidR="002D6F66" w:rsidRDefault="00000000">
            <w:pPr>
              <w:cnfStyle w:val="000000100000" w:firstRow="0" w:lastRow="0" w:firstColumn="0" w:lastColumn="0" w:oddVBand="0" w:evenVBand="0" w:oddHBand="1" w:evenHBand="0" w:firstRowFirstColumn="0" w:firstRowLastColumn="0" w:lastRowFirstColumn="0" w:lastRowLastColumn="0"/>
            </w:pPr>
            <w:r>
              <w:t>No duplicate terminal run; fenced stale writes</w:t>
            </w:r>
          </w:p>
        </w:tc>
        <w:tc>
          <w:tcPr>
            <w:tcW w:w="3197" w:type="dxa"/>
          </w:tcPr>
          <w:p w14:paraId="0646D811" w14:textId="77777777" w:rsidR="002D6F66" w:rsidRDefault="00000000">
            <w:pPr>
              <w:cnfStyle w:val="000000100000" w:firstRow="0" w:lastRow="0" w:firstColumn="0" w:lastColumn="0" w:oddVBand="0" w:evenVBand="0" w:oddHBand="1" w:evenHBand="0" w:firstRowFirstColumn="0" w:firstRowLastColumn="0" w:lastRowFirstColumn="0" w:lastRowLastColumn="0"/>
            </w:pPr>
            <w:r>
              <w:t>Fault-injection tests</w:t>
            </w:r>
          </w:p>
        </w:tc>
      </w:tr>
      <w:tr w:rsidR="002D6F66" w14:paraId="28CDCFC4"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13D6EDBA" w14:textId="77777777" w:rsidR="002D6F66" w:rsidRDefault="00000000">
            <w:r>
              <w:t>Reproducibility</w:t>
            </w:r>
          </w:p>
        </w:tc>
        <w:tc>
          <w:tcPr>
            <w:tcW w:w="3197" w:type="dxa"/>
          </w:tcPr>
          <w:p w14:paraId="376AA84D" w14:textId="77777777" w:rsidR="002D6F66" w:rsidRDefault="00000000">
            <w:pPr>
              <w:cnfStyle w:val="000000000000" w:firstRow="0" w:lastRow="0" w:firstColumn="0" w:lastColumn="0" w:oddVBand="0" w:evenVBand="0" w:oddHBand="0" w:evenHBand="0" w:firstRowFirstColumn="0" w:firstRowLastColumn="0" w:lastRowFirstColumn="0" w:lastRowLastColumn="0"/>
            </w:pPr>
            <w:r>
              <w:t>≥ 95% replay at defined tolerances</w:t>
            </w:r>
          </w:p>
        </w:tc>
        <w:tc>
          <w:tcPr>
            <w:tcW w:w="3197" w:type="dxa"/>
          </w:tcPr>
          <w:p w14:paraId="11C76080" w14:textId="77777777" w:rsidR="002D6F66" w:rsidRDefault="00000000">
            <w:pPr>
              <w:cnfStyle w:val="000000000000" w:firstRow="0" w:lastRow="0" w:firstColumn="0" w:lastColumn="0" w:oddVBand="0" w:evenVBand="0" w:oddHBand="0" w:evenHBand="0" w:firstRowFirstColumn="0" w:firstRowLastColumn="0" w:lastRowFirstColumn="0" w:lastRowLastColumn="0"/>
            </w:pPr>
            <w:r>
              <w:t>Independent reruns</w:t>
            </w:r>
          </w:p>
        </w:tc>
      </w:tr>
      <w:tr w:rsidR="002D6F66" w14:paraId="2938ED91"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7AA84DB1" w14:textId="77777777" w:rsidR="002D6F66" w:rsidRDefault="00000000">
            <w:r>
              <w:t>Isolation</w:t>
            </w:r>
          </w:p>
        </w:tc>
        <w:tc>
          <w:tcPr>
            <w:tcW w:w="3197" w:type="dxa"/>
          </w:tcPr>
          <w:p w14:paraId="25B9880C" w14:textId="77777777" w:rsidR="002D6F66" w:rsidRDefault="00000000">
            <w:pPr>
              <w:cnfStyle w:val="000000100000" w:firstRow="0" w:lastRow="0" w:firstColumn="0" w:lastColumn="0" w:oddVBand="0" w:evenVBand="0" w:oddHBand="1" w:evenHBand="0" w:firstRowFirstColumn="0" w:firstRowLastColumn="0" w:lastRowFirstColumn="0" w:lastRowLastColumn="0"/>
            </w:pPr>
            <w:r>
              <w:t>Zero authorized cross-tenant reads in test suite</w:t>
            </w:r>
          </w:p>
        </w:tc>
        <w:tc>
          <w:tcPr>
            <w:tcW w:w="3197" w:type="dxa"/>
          </w:tcPr>
          <w:p w14:paraId="59A4FADE" w14:textId="77777777" w:rsidR="002D6F66" w:rsidRDefault="00000000">
            <w:pPr>
              <w:cnfStyle w:val="000000100000" w:firstRow="0" w:lastRow="0" w:firstColumn="0" w:lastColumn="0" w:oddVBand="0" w:evenVBand="0" w:oddHBand="1" w:evenHBand="0" w:firstRowFirstColumn="0" w:firstRowLastColumn="0" w:lastRowFirstColumn="0" w:lastRowLastColumn="0"/>
            </w:pPr>
            <w:r>
              <w:t>Negative authorization tests</w:t>
            </w:r>
          </w:p>
        </w:tc>
      </w:tr>
      <w:tr w:rsidR="002D6F66" w14:paraId="3432205C"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07FEA221" w14:textId="77777777" w:rsidR="002D6F66" w:rsidRDefault="00000000">
            <w:r>
              <w:t>Deployment</w:t>
            </w:r>
          </w:p>
        </w:tc>
        <w:tc>
          <w:tcPr>
            <w:tcW w:w="3197" w:type="dxa"/>
          </w:tcPr>
          <w:p w14:paraId="4E9E8648" w14:textId="77777777" w:rsidR="002D6F66" w:rsidRDefault="00000000">
            <w:pPr>
              <w:cnfStyle w:val="000000000000" w:firstRow="0" w:lastRow="0" w:firstColumn="0" w:lastColumn="0" w:oddVBand="0" w:evenVBand="0" w:oddHBand="0" w:evenHBand="0" w:firstRowFirstColumn="0" w:firstRowLastColumn="0" w:lastRowFirstColumn="0" w:lastRowLastColumn="0"/>
            </w:pPr>
            <w:r>
              <w:t>Documented rollback and DR exercise</w:t>
            </w:r>
          </w:p>
        </w:tc>
        <w:tc>
          <w:tcPr>
            <w:tcW w:w="3197" w:type="dxa"/>
          </w:tcPr>
          <w:p w14:paraId="32925E23" w14:textId="77777777" w:rsidR="002D6F66" w:rsidRDefault="00000000">
            <w:pPr>
              <w:cnfStyle w:val="000000000000" w:firstRow="0" w:lastRow="0" w:firstColumn="0" w:lastColumn="0" w:oddVBand="0" w:evenVBand="0" w:oddHBand="0" w:evenHBand="0" w:firstRowFirstColumn="0" w:firstRowLastColumn="0" w:lastRowFirstColumn="0" w:lastRowLastColumn="0"/>
            </w:pPr>
            <w:r>
              <w:t>Operator runbook validation</w:t>
            </w:r>
          </w:p>
        </w:tc>
      </w:tr>
    </w:tbl>
    <w:p w14:paraId="02103361" w14:textId="77777777" w:rsidR="002D6F66" w:rsidRDefault="00000000">
      <w:pPr>
        <w:pStyle w:val="Heading2"/>
      </w:pPr>
      <w:r>
        <w:t>4.3 Threat model and trust zones</w:t>
      </w:r>
    </w:p>
    <w:p w14:paraId="428FCE6E" w14:textId="77777777" w:rsidR="002D6F66" w:rsidRDefault="00000000">
      <w:r>
        <w:t>Threat actors include compromised users, malicious submitted training code, leaked service tokens, poisoned dependencies, and unauthorized metadata readers. Submitted code is untrusted and must run outside privileged control-plane services. Secrets are provided as scoped short-lived credentials where possible; object downloads use brokered or short-lived signed URLs. A control-plane compromise, a worker compromise and a malicious artifact require distinct mitigation layers. Organization-level policy should address data retention and regulated workloads separately.</w:t>
      </w:r>
    </w:p>
    <w:p w14:paraId="21EF22AA" w14:textId="77777777" w:rsidR="002D6F66" w:rsidRDefault="00000000">
      <w:r>
        <w:t xml:space="preserve">Workload code is untrusted relative to the control plane. A container that runs user-supplied packages can attempt credential theft, network scanning, data exfiltration, or privilege escalation; dependency installation scripts are themselves executable code. The design therefore isolates workers under limited identities, applies admission controls and network restrictions, separates control-plane secrets from user workloads, and avoids exposing raw object-storage administrator credentials. Signed image digests and optional attestation improve supply-chain traceability but do not substitute for runtime isolation. Multi-tenant deployments must also consider indirect leaks from shared caches and telemetry labels. The threat </w:t>
      </w:r>
      <w:r>
        <w:lastRenderedPageBreak/>
        <w:t>model states explicitly that hostile kernel-level workloads require stronger sandboxing or separate clusters than an ordinary container boundary can guarantee.</w:t>
      </w:r>
    </w:p>
    <w:p w14:paraId="6E118FEC" w14:textId="77777777" w:rsidR="002D6F66" w:rsidRDefault="00000000">
      <w:pPr>
        <w:pStyle w:val="Heading1"/>
      </w:pPr>
      <w:r>
        <w:t>5. Proposed System Architecture</w:t>
      </w:r>
    </w:p>
    <w:p w14:paraId="32CB4B78" w14:textId="77777777" w:rsidR="002D6F66" w:rsidRDefault="00000000">
      <w:pPr>
        <w:jc w:val="center"/>
      </w:pPr>
      <w:r>
        <w:rPr>
          <w:noProof/>
        </w:rPr>
        <w:drawing>
          <wp:inline distT="0" distB="0" distL="0" distR="0" wp14:anchorId="7275870E" wp14:editId="21CB0891">
            <wp:extent cx="5925312" cy="324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25312" cy="3244305"/>
                    </a:xfrm>
                    <a:prstGeom prst="rect">
                      <a:avLst/>
                    </a:prstGeom>
                  </pic:spPr>
                </pic:pic>
              </a:graphicData>
            </a:graphic>
          </wp:inline>
        </w:drawing>
      </w:r>
    </w:p>
    <w:p w14:paraId="3C1B0273" w14:textId="77777777" w:rsidR="002D6F66" w:rsidRDefault="00000000">
      <w:pPr>
        <w:pStyle w:val="Caption"/>
      </w:pPr>
      <w:r>
        <w:t>Figure 1. Proposed separation between SDK entry points, control-plane services, durable stores and the execution plane (author-designed conceptual diagram).</w:t>
      </w:r>
    </w:p>
    <w:p w14:paraId="7339D708" w14:textId="77777777" w:rsidR="002D6F66" w:rsidRDefault="00000000">
      <w:pPr>
        <w:pStyle w:val="Heading2"/>
      </w:pPr>
      <w:r>
        <w:t>5.1 Layers and ownership</w:t>
      </w:r>
    </w:p>
    <w:p w14:paraId="0CFB4545" w14:textId="77777777" w:rsidR="002D6F66" w:rsidRDefault="00000000">
      <w:r>
        <w:t>The presentation layer provides a web UI, command-line utility and SDKs; none should contain authoritative state. The API gateway authenticates requests and forwards tenant identity and scoped entitlements. The control plane handles experiment metadata, orchestration intent, model registry and lineage query services. The data plane handles user code, large artifact transfer and optional inference. This separation allows different scaling profiles and reduces the blast radius of untrusted dependencies.</w:t>
      </w:r>
    </w:p>
    <w:p w14:paraId="1E9D292E" w14:textId="77777777" w:rsidR="002D6F66" w:rsidRDefault="00000000">
      <w:r>
        <w:t>The control plane owns identities, durable intent, permissions, lifecycle transitions, and queryable metadata; the data plane owns execution processes and large data transfers. The distinction provides clear failure behavior. If a worker disappears, the canonical run does not disappear with it; instead the controller can expire the lease and create a new attempt according to policy. If the metadata service temporarily fails, workers can buffer bounded telemetry locally but must not claim that unsent events are durable. If object storage is unavailable, a run may complete computation yet remain in an artifact-finalization state until uploads are committed or a timeout is reached. Each service should publish health and readiness signals tied to its real dependencies rather than responding healthy merely because its HTTP process is running. Such ownership contracts are foundational for testing and on-call diagnosis.</w:t>
      </w:r>
    </w:p>
    <w:p w14:paraId="0E419DA2" w14:textId="77777777" w:rsidR="002D6F66" w:rsidRDefault="00000000">
      <w:pPr>
        <w:pStyle w:val="Heading2"/>
      </w:pPr>
      <w:r>
        <w:t>5.2 Deployment options</w:t>
      </w:r>
    </w:p>
    <w:p w14:paraId="0649141D" w14:textId="77777777" w:rsidR="002D6F66" w:rsidRDefault="00000000">
      <w:r>
        <w:t>A developer edition can run as one API process, PostgreSQL, S3-compatible object storage and a local container runner. The production reference separates horizontally scaled stateless APIs, worker queues, background reconcilers and managed Kubernetes workers. Deployment independence follows interface contracts: Postgres-compatible SQL, S3-compatible object API, OCI images and standard HTTP/gRPC endpoints. Portability still requires testing because implementations differ in consistency, retention and authentication behavior.</w:t>
      </w:r>
    </w:p>
    <w:p w14:paraId="3C956238" w14:textId="77777777" w:rsidR="002D6F66" w:rsidRDefault="00000000">
      <w:pPr>
        <w:pStyle w:val="Heading2"/>
      </w:pPr>
      <w:r>
        <w:t>5.3 Core components</w:t>
      </w:r>
    </w:p>
    <w:p w14:paraId="49E5D556" w14:textId="77777777" w:rsidR="002D6F66" w:rsidRDefault="00000000">
      <w:pPr>
        <w:pStyle w:val="Caption"/>
      </w:pPr>
      <w:r>
        <w:t>Table 4. Services and storage contracts.</w:t>
      </w:r>
    </w:p>
    <w:tbl>
      <w:tblPr>
        <w:tblStyle w:val="LightShading-Accent1"/>
        <w:tblW w:w="0" w:type="auto"/>
        <w:jc w:val="center"/>
        <w:tblLook w:val="04A0" w:firstRow="1" w:lastRow="0" w:firstColumn="1" w:lastColumn="0" w:noHBand="0" w:noVBand="1"/>
      </w:tblPr>
      <w:tblGrid>
        <w:gridCol w:w="3197"/>
        <w:gridCol w:w="3197"/>
        <w:gridCol w:w="3197"/>
      </w:tblGrid>
      <w:tr w:rsidR="002D6F66" w14:paraId="7874BE0B"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113619AA" w14:textId="77777777" w:rsidR="002D6F66" w:rsidRDefault="00000000">
            <w:r>
              <w:lastRenderedPageBreak/>
              <w:t>Component</w:t>
            </w:r>
          </w:p>
        </w:tc>
        <w:tc>
          <w:tcPr>
            <w:tcW w:w="3197" w:type="dxa"/>
          </w:tcPr>
          <w:p w14:paraId="638344EE" w14:textId="77777777" w:rsidR="002D6F66" w:rsidRDefault="00000000">
            <w:pPr>
              <w:cnfStyle w:val="100000000000" w:firstRow="1" w:lastRow="0" w:firstColumn="0" w:lastColumn="0" w:oddVBand="0" w:evenVBand="0" w:oddHBand="0" w:evenHBand="0" w:firstRowFirstColumn="0" w:firstRowLastColumn="0" w:lastRowFirstColumn="0" w:lastRowLastColumn="0"/>
            </w:pPr>
            <w:r>
              <w:t>Responsibility</w:t>
            </w:r>
          </w:p>
        </w:tc>
        <w:tc>
          <w:tcPr>
            <w:tcW w:w="3197" w:type="dxa"/>
          </w:tcPr>
          <w:p w14:paraId="3DF844D0" w14:textId="77777777" w:rsidR="002D6F66" w:rsidRDefault="00000000">
            <w:pPr>
              <w:cnfStyle w:val="100000000000" w:firstRow="1" w:lastRow="0" w:firstColumn="0" w:lastColumn="0" w:oddVBand="0" w:evenVBand="0" w:oddHBand="0" w:evenHBand="0" w:firstRowFirstColumn="0" w:firstRowLastColumn="0" w:lastRowFirstColumn="0" w:lastRowLastColumn="0"/>
            </w:pPr>
            <w:r>
              <w:t>Durable dependency</w:t>
            </w:r>
          </w:p>
        </w:tc>
      </w:tr>
      <w:tr w:rsidR="002D6F66" w14:paraId="118C45AB"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31ABAE13" w14:textId="77777777" w:rsidR="002D6F66" w:rsidRDefault="00000000">
            <w:r>
              <w:t>Gateway / IAM</w:t>
            </w:r>
          </w:p>
        </w:tc>
        <w:tc>
          <w:tcPr>
            <w:tcW w:w="3197" w:type="dxa"/>
          </w:tcPr>
          <w:p w14:paraId="2241CEF8" w14:textId="77777777" w:rsidR="002D6F66" w:rsidRDefault="00000000">
            <w:pPr>
              <w:cnfStyle w:val="000000100000" w:firstRow="0" w:lastRow="0" w:firstColumn="0" w:lastColumn="0" w:oddVBand="0" w:evenVBand="0" w:oddHBand="1" w:evenHBand="0" w:firstRowFirstColumn="0" w:firstRowLastColumn="0" w:lastRowFirstColumn="0" w:lastRowLastColumn="0"/>
            </w:pPr>
            <w:r>
              <w:t>OIDC identity, RBAC/ABAC, quotas</w:t>
            </w:r>
          </w:p>
        </w:tc>
        <w:tc>
          <w:tcPr>
            <w:tcW w:w="3197" w:type="dxa"/>
          </w:tcPr>
          <w:p w14:paraId="51ADBF2F" w14:textId="77777777" w:rsidR="002D6F66" w:rsidRDefault="00000000">
            <w:pPr>
              <w:cnfStyle w:val="000000100000" w:firstRow="0" w:lastRow="0" w:firstColumn="0" w:lastColumn="0" w:oddVBand="0" w:evenVBand="0" w:oddHBand="1" w:evenHBand="0" w:firstRowFirstColumn="0" w:firstRowLastColumn="0" w:lastRowFirstColumn="0" w:lastRowLastColumn="0"/>
            </w:pPr>
            <w:r>
              <w:t>Identity provider + policy store</w:t>
            </w:r>
          </w:p>
        </w:tc>
      </w:tr>
      <w:tr w:rsidR="002D6F66" w14:paraId="0030EDD2"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D59718F" w14:textId="77777777" w:rsidR="002D6F66" w:rsidRDefault="00000000">
            <w:r>
              <w:t>Tracking API</w:t>
            </w:r>
          </w:p>
        </w:tc>
        <w:tc>
          <w:tcPr>
            <w:tcW w:w="3197" w:type="dxa"/>
          </w:tcPr>
          <w:p w14:paraId="7B665CE1" w14:textId="77777777" w:rsidR="002D6F66" w:rsidRDefault="00000000">
            <w:pPr>
              <w:cnfStyle w:val="000000000000" w:firstRow="0" w:lastRow="0" w:firstColumn="0" w:lastColumn="0" w:oddVBand="0" w:evenVBand="0" w:oddHBand="0" w:evenHBand="0" w:firstRowFirstColumn="0" w:firstRowLastColumn="0" w:lastRowFirstColumn="0" w:lastRowLastColumn="0"/>
            </w:pPr>
            <w:r>
              <w:t>Runs, parameters, metric events</w:t>
            </w:r>
          </w:p>
        </w:tc>
        <w:tc>
          <w:tcPr>
            <w:tcW w:w="3197" w:type="dxa"/>
          </w:tcPr>
          <w:p w14:paraId="21060D17" w14:textId="77777777" w:rsidR="002D6F66" w:rsidRDefault="00000000">
            <w:pPr>
              <w:cnfStyle w:val="000000000000" w:firstRow="0" w:lastRow="0" w:firstColumn="0" w:lastColumn="0" w:oddVBand="0" w:evenVBand="0" w:oddHBand="0" w:evenHBand="0" w:firstRowFirstColumn="0" w:firstRowLastColumn="0" w:lastRowFirstColumn="0" w:lastRowLastColumn="0"/>
            </w:pPr>
            <w:r>
              <w:t>PostgreSQL + queue</w:t>
            </w:r>
          </w:p>
        </w:tc>
      </w:tr>
      <w:tr w:rsidR="002D6F66" w14:paraId="5ED4F66E"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7020492F" w14:textId="77777777" w:rsidR="002D6F66" w:rsidRDefault="00000000">
            <w:r>
              <w:t>Artifact broker</w:t>
            </w:r>
          </w:p>
        </w:tc>
        <w:tc>
          <w:tcPr>
            <w:tcW w:w="3197" w:type="dxa"/>
          </w:tcPr>
          <w:p w14:paraId="21A47D40" w14:textId="77777777" w:rsidR="002D6F66" w:rsidRDefault="00000000">
            <w:pPr>
              <w:cnfStyle w:val="000000100000" w:firstRow="0" w:lastRow="0" w:firstColumn="0" w:lastColumn="0" w:oddVBand="0" w:evenVBand="0" w:oddHBand="1" w:evenHBand="0" w:firstRowFirstColumn="0" w:firstRowLastColumn="0" w:lastRowFirstColumn="0" w:lastRowLastColumn="0"/>
            </w:pPr>
            <w:r>
              <w:t>Upload leases, checksums, manifests</w:t>
            </w:r>
          </w:p>
        </w:tc>
        <w:tc>
          <w:tcPr>
            <w:tcW w:w="3197" w:type="dxa"/>
          </w:tcPr>
          <w:p w14:paraId="3E65B4C6" w14:textId="77777777" w:rsidR="002D6F66" w:rsidRDefault="00000000">
            <w:pPr>
              <w:cnfStyle w:val="000000100000" w:firstRow="0" w:lastRow="0" w:firstColumn="0" w:lastColumn="0" w:oddVBand="0" w:evenVBand="0" w:oddHBand="1" w:evenHBand="0" w:firstRowFirstColumn="0" w:firstRowLastColumn="0" w:lastRowFirstColumn="0" w:lastRowLastColumn="0"/>
            </w:pPr>
            <w:r>
              <w:t>Object store</w:t>
            </w:r>
          </w:p>
        </w:tc>
      </w:tr>
      <w:tr w:rsidR="002D6F66" w14:paraId="298398E4"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2AFEC662" w14:textId="77777777" w:rsidR="002D6F66" w:rsidRDefault="00000000">
            <w:r>
              <w:t>Workflow controller</w:t>
            </w:r>
          </w:p>
        </w:tc>
        <w:tc>
          <w:tcPr>
            <w:tcW w:w="3197" w:type="dxa"/>
          </w:tcPr>
          <w:p w14:paraId="0B0D7113" w14:textId="77777777" w:rsidR="002D6F66" w:rsidRDefault="00000000">
            <w:pPr>
              <w:cnfStyle w:val="000000000000" w:firstRow="0" w:lastRow="0" w:firstColumn="0" w:lastColumn="0" w:oddVBand="0" w:evenVBand="0" w:oddHBand="0" w:evenHBand="0" w:firstRowFirstColumn="0" w:firstRowLastColumn="0" w:lastRowFirstColumn="0" w:lastRowLastColumn="0"/>
            </w:pPr>
            <w:r>
              <w:t>DAG scheduling intent and reconciliation</w:t>
            </w:r>
          </w:p>
        </w:tc>
        <w:tc>
          <w:tcPr>
            <w:tcW w:w="3197" w:type="dxa"/>
          </w:tcPr>
          <w:p w14:paraId="1DB7A6B8" w14:textId="77777777" w:rsidR="002D6F66" w:rsidRDefault="00000000">
            <w:pPr>
              <w:cnfStyle w:val="000000000000" w:firstRow="0" w:lastRow="0" w:firstColumn="0" w:lastColumn="0" w:oddVBand="0" w:evenVBand="0" w:oddHBand="0" w:evenHBand="0" w:firstRowFirstColumn="0" w:firstRowLastColumn="0" w:lastRowFirstColumn="0" w:lastRowLastColumn="0"/>
            </w:pPr>
            <w:r>
              <w:t>Run DB + task queue</w:t>
            </w:r>
          </w:p>
        </w:tc>
      </w:tr>
      <w:tr w:rsidR="002D6F66" w14:paraId="6D00B526"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388D3793" w14:textId="77777777" w:rsidR="002D6F66" w:rsidRDefault="00000000">
            <w:r>
              <w:t>Lineage service</w:t>
            </w:r>
          </w:p>
        </w:tc>
        <w:tc>
          <w:tcPr>
            <w:tcW w:w="3197" w:type="dxa"/>
          </w:tcPr>
          <w:p w14:paraId="1C99C697" w14:textId="77777777" w:rsidR="002D6F66" w:rsidRDefault="00000000">
            <w:pPr>
              <w:cnfStyle w:val="000000100000" w:firstRow="0" w:lastRow="0" w:firstColumn="0" w:lastColumn="0" w:oddVBand="0" w:evenVBand="0" w:oddHBand="1" w:evenHBand="0" w:firstRowFirstColumn="0" w:firstRowLastColumn="0" w:lastRowFirstColumn="0" w:lastRowLastColumn="0"/>
            </w:pPr>
            <w:r>
              <w:t>Typed edges and ancestry queries</w:t>
            </w:r>
          </w:p>
        </w:tc>
        <w:tc>
          <w:tcPr>
            <w:tcW w:w="3197" w:type="dxa"/>
          </w:tcPr>
          <w:p w14:paraId="52644D92" w14:textId="77777777" w:rsidR="002D6F66" w:rsidRDefault="00000000">
            <w:pPr>
              <w:cnfStyle w:val="000000100000" w:firstRow="0" w:lastRow="0" w:firstColumn="0" w:lastColumn="0" w:oddVBand="0" w:evenVBand="0" w:oddHBand="1" w:evenHBand="0" w:firstRowFirstColumn="0" w:firstRowLastColumn="0" w:lastRowFirstColumn="0" w:lastRowLastColumn="0"/>
            </w:pPr>
            <w:r>
              <w:t>SQL adjacency tables</w:t>
            </w:r>
          </w:p>
        </w:tc>
      </w:tr>
      <w:tr w:rsidR="002D6F66" w14:paraId="49DB678D"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F326E36" w14:textId="77777777" w:rsidR="002D6F66" w:rsidRDefault="00000000">
            <w:r>
              <w:t>Registry service</w:t>
            </w:r>
          </w:p>
        </w:tc>
        <w:tc>
          <w:tcPr>
            <w:tcW w:w="3197" w:type="dxa"/>
          </w:tcPr>
          <w:p w14:paraId="5CBAEDC0" w14:textId="77777777" w:rsidR="002D6F66" w:rsidRDefault="00000000">
            <w:pPr>
              <w:cnfStyle w:val="000000000000" w:firstRow="0" w:lastRow="0" w:firstColumn="0" w:lastColumn="0" w:oddVBand="0" w:evenVBand="0" w:oddHBand="0" w:evenHBand="0" w:firstRowFirstColumn="0" w:firstRowLastColumn="0" w:lastRowFirstColumn="0" w:lastRowLastColumn="0"/>
            </w:pPr>
            <w:r>
              <w:t>Version metadata, stage policy, aliases</w:t>
            </w:r>
          </w:p>
        </w:tc>
        <w:tc>
          <w:tcPr>
            <w:tcW w:w="3197" w:type="dxa"/>
          </w:tcPr>
          <w:p w14:paraId="0A3FBA51" w14:textId="77777777" w:rsidR="002D6F66" w:rsidRDefault="00000000">
            <w:pPr>
              <w:cnfStyle w:val="000000000000" w:firstRow="0" w:lastRow="0" w:firstColumn="0" w:lastColumn="0" w:oddVBand="0" w:evenVBand="0" w:oddHBand="0" w:evenHBand="0" w:firstRowFirstColumn="0" w:firstRowLastColumn="0" w:lastRowFirstColumn="0" w:lastRowLastColumn="0"/>
            </w:pPr>
            <w:r>
              <w:t>SQL + artifact references</w:t>
            </w:r>
          </w:p>
        </w:tc>
      </w:tr>
      <w:tr w:rsidR="002D6F66" w14:paraId="74BACB1B"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12079EC" w14:textId="77777777" w:rsidR="002D6F66" w:rsidRDefault="00000000">
            <w:r>
              <w:t>Execution agent</w:t>
            </w:r>
          </w:p>
        </w:tc>
        <w:tc>
          <w:tcPr>
            <w:tcW w:w="3197" w:type="dxa"/>
          </w:tcPr>
          <w:p w14:paraId="55F20336" w14:textId="77777777" w:rsidR="002D6F66" w:rsidRDefault="00000000">
            <w:pPr>
              <w:cnfStyle w:val="000000100000" w:firstRow="0" w:lastRow="0" w:firstColumn="0" w:lastColumn="0" w:oddVBand="0" w:evenVBand="0" w:oddHBand="1" w:evenHBand="0" w:firstRowFirstColumn="0" w:firstRowLastColumn="0" w:lastRowFirstColumn="0" w:lastRowLastColumn="0"/>
            </w:pPr>
            <w:r>
              <w:t>Sandbox work, heartbeats, logs</w:t>
            </w:r>
          </w:p>
        </w:tc>
        <w:tc>
          <w:tcPr>
            <w:tcW w:w="3197" w:type="dxa"/>
          </w:tcPr>
          <w:p w14:paraId="40721C77" w14:textId="77777777" w:rsidR="002D6F66" w:rsidRDefault="00000000">
            <w:pPr>
              <w:cnfStyle w:val="000000100000" w:firstRow="0" w:lastRow="0" w:firstColumn="0" w:lastColumn="0" w:oddVBand="0" w:evenVBand="0" w:oddHBand="1" w:evenHBand="0" w:firstRowFirstColumn="0" w:firstRowLastColumn="0" w:lastRowFirstColumn="0" w:lastRowLastColumn="0"/>
            </w:pPr>
            <w:r>
              <w:t>Orchestrator + object store</w:t>
            </w:r>
          </w:p>
        </w:tc>
      </w:tr>
      <w:tr w:rsidR="002D6F66" w14:paraId="20B89EB1"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3D0ECEC2" w14:textId="77777777" w:rsidR="002D6F66" w:rsidRDefault="00000000">
            <w:r>
              <w:t>Serving manager</w:t>
            </w:r>
          </w:p>
        </w:tc>
        <w:tc>
          <w:tcPr>
            <w:tcW w:w="3197" w:type="dxa"/>
          </w:tcPr>
          <w:p w14:paraId="7C1EBD5E" w14:textId="77777777" w:rsidR="002D6F66" w:rsidRDefault="00000000">
            <w:pPr>
              <w:cnfStyle w:val="000000000000" w:firstRow="0" w:lastRow="0" w:firstColumn="0" w:lastColumn="0" w:oddVBand="0" w:evenVBand="0" w:oddHBand="0" w:evenHBand="0" w:firstRowFirstColumn="0" w:firstRowLastColumn="0" w:lastRowFirstColumn="0" w:lastRowLastColumn="0"/>
            </w:pPr>
            <w:r>
              <w:t>Runtime deployment and rollout</w:t>
            </w:r>
          </w:p>
        </w:tc>
        <w:tc>
          <w:tcPr>
            <w:tcW w:w="3197" w:type="dxa"/>
          </w:tcPr>
          <w:p w14:paraId="4253B7A2" w14:textId="77777777" w:rsidR="002D6F66" w:rsidRDefault="00000000">
            <w:pPr>
              <w:cnfStyle w:val="000000000000" w:firstRow="0" w:lastRow="0" w:firstColumn="0" w:lastColumn="0" w:oddVBand="0" w:evenVBand="0" w:oddHBand="0" w:evenHBand="0" w:firstRowFirstColumn="0" w:firstRowLastColumn="0" w:lastRowFirstColumn="0" w:lastRowLastColumn="0"/>
            </w:pPr>
            <w:r>
              <w:t>Kubernetes/KServe optional</w:t>
            </w:r>
          </w:p>
        </w:tc>
      </w:tr>
    </w:tbl>
    <w:p w14:paraId="65ACA1CC" w14:textId="77777777" w:rsidR="002D6F66" w:rsidRDefault="00000000">
      <w:pPr>
        <w:pStyle w:val="Heading2"/>
      </w:pPr>
      <w:r>
        <w:t>5.4 Control-flow walkthrough</w:t>
      </w:r>
    </w:p>
    <w:p w14:paraId="2AC8037A" w14:textId="77777777" w:rsidR="002D6F66" w:rsidRDefault="00000000">
      <w:r>
        <w:t>A client creates a run with an idempotency key. The tracking service allocates an immutable run identifier and writes the request plus an outbox event in one transaction. The controller validates quotas and resolves execution credentials, then schedules a container through a backend adapter. The agent emits status and metric events, requests upload sessions, transfers artifacts directly to object storage, and records checksums. Finalization validates manifests and provenance, commits terminal metadata and emits completion. The model registry may then link a version to a completed artifact without copying the bytes.</w:t>
      </w:r>
    </w:p>
    <w:p w14:paraId="563A162B" w14:textId="77777777" w:rsidR="002D6F66" w:rsidRDefault="00000000">
      <w:r>
        <w:t>A minimal production-oriented deployment can begin with a modular API server, PostgreSQL for durable metadata, an object store for immutable payloads, and a controller capable of dispatching local or containerized attempts. This is intentionally less elaborate than a microservice-per-feature architecture. Strong module boundaries remain important: identity and authorization, run/event ingestion, artifacts, registry, provenance queries, orchestration, and adapter discovery each expose versioned interfaces. Metrics emitted at high frequency should be batched before durable insertion; large logs should be streamed or stored as objects rather than accumulating indefinitely as relational rows. Registry reads and user dashboards can be accelerated with derived indexes, but indexes must be rebuilt from authoritative records. The initial design thus optimizes correctness and observability before distributing components for scale.</w:t>
      </w:r>
    </w:p>
    <w:p w14:paraId="0D7147F7" w14:textId="77777777" w:rsidR="002D6F66" w:rsidRDefault="00000000">
      <w:pPr>
        <w:pStyle w:val="Heading2"/>
      </w:pPr>
      <w:r>
        <w:t>5.5 Failure isolation</w:t>
      </w:r>
    </w:p>
    <w:p w14:paraId="4DE28820" w14:textId="77777777" w:rsidR="002D6F66" w:rsidRDefault="00000000">
      <w:r>
        <w:t>Loss of the browser does not interrupt execution. API restarts must not lose committed events. If a worker dies, its lease expires, the orchestrator marks the attempt as interrupted and applies retry policy. If artifact upload succeeds but metadata commit fails, the object is orphaned until a garbage-collection grace period expires. If metadata commits before eventual artifact visibility, readers use a pending/verification state rather than exposing a falsely ready model.</w:t>
      </w:r>
    </w:p>
    <w:p w14:paraId="068D12B6" w14:textId="77777777" w:rsidR="002D6F66" w:rsidRDefault="00000000">
      <w:pPr>
        <w:pStyle w:val="Heading1"/>
      </w:pPr>
      <w:r>
        <w:t>6. Canonical Data and Metadata Model</w:t>
      </w:r>
    </w:p>
    <w:p w14:paraId="6D1396D9" w14:textId="77777777" w:rsidR="002D6F66" w:rsidRDefault="00000000">
      <w:pPr>
        <w:pStyle w:val="Heading2"/>
      </w:pPr>
      <w:r>
        <w:t>6.1 Entities and invariants</w:t>
      </w:r>
    </w:p>
    <w:p w14:paraId="238EEEA8" w14:textId="77777777" w:rsidR="002D6F66" w:rsidRDefault="00000000">
      <w:r>
        <w:t>A tenant owns projects; projects contain experiments; experiments contain runs; runs contain immutable attempts and append-only events. A dataset snapshot is a logical identity plus immutable version, source URI, hash, optional schema and policy labels. An artifact is represented by a manifest and object references. A model version points to one or more artifact manifests, a provenance root and optional load/predict adapters. A deployment refers to a pinned model version plus runtime configuration. Mutable aliases are separately audited pointers.</w:t>
      </w:r>
    </w:p>
    <w:p w14:paraId="3D666532" w14:textId="77777777" w:rsidR="002D6F66" w:rsidRDefault="00000000">
      <w:r>
        <w:lastRenderedPageBreak/>
        <w:t>The canonical model separates the logical run from physical attempts. A logical run describes the intended computation, whereas an attempt records one scheduler submission and one termination outcome. A retry should never overwrite a failed attempt because doing so would erase essential debugging evidence. Similarly, an artifact reference records a manifest digest and an explicit completion status rather than a mutable path whose contents may change. Dataset lineage uses typed edges such as 'consumed', 'derived-from', and 'evaluated-on'; edge types permit graph validation and domain-specific queries without requiring the core to understand individual tensor types. Tenant and project identifiers are attached at the point of creation so that authorization decisions are made consistently throughout the resource lifecycle.</w:t>
      </w:r>
    </w:p>
    <w:p w14:paraId="1C44F18E" w14:textId="77777777" w:rsidR="002D6F66" w:rsidRDefault="00000000">
      <w:pPr>
        <w:jc w:val="center"/>
      </w:pPr>
      <w:r>
        <w:rPr>
          <w:noProof/>
        </w:rPr>
        <w:drawing>
          <wp:inline distT="0" distB="0" distL="0" distR="0" wp14:anchorId="05146C7C" wp14:editId="7B92814C">
            <wp:extent cx="5925312" cy="2749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ge.png"/>
                    <pic:cNvPicPr/>
                  </pic:nvPicPr>
                  <pic:blipFill>
                    <a:blip r:embed="rId9"/>
                    <a:stretch>
                      <a:fillRect/>
                    </a:stretch>
                  </pic:blipFill>
                  <pic:spPr>
                    <a:xfrm>
                      <a:off x="0" y="0"/>
                      <a:ext cx="5925312" cy="2749096"/>
                    </a:xfrm>
                    <a:prstGeom prst="rect">
                      <a:avLst/>
                    </a:prstGeom>
                  </pic:spPr>
                </pic:pic>
              </a:graphicData>
            </a:graphic>
          </wp:inline>
        </w:drawing>
      </w:r>
    </w:p>
    <w:p w14:paraId="1BF38584" w14:textId="77777777" w:rsidR="002D6F66" w:rsidRDefault="00000000">
      <w:pPr>
        <w:pStyle w:val="Caption"/>
      </w:pPr>
      <w:r>
        <w:t>Figure 2. Simplified provenance graph tying data, code, execution, models and deployment (conceptual).</w:t>
      </w:r>
    </w:p>
    <w:p w14:paraId="6855E3E1" w14:textId="77777777" w:rsidR="002D6F66" w:rsidRDefault="00000000">
      <w:pPr>
        <w:pStyle w:val="Heading2"/>
      </w:pPr>
      <w:r>
        <w:t>6.2 Representative relational schema</w:t>
      </w:r>
    </w:p>
    <w:p w14:paraId="42142127" w14:textId="77777777" w:rsidR="002D6F66" w:rsidRDefault="00000000">
      <w:pPr>
        <w:pStyle w:val="Caption"/>
      </w:pPr>
      <w:r>
        <w:t>Table 5. Principal relational entities (illustrative fields).</w:t>
      </w:r>
    </w:p>
    <w:tbl>
      <w:tblPr>
        <w:tblStyle w:val="LightShading-Accent1"/>
        <w:tblW w:w="0" w:type="auto"/>
        <w:jc w:val="center"/>
        <w:tblLook w:val="04A0" w:firstRow="1" w:lastRow="0" w:firstColumn="1" w:lastColumn="0" w:noHBand="0" w:noVBand="1"/>
      </w:tblPr>
      <w:tblGrid>
        <w:gridCol w:w="3197"/>
        <w:gridCol w:w="3197"/>
        <w:gridCol w:w="3197"/>
      </w:tblGrid>
      <w:tr w:rsidR="002D6F66" w14:paraId="5CB6CC8E"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1948BD05" w14:textId="77777777" w:rsidR="002D6F66" w:rsidRDefault="00000000">
            <w:r>
              <w:t>Table</w:t>
            </w:r>
          </w:p>
        </w:tc>
        <w:tc>
          <w:tcPr>
            <w:tcW w:w="3197" w:type="dxa"/>
          </w:tcPr>
          <w:p w14:paraId="16883938" w14:textId="77777777" w:rsidR="002D6F66" w:rsidRDefault="00000000">
            <w:pPr>
              <w:cnfStyle w:val="100000000000" w:firstRow="1" w:lastRow="0" w:firstColumn="0" w:lastColumn="0" w:oddVBand="0" w:evenVBand="0" w:oddHBand="0" w:evenHBand="0" w:firstRowFirstColumn="0" w:firstRowLastColumn="0" w:lastRowFirstColumn="0" w:lastRowLastColumn="0"/>
            </w:pPr>
            <w:r>
              <w:t>Core attributes</w:t>
            </w:r>
          </w:p>
        </w:tc>
        <w:tc>
          <w:tcPr>
            <w:tcW w:w="3197" w:type="dxa"/>
          </w:tcPr>
          <w:p w14:paraId="0307C901" w14:textId="77777777" w:rsidR="002D6F66" w:rsidRDefault="00000000">
            <w:pPr>
              <w:cnfStyle w:val="100000000000" w:firstRow="1" w:lastRow="0" w:firstColumn="0" w:lastColumn="0" w:oddVBand="0" w:evenVBand="0" w:oddHBand="0" w:evenHBand="0" w:firstRowFirstColumn="0" w:firstRowLastColumn="0" w:lastRowFirstColumn="0" w:lastRowLastColumn="0"/>
            </w:pPr>
            <w:r>
              <w:t>Constraint</w:t>
            </w:r>
          </w:p>
        </w:tc>
      </w:tr>
      <w:tr w:rsidR="002D6F66" w14:paraId="40CC73B3"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6BD24F55" w14:textId="77777777" w:rsidR="002D6F66" w:rsidRDefault="00000000">
            <w:r>
              <w:t>runs</w:t>
            </w:r>
          </w:p>
        </w:tc>
        <w:tc>
          <w:tcPr>
            <w:tcW w:w="3197" w:type="dxa"/>
          </w:tcPr>
          <w:p w14:paraId="7E3A685C" w14:textId="77777777" w:rsidR="002D6F66" w:rsidRDefault="00000000">
            <w:pPr>
              <w:cnfStyle w:val="000000100000" w:firstRow="0" w:lastRow="0" w:firstColumn="0" w:lastColumn="0" w:oddVBand="0" w:evenVBand="0" w:oddHBand="1" w:evenHBand="0" w:firstRowFirstColumn="0" w:firstRowLastColumn="0" w:lastRowFirstColumn="0" w:lastRowLastColumn="0"/>
            </w:pPr>
            <w:r>
              <w:t>run_id, tenant_id, experiment_id, state, created_at</w:t>
            </w:r>
          </w:p>
        </w:tc>
        <w:tc>
          <w:tcPr>
            <w:tcW w:w="3197" w:type="dxa"/>
          </w:tcPr>
          <w:p w14:paraId="21C294A0" w14:textId="77777777" w:rsidR="002D6F66" w:rsidRDefault="00000000">
            <w:pPr>
              <w:cnfStyle w:val="000000100000" w:firstRow="0" w:lastRow="0" w:firstColumn="0" w:lastColumn="0" w:oddVBand="0" w:evenVBand="0" w:oddHBand="1" w:evenHBand="0" w:firstRowFirstColumn="0" w:firstRowLastColumn="0" w:lastRowFirstColumn="0" w:lastRowLastColumn="0"/>
            </w:pPr>
            <w:r>
              <w:t>PK run_id; tenant scoping</w:t>
            </w:r>
          </w:p>
        </w:tc>
      </w:tr>
      <w:tr w:rsidR="002D6F66" w14:paraId="72CC71B3"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7E7F6EFE" w14:textId="77777777" w:rsidR="002D6F66" w:rsidRDefault="00000000">
            <w:r>
              <w:t>attempts</w:t>
            </w:r>
          </w:p>
        </w:tc>
        <w:tc>
          <w:tcPr>
            <w:tcW w:w="3197" w:type="dxa"/>
          </w:tcPr>
          <w:p w14:paraId="79D205B9" w14:textId="77777777" w:rsidR="002D6F66" w:rsidRDefault="00000000">
            <w:pPr>
              <w:cnfStyle w:val="000000000000" w:firstRow="0" w:lastRow="0" w:firstColumn="0" w:lastColumn="0" w:oddVBand="0" w:evenVBand="0" w:oddHBand="0" w:evenHBand="0" w:firstRowFirstColumn="0" w:firstRowLastColumn="0" w:lastRowFirstColumn="0" w:lastRowLastColumn="0"/>
            </w:pPr>
            <w:r>
              <w:t>attempt_id, run_id, lease_epoch, state</w:t>
            </w:r>
          </w:p>
        </w:tc>
        <w:tc>
          <w:tcPr>
            <w:tcW w:w="3197" w:type="dxa"/>
          </w:tcPr>
          <w:p w14:paraId="0932895D" w14:textId="77777777" w:rsidR="002D6F66" w:rsidRDefault="00000000">
            <w:pPr>
              <w:cnfStyle w:val="000000000000" w:firstRow="0" w:lastRow="0" w:firstColumn="0" w:lastColumn="0" w:oddVBand="0" w:evenVBand="0" w:oddHBand="0" w:evenHBand="0" w:firstRowFirstColumn="0" w:firstRowLastColumn="0" w:lastRowFirstColumn="0" w:lastRowLastColumn="0"/>
            </w:pPr>
            <w:r>
              <w:t>Unique(run_id, attempt_no)</w:t>
            </w:r>
          </w:p>
        </w:tc>
      </w:tr>
      <w:tr w:rsidR="002D6F66" w14:paraId="4C3262E4"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2832D3B8" w14:textId="77777777" w:rsidR="002D6F66" w:rsidRDefault="00000000">
            <w:r>
              <w:t>metric_events</w:t>
            </w:r>
          </w:p>
        </w:tc>
        <w:tc>
          <w:tcPr>
            <w:tcW w:w="3197" w:type="dxa"/>
          </w:tcPr>
          <w:p w14:paraId="40F0FEB4" w14:textId="77777777" w:rsidR="002D6F66" w:rsidRDefault="00000000">
            <w:pPr>
              <w:cnfStyle w:val="000000100000" w:firstRow="0" w:lastRow="0" w:firstColumn="0" w:lastColumn="0" w:oddVBand="0" w:evenVBand="0" w:oddHBand="1" w:evenHBand="0" w:firstRowFirstColumn="0" w:firstRowLastColumn="0" w:lastRowFirstColumn="0" w:lastRowLastColumn="0"/>
            </w:pPr>
            <w:r>
              <w:t>run_id, key, step, value, ts, event_key</w:t>
            </w:r>
          </w:p>
        </w:tc>
        <w:tc>
          <w:tcPr>
            <w:tcW w:w="3197" w:type="dxa"/>
          </w:tcPr>
          <w:p w14:paraId="78681674" w14:textId="77777777" w:rsidR="002D6F66" w:rsidRDefault="00000000">
            <w:pPr>
              <w:cnfStyle w:val="000000100000" w:firstRow="0" w:lastRow="0" w:firstColumn="0" w:lastColumn="0" w:oddVBand="0" w:evenVBand="0" w:oddHBand="1" w:evenHBand="0" w:firstRowFirstColumn="0" w:firstRowLastColumn="0" w:lastRowFirstColumn="0" w:lastRowLastColumn="0"/>
            </w:pPr>
            <w:r>
              <w:t>Unique(event_key)</w:t>
            </w:r>
          </w:p>
        </w:tc>
      </w:tr>
      <w:tr w:rsidR="002D6F66" w14:paraId="75E1494A"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4089D52" w14:textId="77777777" w:rsidR="002D6F66" w:rsidRDefault="00000000">
            <w:r>
              <w:t>artifact_manifests</w:t>
            </w:r>
          </w:p>
        </w:tc>
        <w:tc>
          <w:tcPr>
            <w:tcW w:w="3197" w:type="dxa"/>
          </w:tcPr>
          <w:p w14:paraId="19881A20" w14:textId="77777777" w:rsidR="002D6F66" w:rsidRDefault="00000000">
            <w:pPr>
              <w:cnfStyle w:val="000000000000" w:firstRow="0" w:lastRow="0" w:firstColumn="0" w:lastColumn="0" w:oddVBand="0" w:evenVBand="0" w:oddHBand="0" w:evenHBand="0" w:firstRowFirstColumn="0" w:firstRowLastColumn="0" w:lastRowFirstColumn="0" w:lastRowLastColumn="0"/>
            </w:pPr>
            <w:r>
              <w:t>digest, media_type, size, storage_uri</w:t>
            </w:r>
          </w:p>
        </w:tc>
        <w:tc>
          <w:tcPr>
            <w:tcW w:w="3197" w:type="dxa"/>
          </w:tcPr>
          <w:p w14:paraId="155EEE1B" w14:textId="77777777" w:rsidR="002D6F66" w:rsidRDefault="00000000">
            <w:pPr>
              <w:cnfStyle w:val="000000000000" w:firstRow="0" w:lastRow="0" w:firstColumn="0" w:lastColumn="0" w:oddVBand="0" w:evenVBand="0" w:oddHBand="0" w:evenHBand="0" w:firstRowFirstColumn="0" w:firstRowLastColumn="0" w:lastRowFirstColumn="0" w:lastRowLastColumn="0"/>
            </w:pPr>
            <w:r>
              <w:t>Immutable digest</w:t>
            </w:r>
          </w:p>
        </w:tc>
      </w:tr>
      <w:tr w:rsidR="002D6F66" w14:paraId="774837B4"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EC580A9" w14:textId="77777777" w:rsidR="002D6F66" w:rsidRDefault="00000000">
            <w:r>
              <w:t>model_versions</w:t>
            </w:r>
          </w:p>
        </w:tc>
        <w:tc>
          <w:tcPr>
            <w:tcW w:w="3197" w:type="dxa"/>
          </w:tcPr>
          <w:p w14:paraId="59E5B912" w14:textId="77777777" w:rsidR="002D6F66" w:rsidRDefault="00000000">
            <w:pPr>
              <w:cnfStyle w:val="000000100000" w:firstRow="0" w:lastRow="0" w:firstColumn="0" w:lastColumn="0" w:oddVBand="0" w:evenVBand="0" w:oddHBand="1" w:evenHBand="0" w:firstRowFirstColumn="0" w:firstRowLastColumn="0" w:lastRowFirstColumn="0" w:lastRowLastColumn="0"/>
            </w:pPr>
            <w:r>
              <w:t>model_id, version_no, manifest_digest</w:t>
            </w:r>
          </w:p>
        </w:tc>
        <w:tc>
          <w:tcPr>
            <w:tcW w:w="3197" w:type="dxa"/>
          </w:tcPr>
          <w:p w14:paraId="5CF9D409" w14:textId="77777777" w:rsidR="002D6F66" w:rsidRDefault="00000000">
            <w:pPr>
              <w:cnfStyle w:val="000000100000" w:firstRow="0" w:lastRow="0" w:firstColumn="0" w:lastColumn="0" w:oddVBand="0" w:evenVBand="0" w:oddHBand="1" w:evenHBand="0" w:firstRowFirstColumn="0" w:firstRowLastColumn="0" w:lastRowFirstColumn="0" w:lastRowLastColumn="0"/>
            </w:pPr>
            <w:r>
              <w:t>Unique(model_id, version_no)</w:t>
            </w:r>
          </w:p>
        </w:tc>
      </w:tr>
      <w:tr w:rsidR="002D6F66" w14:paraId="33891F4B"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288DFDD0" w14:textId="77777777" w:rsidR="002D6F66" w:rsidRDefault="00000000">
            <w:r>
              <w:t>lineage_edges</w:t>
            </w:r>
          </w:p>
        </w:tc>
        <w:tc>
          <w:tcPr>
            <w:tcW w:w="3197" w:type="dxa"/>
          </w:tcPr>
          <w:p w14:paraId="6A4ECD22" w14:textId="77777777" w:rsidR="002D6F66" w:rsidRDefault="00000000">
            <w:pPr>
              <w:cnfStyle w:val="000000000000" w:firstRow="0" w:lastRow="0" w:firstColumn="0" w:lastColumn="0" w:oddVBand="0" w:evenVBand="0" w:oddHBand="0" w:evenHBand="0" w:firstRowFirstColumn="0" w:firstRowLastColumn="0" w:lastRowFirstColumn="0" w:lastRowLastColumn="0"/>
            </w:pPr>
            <w:r>
              <w:t>source_type/id, relation, target_type/id</w:t>
            </w:r>
          </w:p>
        </w:tc>
        <w:tc>
          <w:tcPr>
            <w:tcW w:w="3197" w:type="dxa"/>
          </w:tcPr>
          <w:p w14:paraId="6C207082" w14:textId="77777777" w:rsidR="002D6F66" w:rsidRDefault="00000000">
            <w:pPr>
              <w:cnfStyle w:val="000000000000" w:firstRow="0" w:lastRow="0" w:firstColumn="0" w:lastColumn="0" w:oddVBand="0" w:evenVBand="0" w:oddHBand="0" w:evenHBand="0" w:firstRowFirstColumn="0" w:firstRowLastColumn="0" w:lastRowFirstColumn="0" w:lastRowLastColumn="0"/>
            </w:pPr>
            <w:r>
              <w:t>Validated typed endpoints</w:t>
            </w:r>
          </w:p>
        </w:tc>
      </w:tr>
      <w:tr w:rsidR="002D6F66" w14:paraId="2A0E0BEE"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2E8241A9" w14:textId="77777777" w:rsidR="002D6F66" w:rsidRDefault="00000000">
            <w:r>
              <w:t>registry_aliases</w:t>
            </w:r>
          </w:p>
        </w:tc>
        <w:tc>
          <w:tcPr>
            <w:tcW w:w="3197" w:type="dxa"/>
          </w:tcPr>
          <w:p w14:paraId="561DB9D3" w14:textId="77777777" w:rsidR="002D6F66" w:rsidRDefault="00000000">
            <w:pPr>
              <w:cnfStyle w:val="000000100000" w:firstRow="0" w:lastRow="0" w:firstColumn="0" w:lastColumn="0" w:oddVBand="0" w:evenVBand="0" w:oddHBand="1" w:evenHBand="0" w:firstRowFirstColumn="0" w:firstRowLastColumn="0" w:lastRowFirstColumn="0" w:lastRowLastColumn="0"/>
            </w:pPr>
            <w:r>
              <w:t>model_id, alias, version_no, revision</w:t>
            </w:r>
          </w:p>
        </w:tc>
        <w:tc>
          <w:tcPr>
            <w:tcW w:w="3197" w:type="dxa"/>
          </w:tcPr>
          <w:p w14:paraId="4D6EADCA" w14:textId="77777777" w:rsidR="002D6F66" w:rsidRDefault="00000000">
            <w:pPr>
              <w:cnfStyle w:val="000000100000" w:firstRow="0" w:lastRow="0" w:firstColumn="0" w:lastColumn="0" w:oddVBand="0" w:evenVBand="0" w:oddHBand="1" w:evenHBand="0" w:firstRowFirstColumn="0" w:firstRowLastColumn="0" w:lastRowFirstColumn="0" w:lastRowLastColumn="0"/>
            </w:pPr>
            <w:r>
              <w:t>Compare-and-swap revision</w:t>
            </w:r>
          </w:p>
        </w:tc>
      </w:tr>
      <w:tr w:rsidR="002D6F66" w14:paraId="5F782647"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77EC725D" w14:textId="77777777" w:rsidR="002D6F66" w:rsidRDefault="00000000">
            <w:r>
              <w:t>outbox</w:t>
            </w:r>
          </w:p>
        </w:tc>
        <w:tc>
          <w:tcPr>
            <w:tcW w:w="3197" w:type="dxa"/>
          </w:tcPr>
          <w:p w14:paraId="44EC4FDF" w14:textId="77777777" w:rsidR="002D6F66" w:rsidRDefault="00000000">
            <w:pPr>
              <w:cnfStyle w:val="000000000000" w:firstRow="0" w:lastRow="0" w:firstColumn="0" w:lastColumn="0" w:oddVBand="0" w:evenVBand="0" w:oddHBand="0" w:evenHBand="0" w:firstRowFirstColumn="0" w:firstRowLastColumn="0" w:lastRowFirstColumn="0" w:lastRowLastColumn="0"/>
            </w:pPr>
            <w:r>
              <w:t>event_id, type, payload, committed_at</w:t>
            </w:r>
          </w:p>
        </w:tc>
        <w:tc>
          <w:tcPr>
            <w:tcW w:w="3197" w:type="dxa"/>
          </w:tcPr>
          <w:p w14:paraId="38C1020B" w14:textId="77777777" w:rsidR="002D6F66" w:rsidRDefault="00000000">
            <w:pPr>
              <w:cnfStyle w:val="000000000000" w:firstRow="0" w:lastRow="0" w:firstColumn="0" w:lastColumn="0" w:oddVBand="0" w:evenVBand="0" w:oddHBand="0" w:evenHBand="0" w:firstRowFirstColumn="0" w:firstRowLastColumn="0" w:lastRowFirstColumn="0" w:lastRowLastColumn="0"/>
            </w:pPr>
            <w:r>
              <w:t>Delivery retries</w:t>
            </w:r>
          </w:p>
        </w:tc>
      </w:tr>
    </w:tbl>
    <w:p w14:paraId="1F615A2C" w14:textId="77777777" w:rsidR="002D6F66" w:rsidRDefault="00000000">
      <w:pPr>
        <w:pStyle w:val="Heading2"/>
      </w:pPr>
      <w:r>
        <w:t>6.3 Metric event semantics</w:t>
      </w:r>
    </w:p>
    <w:p w14:paraId="74CCFE6E" w14:textId="77777777" w:rsidR="002D6F66" w:rsidRDefault="00000000">
      <w:r>
        <w:t xml:space="preserve">Metrics may be scalar, histogram, table or file-backed series. Scalar entries store key, numeric value, step, timestamp, source and attempt. Events are append-only: the query API may compute “latest” by a </w:t>
      </w:r>
      <w:r>
        <w:lastRenderedPageBreak/>
        <w:t>deterministic ordering but must retain the original stream. NaN and infinity should be encoded under an explicit type policy; silent coercion corrupts comparisons. Parameter keys may use JSON-compatible primitives and should be immutable within one attempt unless specifically versioned.</w:t>
      </w:r>
    </w:p>
    <w:p w14:paraId="7749C7DB" w14:textId="77777777" w:rsidR="002D6F66" w:rsidRDefault="00000000">
      <w:r>
        <w:t>Metrics are append-only observations with a producer identity, step or axis, ingestion timestamp, optional source timestamp, and an idempotency key. A value logged for the same metric name at two steps is not an update to a single mutable field. Equally important, a metric can arrive late or out of order because distributed workers have independent clocks and network paths. The query service should therefore distinguish 'latest ingested' from 'highest step' and expose the policy used for selecting a summary value. Floating-point special values require an explicit serialization convention; silently converting NaN to zero corrupts comparisons. Per-run telemetry limits, batch sizes, and backpressure policies prevent poorly configured instrumentation from overwhelming the metadata database during large-scale hyperparameter searches.</w:t>
      </w:r>
    </w:p>
    <w:p w14:paraId="64850D2D" w14:textId="77777777" w:rsidR="002D6F66" w:rsidRDefault="00000000">
      <w:pPr>
        <w:pStyle w:val="Heading2"/>
      </w:pPr>
      <w:r>
        <w:t>6.4 Versioning and schema evolution</w:t>
      </w:r>
    </w:p>
    <w:p w14:paraId="5F57517C" w14:textId="77777777" w:rsidR="002D6F66" w:rsidRDefault="00000000">
      <w:r>
        <w:t>All public payloads declare api_version and optional extensions. Readers ignore unknown non-critical facets, but reject unknown required capabilities. Changing an event definition should introduce a new version or a migration transform. Model signatures include input/output schemas, tensor or tabular shape information where available, optional batch axes and validation examples; they cannot describe all possible callable behaviors.</w:t>
      </w:r>
    </w:p>
    <w:p w14:paraId="33DDEF98" w14:textId="77777777" w:rsidR="002D6F66" w:rsidRDefault="00000000">
      <w:pPr>
        <w:pStyle w:val="Heading2"/>
      </w:pPr>
      <w:r>
        <w:t>6.5 Dataset and artifact identity</w:t>
      </w:r>
    </w:p>
    <w:p w14:paraId="643D631F" w14:textId="77777777" w:rsidR="002D6F66" w:rsidRDefault="00000000">
      <w:r>
        <w:t>URI alone is not a dataset version. An immutable snapshot should specify a source revision, a digest or both, with a disclosure when complete hashing is impossible. Massive datasets can use chunked manifests or table snapshot IDs. The chosen approach must distinguish identity, integrity, reproducibility and permission to access; hashing does not establish consent or licensing.</w:t>
      </w:r>
    </w:p>
    <w:p w14:paraId="2210925A" w14:textId="77777777" w:rsidR="002D6F66" w:rsidRDefault="00000000">
      <w:pPr>
        <w:pStyle w:val="Heading1"/>
      </w:pPr>
      <w:r>
        <w:t>7. Framework Interoperability and Adapters</w:t>
      </w:r>
    </w:p>
    <w:p w14:paraId="70CB445C" w14:textId="77777777" w:rsidR="002D6F66" w:rsidRDefault="00000000">
      <w:pPr>
        <w:pStyle w:val="Heading2"/>
      </w:pPr>
      <w:r>
        <w:t>7.1 Adapter protocol</w:t>
      </w:r>
    </w:p>
    <w:p w14:paraId="410A6A11" w14:textId="77777777" w:rsidR="002D6F66" w:rsidRDefault="00000000">
      <w:r>
        <w:t>Every adapter registers a capability descriptor: adapter ID, semantic version, language/runtime range, supported libraries and versions, capabilities, data formats, required privileges, runtime image, and conformance report reference. The platform resolves adapters by explicit user selection or conservative matching. Automatic selection should never execute untrusted introspection inside the API process. A safe test command runs in a sandbox and returns capability claims.</w:t>
      </w:r>
    </w:p>
    <w:p w14:paraId="4793F6B3" w14:textId="77777777" w:rsidR="002D6F66" w:rsidRDefault="00000000">
      <w:r>
        <w:t>An adapter advertises capabilities through a machine-readable manifest that includes protocol version, supported operations, dependencies, supported artifact media types, isolation requirements, and configuration schema. The control plane performs capability negotiation before a request is accepted. If a model can be tracked and registered but has no serving implementation, the API should return a precise unsupported-capability response rather than accepting the request and failing after deployment begins. Adapters must be optional for fundamental run tracking: users may always invoke a generic client or CLI to publish scalar observations and artifacts from a process. Version negotiation should be conservative; a plugin that supports a newer optional callback should still be usable for older mandatory operations when its manifest confirms compatibility.</w:t>
      </w:r>
    </w:p>
    <w:p w14:paraId="126C19C8" w14:textId="77777777" w:rsidR="002D6F66" w:rsidRDefault="00000000">
      <w:pPr>
        <w:pStyle w:val="Heading2"/>
      </w:pPr>
      <w:r>
        <w:t>7.2 Language strategy</w:t>
      </w:r>
    </w:p>
    <w:p w14:paraId="5825BE95" w14:textId="77777777" w:rsidR="002D6F66" w:rsidRDefault="00000000">
      <w:r>
        <w:t>Python receives a full SDK with context-manager runs and framework callbacks. Other languages require only standards-based HTTP/gRPC and a CLI helper for emitting JSON-line events. A process-level shim captures command, exit code, environment fingerprint, logs, machine information and output paths regardless of library. This is crucial for R, Julia, C++, Spark executables and custom pipelines, while L2 autologging can remain Python-focused initially.</w:t>
      </w:r>
    </w:p>
    <w:p w14:paraId="3B0D4B6C" w14:textId="77777777" w:rsidR="002D6F66" w:rsidRDefault="00000000">
      <w:pPr>
        <w:pStyle w:val="Heading2"/>
      </w:pPr>
      <w:r>
        <w:lastRenderedPageBreak/>
        <w:t>7.3 Native adapters and generic fallbacks</w:t>
      </w:r>
    </w:p>
    <w:p w14:paraId="08133A4A" w14:textId="77777777" w:rsidR="002D6F66" w:rsidRDefault="00000000">
      <w:r>
        <w:t>Dedicated adapters can capture scikit-learn estimator settings; PyTorch epoch losses, checkpoints and training metadata; TensorFlow/Keras callbacks; XGBoost and LightGBM evaluation histories; Hugging Face Transformers trainer callbacks; and classical statistical libraries through generic event logging. Distributed workloads must aggregate metrics by rank or worker ID instead of treating every writer as the sole source of truth. Adapter support is version-qualified and empirically validated.</w:t>
      </w:r>
    </w:p>
    <w:p w14:paraId="64AFEA5E" w14:textId="77777777" w:rsidR="002D6F66" w:rsidRDefault="00000000">
      <w:pPr>
        <w:pStyle w:val="Caption"/>
      </w:pPr>
      <w:r>
        <w:t>Table 6. Proposed representative compatibility suite; targets, not verified support.</w:t>
      </w:r>
    </w:p>
    <w:tbl>
      <w:tblPr>
        <w:tblStyle w:val="LightShading-Accent1"/>
        <w:tblW w:w="0" w:type="auto"/>
        <w:jc w:val="center"/>
        <w:tblLook w:val="04A0" w:firstRow="1" w:lastRow="0" w:firstColumn="1" w:lastColumn="0" w:noHBand="0" w:noVBand="1"/>
      </w:tblPr>
      <w:tblGrid>
        <w:gridCol w:w="3197"/>
        <w:gridCol w:w="3197"/>
        <w:gridCol w:w="3197"/>
      </w:tblGrid>
      <w:tr w:rsidR="002D6F66" w14:paraId="468D8BE2"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4BBF0EE9" w14:textId="77777777" w:rsidR="002D6F66" w:rsidRDefault="00000000">
            <w:r>
              <w:t>Ecosystem</w:t>
            </w:r>
          </w:p>
        </w:tc>
        <w:tc>
          <w:tcPr>
            <w:tcW w:w="3197" w:type="dxa"/>
          </w:tcPr>
          <w:p w14:paraId="7BABD6A9" w14:textId="77777777" w:rsidR="002D6F66" w:rsidRDefault="00000000">
            <w:pPr>
              <w:cnfStyle w:val="100000000000" w:firstRow="1" w:lastRow="0" w:firstColumn="0" w:lastColumn="0" w:oddVBand="0" w:evenVBand="0" w:oddHBand="0" w:evenHBand="0" w:firstRowFirstColumn="0" w:firstRowLastColumn="0" w:lastRowFirstColumn="0" w:lastRowLastColumn="0"/>
            </w:pPr>
            <w:r>
              <w:t>Example workload</w:t>
            </w:r>
          </w:p>
        </w:tc>
        <w:tc>
          <w:tcPr>
            <w:tcW w:w="3197" w:type="dxa"/>
          </w:tcPr>
          <w:p w14:paraId="0A56FF51" w14:textId="77777777" w:rsidR="002D6F66" w:rsidRDefault="00000000">
            <w:pPr>
              <w:cnfStyle w:val="100000000000" w:firstRow="1" w:lastRow="0" w:firstColumn="0" w:lastColumn="0" w:oddVBand="0" w:evenVBand="0" w:oddHBand="0" w:evenHBand="0" w:firstRowFirstColumn="0" w:firstRowLastColumn="0" w:lastRowFirstColumn="0" w:lastRowLastColumn="0"/>
            </w:pPr>
            <w:r>
              <w:t>Initial level target</w:t>
            </w:r>
          </w:p>
        </w:tc>
      </w:tr>
      <w:tr w:rsidR="002D6F66" w14:paraId="350AADD9"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3F3C458D" w14:textId="77777777" w:rsidR="002D6F66" w:rsidRDefault="00000000">
            <w:r>
              <w:t>scikit-learn</w:t>
            </w:r>
          </w:p>
        </w:tc>
        <w:tc>
          <w:tcPr>
            <w:tcW w:w="3197" w:type="dxa"/>
          </w:tcPr>
          <w:p w14:paraId="06451402" w14:textId="77777777" w:rsidR="002D6F66" w:rsidRDefault="00000000">
            <w:pPr>
              <w:cnfStyle w:val="000000100000" w:firstRow="0" w:lastRow="0" w:firstColumn="0" w:lastColumn="0" w:oddVBand="0" w:evenVBand="0" w:oddHBand="1" w:evenHBand="0" w:firstRowFirstColumn="0" w:firstRowLastColumn="0" w:lastRowFirstColumn="0" w:lastRowLastColumn="0"/>
            </w:pPr>
            <w:r>
              <w:t>Logistic regression / RandomForest</w:t>
            </w:r>
          </w:p>
        </w:tc>
        <w:tc>
          <w:tcPr>
            <w:tcW w:w="3197" w:type="dxa"/>
          </w:tcPr>
          <w:p w14:paraId="231D45C7" w14:textId="77777777" w:rsidR="002D6F66" w:rsidRDefault="00000000">
            <w:pPr>
              <w:cnfStyle w:val="000000100000" w:firstRow="0" w:lastRow="0" w:firstColumn="0" w:lastColumn="0" w:oddVBand="0" w:evenVBand="0" w:oddHBand="1" w:evenHBand="0" w:firstRowFirstColumn="0" w:firstRowLastColumn="0" w:lastRowFirstColumn="0" w:lastRowLastColumn="0"/>
            </w:pPr>
            <w:r>
              <w:t>L2 + optional L3</w:t>
            </w:r>
          </w:p>
        </w:tc>
      </w:tr>
      <w:tr w:rsidR="002D6F66" w14:paraId="5D48A60D"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75BC2D67" w14:textId="77777777" w:rsidR="002D6F66" w:rsidRDefault="00000000">
            <w:r>
              <w:t>PyTorch</w:t>
            </w:r>
          </w:p>
        </w:tc>
        <w:tc>
          <w:tcPr>
            <w:tcW w:w="3197" w:type="dxa"/>
          </w:tcPr>
          <w:p w14:paraId="4F26C4E0" w14:textId="77777777" w:rsidR="002D6F66" w:rsidRDefault="00000000">
            <w:pPr>
              <w:cnfStyle w:val="000000000000" w:firstRow="0" w:lastRow="0" w:firstColumn="0" w:lastColumn="0" w:oddVBand="0" w:evenVBand="0" w:oddHBand="0" w:evenHBand="0" w:firstRowFirstColumn="0" w:firstRowLastColumn="0" w:lastRowFirstColumn="0" w:lastRowLastColumn="0"/>
            </w:pPr>
            <w:r>
              <w:t>CNN training and checkpoints</w:t>
            </w:r>
          </w:p>
        </w:tc>
        <w:tc>
          <w:tcPr>
            <w:tcW w:w="3197" w:type="dxa"/>
          </w:tcPr>
          <w:p w14:paraId="1D5B93FA" w14:textId="77777777" w:rsidR="002D6F66" w:rsidRDefault="00000000">
            <w:pPr>
              <w:cnfStyle w:val="000000000000" w:firstRow="0" w:lastRow="0" w:firstColumn="0" w:lastColumn="0" w:oddVBand="0" w:evenVBand="0" w:oddHBand="0" w:evenHBand="0" w:firstRowFirstColumn="0" w:firstRowLastColumn="0" w:lastRowFirstColumn="0" w:lastRowLastColumn="0"/>
            </w:pPr>
            <w:r>
              <w:t>L2 + optional L3/L4</w:t>
            </w:r>
          </w:p>
        </w:tc>
      </w:tr>
      <w:tr w:rsidR="002D6F66" w14:paraId="16918AF6"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47171E75" w14:textId="77777777" w:rsidR="002D6F66" w:rsidRDefault="00000000">
            <w:r>
              <w:t>TensorFlow/Keras</w:t>
            </w:r>
          </w:p>
        </w:tc>
        <w:tc>
          <w:tcPr>
            <w:tcW w:w="3197" w:type="dxa"/>
          </w:tcPr>
          <w:p w14:paraId="5CF85142" w14:textId="77777777" w:rsidR="002D6F66" w:rsidRDefault="00000000">
            <w:pPr>
              <w:cnfStyle w:val="000000100000" w:firstRow="0" w:lastRow="0" w:firstColumn="0" w:lastColumn="0" w:oddVBand="0" w:evenVBand="0" w:oddHBand="1" w:evenHBand="0" w:firstRowFirstColumn="0" w:firstRowLastColumn="0" w:lastRowFirstColumn="0" w:lastRowLastColumn="0"/>
            </w:pPr>
            <w:r>
              <w:t>Keras classification training</w:t>
            </w:r>
          </w:p>
        </w:tc>
        <w:tc>
          <w:tcPr>
            <w:tcW w:w="3197" w:type="dxa"/>
          </w:tcPr>
          <w:p w14:paraId="3D523A40" w14:textId="77777777" w:rsidR="002D6F66" w:rsidRDefault="00000000">
            <w:pPr>
              <w:cnfStyle w:val="000000100000" w:firstRow="0" w:lastRow="0" w:firstColumn="0" w:lastColumn="0" w:oddVBand="0" w:evenVBand="0" w:oddHBand="1" w:evenHBand="0" w:firstRowFirstColumn="0" w:firstRowLastColumn="0" w:lastRowFirstColumn="0" w:lastRowLastColumn="0"/>
            </w:pPr>
            <w:r>
              <w:t>L2 + optional L3/L4</w:t>
            </w:r>
          </w:p>
        </w:tc>
      </w:tr>
      <w:tr w:rsidR="002D6F66" w14:paraId="6736EB4B"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688CAD72" w14:textId="77777777" w:rsidR="002D6F66" w:rsidRDefault="00000000">
            <w:r>
              <w:t>XGBoost / LightGBM</w:t>
            </w:r>
          </w:p>
        </w:tc>
        <w:tc>
          <w:tcPr>
            <w:tcW w:w="3197" w:type="dxa"/>
          </w:tcPr>
          <w:p w14:paraId="77E6E373" w14:textId="77777777" w:rsidR="002D6F66" w:rsidRDefault="00000000">
            <w:pPr>
              <w:cnfStyle w:val="000000000000" w:firstRow="0" w:lastRow="0" w:firstColumn="0" w:lastColumn="0" w:oddVBand="0" w:evenVBand="0" w:oddHBand="0" w:evenHBand="0" w:firstRowFirstColumn="0" w:firstRowLastColumn="0" w:lastRowFirstColumn="0" w:lastRowLastColumn="0"/>
            </w:pPr>
            <w:r>
              <w:t>Tree boosting with validation</w:t>
            </w:r>
          </w:p>
        </w:tc>
        <w:tc>
          <w:tcPr>
            <w:tcW w:w="3197" w:type="dxa"/>
          </w:tcPr>
          <w:p w14:paraId="6FB0A856" w14:textId="77777777" w:rsidR="002D6F66" w:rsidRDefault="00000000">
            <w:pPr>
              <w:cnfStyle w:val="000000000000" w:firstRow="0" w:lastRow="0" w:firstColumn="0" w:lastColumn="0" w:oddVBand="0" w:evenVBand="0" w:oddHBand="0" w:evenHBand="0" w:firstRowFirstColumn="0" w:firstRowLastColumn="0" w:lastRowFirstColumn="0" w:lastRowLastColumn="0"/>
            </w:pPr>
            <w:r>
              <w:t>L2 + optional L3</w:t>
            </w:r>
          </w:p>
        </w:tc>
      </w:tr>
      <w:tr w:rsidR="002D6F66" w14:paraId="4A30064F"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40ED866B" w14:textId="77777777" w:rsidR="002D6F66" w:rsidRDefault="00000000">
            <w:r>
              <w:t>Hugging Face</w:t>
            </w:r>
          </w:p>
        </w:tc>
        <w:tc>
          <w:tcPr>
            <w:tcW w:w="3197" w:type="dxa"/>
          </w:tcPr>
          <w:p w14:paraId="734A9F78" w14:textId="77777777" w:rsidR="002D6F66" w:rsidRDefault="00000000">
            <w:pPr>
              <w:cnfStyle w:val="000000100000" w:firstRow="0" w:lastRow="0" w:firstColumn="0" w:lastColumn="0" w:oddVBand="0" w:evenVBand="0" w:oddHBand="1" w:evenHBand="0" w:firstRowFirstColumn="0" w:firstRowLastColumn="0" w:lastRowFirstColumn="0" w:lastRowLastColumn="0"/>
            </w:pPr>
            <w:r>
              <w:t>Transformers Trainer fine-tuning</w:t>
            </w:r>
          </w:p>
        </w:tc>
        <w:tc>
          <w:tcPr>
            <w:tcW w:w="3197" w:type="dxa"/>
          </w:tcPr>
          <w:p w14:paraId="10D4AE51" w14:textId="77777777" w:rsidR="002D6F66" w:rsidRDefault="00000000">
            <w:pPr>
              <w:cnfStyle w:val="000000100000" w:firstRow="0" w:lastRow="0" w:firstColumn="0" w:lastColumn="0" w:oddVBand="0" w:evenVBand="0" w:oddHBand="1" w:evenHBand="0" w:firstRowFirstColumn="0" w:firstRowLastColumn="0" w:lastRowFirstColumn="0" w:lastRowLastColumn="0"/>
            </w:pPr>
            <w:r>
              <w:t>L1/L2; serving varies</w:t>
            </w:r>
          </w:p>
        </w:tc>
      </w:tr>
      <w:tr w:rsidR="002D6F66" w14:paraId="77D5BFD0"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2F6ED6F9" w14:textId="77777777" w:rsidR="002D6F66" w:rsidRDefault="00000000">
            <w:r>
              <w:t>R / tidymodels</w:t>
            </w:r>
          </w:p>
        </w:tc>
        <w:tc>
          <w:tcPr>
            <w:tcW w:w="3197" w:type="dxa"/>
          </w:tcPr>
          <w:p w14:paraId="4A39D2DE" w14:textId="77777777" w:rsidR="002D6F66" w:rsidRDefault="00000000">
            <w:pPr>
              <w:cnfStyle w:val="000000000000" w:firstRow="0" w:lastRow="0" w:firstColumn="0" w:lastColumn="0" w:oddVBand="0" w:evenVBand="0" w:oddHBand="0" w:evenHBand="0" w:firstRowFirstColumn="0" w:firstRowLastColumn="0" w:lastRowFirstColumn="0" w:lastRowLastColumn="0"/>
            </w:pPr>
            <w:r>
              <w:t>Rscript classification</w:t>
            </w:r>
          </w:p>
        </w:tc>
        <w:tc>
          <w:tcPr>
            <w:tcW w:w="3197" w:type="dxa"/>
          </w:tcPr>
          <w:p w14:paraId="275B6245" w14:textId="77777777" w:rsidR="002D6F66" w:rsidRDefault="00000000">
            <w:pPr>
              <w:cnfStyle w:val="000000000000" w:firstRow="0" w:lastRow="0" w:firstColumn="0" w:lastColumn="0" w:oddVBand="0" w:evenVBand="0" w:oddHBand="0" w:evenHBand="0" w:firstRowFirstColumn="0" w:firstRowLastColumn="0" w:lastRowFirstColumn="0" w:lastRowLastColumn="0"/>
            </w:pPr>
            <w:r>
              <w:t>L0/L1</w:t>
            </w:r>
          </w:p>
        </w:tc>
      </w:tr>
      <w:tr w:rsidR="002D6F66" w14:paraId="13129F6D"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E2C8B18" w14:textId="77777777" w:rsidR="002D6F66" w:rsidRDefault="00000000">
            <w:r>
              <w:t>Julia / MLJ</w:t>
            </w:r>
          </w:p>
        </w:tc>
        <w:tc>
          <w:tcPr>
            <w:tcW w:w="3197" w:type="dxa"/>
          </w:tcPr>
          <w:p w14:paraId="6DE0ED5C" w14:textId="77777777" w:rsidR="002D6F66" w:rsidRDefault="00000000">
            <w:pPr>
              <w:cnfStyle w:val="000000100000" w:firstRow="0" w:lastRow="0" w:firstColumn="0" w:lastColumn="0" w:oddVBand="0" w:evenVBand="0" w:oddHBand="1" w:evenHBand="0" w:firstRowFirstColumn="0" w:firstRowLastColumn="0" w:lastRowFirstColumn="0" w:lastRowLastColumn="0"/>
            </w:pPr>
            <w:r>
              <w:t>Julia subprocess training</w:t>
            </w:r>
          </w:p>
        </w:tc>
        <w:tc>
          <w:tcPr>
            <w:tcW w:w="3197" w:type="dxa"/>
          </w:tcPr>
          <w:p w14:paraId="68FED3DC" w14:textId="77777777" w:rsidR="002D6F66" w:rsidRDefault="00000000">
            <w:pPr>
              <w:cnfStyle w:val="000000100000" w:firstRow="0" w:lastRow="0" w:firstColumn="0" w:lastColumn="0" w:oddVBand="0" w:evenVBand="0" w:oddHBand="1" w:evenHBand="0" w:firstRowFirstColumn="0" w:firstRowLastColumn="0" w:lastRowFirstColumn="0" w:lastRowLastColumn="0"/>
            </w:pPr>
            <w:r>
              <w:t>L0/L1</w:t>
            </w:r>
          </w:p>
        </w:tc>
      </w:tr>
      <w:tr w:rsidR="002D6F66" w14:paraId="3F11754D"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C7ADFC7" w14:textId="77777777" w:rsidR="002D6F66" w:rsidRDefault="00000000">
            <w:r>
              <w:t>Spark MLlib</w:t>
            </w:r>
          </w:p>
        </w:tc>
        <w:tc>
          <w:tcPr>
            <w:tcW w:w="3197" w:type="dxa"/>
          </w:tcPr>
          <w:p w14:paraId="20E7C490" w14:textId="77777777" w:rsidR="002D6F66" w:rsidRDefault="00000000">
            <w:pPr>
              <w:cnfStyle w:val="000000000000" w:firstRow="0" w:lastRow="0" w:firstColumn="0" w:lastColumn="0" w:oddVBand="0" w:evenVBand="0" w:oddHBand="0" w:evenHBand="0" w:firstRowFirstColumn="0" w:firstRowLastColumn="0" w:lastRowFirstColumn="0" w:lastRowLastColumn="0"/>
            </w:pPr>
            <w:r>
              <w:t>Spark cluster job</w:t>
            </w:r>
          </w:p>
        </w:tc>
        <w:tc>
          <w:tcPr>
            <w:tcW w:w="3197" w:type="dxa"/>
          </w:tcPr>
          <w:p w14:paraId="766C9809" w14:textId="77777777" w:rsidR="002D6F66" w:rsidRDefault="00000000">
            <w:pPr>
              <w:cnfStyle w:val="000000000000" w:firstRow="0" w:lastRow="0" w:firstColumn="0" w:lastColumn="0" w:oddVBand="0" w:evenVBand="0" w:oddHBand="0" w:evenHBand="0" w:firstRowFirstColumn="0" w:firstRowLastColumn="0" w:lastRowFirstColumn="0" w:lastRowLastColumn="0"/>
            </w:pPr>
            <w:r>
              <w:t>L0/L1 via gateway</w:t>
            </w:r>
          </w:p>
        </w:tc>
      </w:tr>
      <w:tr w:rsidR="002D6F66" w14:paraId="39E3BEF2"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1BCDD155" w14:textId="77777777" w:rsidR="002D6F66" w:rsidRDefault="00000000">
            <w:r>
              <w:t>JAX / Flax</w:t>
            </w:r>
          </w:p>
        </w:tc>
        <w:tc>
          <w:tcPr>
            <w:tcW w:w="3197" w:type="dxa"/>
          </w:tcPr>
          <w:p w14:paraId="41E472DC" w14:textId="77777777" w:rsidR="002D6F66" w:rsidRDefault="00000000">
            <w:pPr>
              <w:cnfStyle w:val="000000100000" w:firstRow="0" w:lastRow="0" w:firstColumn="0" w:lastColumn="0" w:oddVBand="0" w:evenVBand="0" w:oddHBand="1" w:evenHBand="0" w:firstRowFirstColumn="0" w:firstRowLastColumn="0" w:lastRowFirstColumn="0" w:lastRowLastColumn="0"/>
            </w:pPr>
            <w:r>
              <w:t>Custom JAX loop</w:t>
            </w:r>
          </w:p>
        </w:tc>
        <w:tc>
          <w:tcPr>
            <w:tcW w:w="3197" w:type="dxa"/>
          </w:tcPr>
          <w:p w14:paraId="7417389C" w14:textId="77777777" w:rsidR="002D6F66" w:rsidRDefault="00000000">
            <w:pPr>
              <w:cnfStyle w:val="000000100000" w:firstRow="0" w:lastRow="0" w:firstColumn="0" w:lastColumn="0" w:oddVBand="0" w:evenVBand="0" w:oddHBand="1" w:evenHBand="0" w:firstRowFirstColumn="0" w:firstRowLastColumn="0" w:lastRowFirstColumn="0" w:lastRowLastColumn="0"/>
            </w:pPr>
            <w:r>
              <w:t>L1/L2 via explicit hooks</w:t>
            </w:r>
          </w:p>
        </w:tc>
      </w:tr>
      <w:tr w:rsidR="002D6F66" w14:paraId="278A4234"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71211092" w14:textId="77777777" w:rsidR="002D6F66" w:rsidRDefault="00000000">
            <w:r>
              <w:t>Custom C++ binary</w:t>
            </w:r>
          </w:p>
        </w:tc>
        <w:tc>
          <w:tcPr>
            <w:tcW w:w="3197" w:type="dxa"/>
          </w:tcPr>
          <w:p w14:paraId="1C8595E5" w14:textId="77777777" w:rsidR="002D6F66" w:rsidRDefault="00000000">
            <w:pPr>
              <w:cnfStyle w:val="000000000000" w:firstRow="0" w:lastRow="0" w:firstColumn="0" w:lastColumn="0" w:oddVBand="0" w:evenVBand="0" w:oddHBand="0" w:evenHBand="0" w:firstRowFirstColumn="0" w:firstRowLastColumn="0" w:lastRowFirstColumn="0" w:lastRowLastColumn="0"/>
            </w:pPr>
            <w:r>
              <w:t>Native compiled executable</w:t>
            </w:r>
          </w:p>
        </w:tc>
        <w:tc>
          <w:tcPr>
            <w:tcW w:w="3197" w:type="dxa"/>
          </w:tcPr>
          <w:p w14:paraId="4BD4388C" w14:textId="77777777" w:rsidR="002D6F66" w:rsidRDefault="00000000">
            <w:pPr>
              <w:cnfStyle w:val="000000000000" w:firstRow="0" w:lastRow="0" w:firstColumn="0" w:lastColumn="0" w:oddVBand="0" w:evenVBand="0" w:oddHBand="0" w:evenHBand="0" w:firstRowFirstColumn="0" w:firstRowLastColumn="0" w:lastRowFirstColumn="0" w:lastRowLastColumn="0"/>
            </w:pPr>
            <w:r>
              <w:t>L0/L1</w:t>
            </w:r>
          </w:p>
        </w:tc>
      </w:tr>
    </w:tbl>
    <w:p w14:paraId="7E1A9B94" w14:textId="77777777" w:rsidR="002D6F66" w:rsidRDefault="00000000">
      <w:pPr>
        <w:pStyle w:val="Heading2"/>
      </w:pPr>
      <w:r>
        <w:t>7.4 Plugin isolation and dependency conflicts</w:t>
      </w:r>
    </w:p>
    <w:p w14:paraId="5DCF8309" w14:textId="77777777" w:rsidR="002D6F66" w:rsidRDefault="00000000">
      <w:r>
        <w:t>Adapters run in user workers or sidecars, not inside a shared API server. OCI images pin runtime dependencies by digest and define ABI compatibility where native extensions are involved. Plugin installation must be allowlisted or policy-scanned in controlled clusters. Capability negotiation reports errors such as unsupported serialization, dependency conflict, missing GPU runtime or incompatible schema rather than silently downgrading deployed model behavior.</w:t>
      </w:r>
    </w:p>
    <w:p w14:paraId="7CE2DD49" w14:textId="77777777" w:rsidR="002D6F66" w:rsidRDefault="00000000">
      <w:r>
        <w:t>A common extensibility failure occurs when two framework integrations require incompatible transitive dependencies. Running all adapters inside the platform API process would make upgrades risky and expand the trusted computing base. The design instead favors short-lived adapter worker environments or sidecars, with dependencies pinned and verified independently of the control plane. The protocol boundary uses ordinary serialized messages and object references rather than passing in-memory model objects between processes. Plugin installation and enablement should be explicit administrative operations, subject to an allowlist in regulated environments. Conformance tests intentionally load conflicting versions of popular numerical packages to confirm that one integration cannot break an unrelated workload.</w:t>
      </w:r>
    </w:p>
    <w:p w14:paraId="265044BD" w14:textId="77777777" w:rsidR="002D6F66" w:rsidRDefault="00000000">
      <w:pPr>
        <w:pStyle w:val="Heading2"/>
      </w:pPr>
      <w:r>
        <w:t>7.5 Open model formats and custom runtimes</w:t>
      </w:r>
    </w:p>
    <w:p w14:paraId="7069CD04" w14:textId="77777777" w:rsidR="002D6F66" w:rsidRDefault="00000000">
      <w:r>
        <w:t>ONNX can simplify supported graph-based model interchange, but conversion may omit operations, preprocessing, custom operators or task-specific postprocessing. Native framework formats remain legitimate artifacts. A universal model representation should not be claimed; instead a manifest advertises one or more loading and prediction interfaces. The generic serving contract may be implemented by a custom OCI image that accepts a declared JSON/Arrow/tensor protocol.</w:t>
      </w:r>
    </w:p>
    <w:p w14:paraId="25EB01CC" w14:textId="77777777" w:rsidR="002D6F66" w:rsidRDefault="00000000">
      <w:pPr>
        <w:pStyle w:val="Heading2"/>
      </w:pPr>
      <w:r>
        <w:t>7.6 Interoperability contract example</w:t>
      </w:r>
    </w:p>
    <w:p w14:paraId="43B0C5F4" w14:textId="77777777" w:rsidR="002D6F66" w:rsidRDefault="00000000">
      <w:r>
        <w:t xml:space="preserve">An experiment instrumented in any language can POST a run, emit JSON metrics and upload a directory manifest. A model version records an artifact URI plus adapter descriptor; registration succeeds even if no inference method is available. A deployment request succeeds only if a selected runtime declares a </w:t>
      </w:r>
      <w:r>
        <w:lastRenderedPageBreak/>
        <w:t>compatible serving capability and passes validation. This “track anything, serve what is contractually executable” separation is the central design rule.</w:t>
      </w:r>
    </w:p>
    <w:p w14:paraId="6FA6E91F" w14:textId="77777777" w:rsidR="002D6F66" w:rsidRDefault="00000000">
      <w:pPr>
        <w:pStyle w:val="Heading1"/>
      </w:pPr>
      <w:r>
        <w:t>8. Execution and Workflow Management</w:t>
      </w:r>
    </w:p>
    <w:p w14:paraId="714A2F0A" w14:textId="77777777" w:rsidR="002D6F66" w:rsidRDefault="00000000">
      <w:pPr>
        <w:jc w:val="center"/>
      </w:pPr>
      <w:r>
        <w:rPr>
          <w:noProof/>
        </w:rPr>
        <w:drawing>
          <wp:inline distT="0" distB="0" distL="0" distR="0" wp14:anchorId="3E773FEA" wp14:editId="7FDBBEDC">
            <wp:extent cx="5925312" cy="2313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925312" cy="2313069"/>
                    </a:xfrm>
                    <a:prstGeom prst="rect">
                      <a:avLst/>
                    </a:prstGeom>
                  </pic:spPr>
                </pic:pic>
              </a:graphicData>
            </a:graphic>
          </wp:inline>
        </w:drawing>
      </w:r>
    </w:p>
    <w:p w14:paraId="45FB784F" w14:textId="77777777" w:rsidR="002D6F66" w:rsidRDefault="00000000">
      <w:pPr>
        <w:pStyle w:val="Caption"/>
      </w:pPr>
      <w:r>
        <w:t>Figure 3. State progression of a run attempt; retries create separate attempt identities.</w:t>
      </w:r>
    </w:p>
    <w:p w14:paraId="5B435B45" w14:textId="77777777" w:rsidR="002D6F66" w:rsidRDefault="00000000">
      <w:pPr>
        <w:pStyle w:val="Heading2"/>
      </w:pPr>
      <w:r>
        <w:t>8.1 Run and attempt states</w:t>
      </w:r>
    </w:p>
    <w:p w14:paraId="42114779" w14:textId="77777777" w:rsidR="002D6F66" w:rsidRDefault="00000000">
      <w:r>
        <w:t>A run is a logical job identity; an attempt is a physical execution. Attempts transition CREATED → QUEUED → RUNNING → FINALIZING → one of SUCCEEDED/FAILED/CANCELED/TIMED_OUT. Transitions use conditional updates against the current state and lease epoch. A run-level terminal outcome is derived from attempt policy; a late worker cannot replace an authoritative terminal state. A canceled run may have artifacts that remain for forensics but must not be advertised as successful output.</w:t>
      </w:r>
    </w:p>
    <w:p w14:paraId="2BEFCBE5" w14:textId="77777777" w:rsidR="002D6F66" w:rsidRDefault="00000000">
      <w:r>
        <w:t>State transition rules should be documented as a finite-state specification and tested through property-based sequences. For example, a submitted attempt can become scheduled, running, succeeded, failed, canceled, or lost, but cannot transition from succeeded back to running. Controller retries create new attempts under the same logical run; a stale worker cannot overwrite current state because transition requests include the expected attempt and lease generation. Cancellation is best effort rather than instantaneous: the platform records cancellation intent, requests termination from the executor, and eventually records confirmation or timeout. The distinction between user intent and observed worker outcome is essential for reporting truthful statuses when the cluster is partitioned.</w:t>
      </w:r>
    </w:p>
    <w:p w14:paraId="296DC8FD" w14:textId="77777777" w:rsidR="002D6F66" w:rsidRDefault="00000000">
      <w:pPr>
        <w:pStyle w:val="Heading2"/>
      </w:pPr>
      <w:r>
        <w:t>8.2 DAG semantics</w:t>
      </w:r>
    </w:p>
    <w:p w14:paraId="73C45F9C" w14:textId="77777777" w:rsidR="002D6F66" w:rsidRDefault="00000000">
      <w:r>
        <w:t>Pipelines are directed acyclic graphs whose nodes declare image, command, input references, output contracts, retries, timeout, resources and cache policy. A DAG validator rejects cycles, missing dependencies and incompatible required artifact types. A controller schedules a node only after all mandatory predecessors reach acceptable terminal states. Dynamic expansion may be supported in a later phase with explicit determinism and provenance constraints.</w:t>
      </w:r>
    </w:p>
    <w:p w14:paraId="4F94CB5F" w14:textId="77777777" w:rsidR="002D6F66" w:rsidRDefault="00000000">
      <w:pPr>
        <w:pStyle w:val="Heading2"/>
      </w:pPr>
      <w:r>
        <w:t>8.3 Caching and invalidation</w:t>
      </w:r>
    </w:p>
    <w:p w14:paraId="1A4AE457" w14:textId="77777777" w:rsidR="002D6F66" w:rsidRDefault="00000000">
      <w:pPr>
        <w:jc w:val="center"/>
      </w:pPr>
      <w:r>
        <w:rPr>
          <w:i/>
        </w:rPr>
        <w:t>K = H(code_digest || image_digest || params || input_digests || adapter_version || policy_version)</w:t>
      </w:r>
    </w:p>
    <w:p w14:paraId="46269580" w14:textId="77777777" w:rsidR="002D6F66" w:rsidRDefault="00000000">
      <w:r>
        <w:t>Workflow caching is safe only when the declared cache key captures all inputs that affect behavior. A minimal key can combine code digest, container digest, normalized parameters, input artifact manifests, and task specification version. Secret values must not appear in plaintext cache keys, and a nondeterministic task should be uncached unless the researcher explicitly authorizes approximate reuse. External APIs and mutable database reads create hidden inputs; the platform must allow tasks to opt out of caching and should record the reason. Reusing cached output is itself a provenance event linking the new logical run to the original producer, not a fabricated claim that training executed again. Cache hit rates and correctness failures should be reported separately in evaluation.</w:t>
      </w:r>
    </w:p>
    <w:p w14:paraId="51423CAB" w14:textId="77777777" w:rsidR="002D6F66" w:rsidRDefault="00000000">
      <w:pPr>
        <w:pStyle w:val="Caption"/>
        <w:jc w:val="right"/>
      </w:pPr>
      <w:r>
        <w:lastRenderedPageBreak/>
        <w:t>(6) Cache key</w:t>
      </w:r>
    </w:p>
    <w:p w14:paraId="751E5EE9" w14:textId="77777777" w:rsidR="002D6F66" w:rsidRDefault="00000000">
      <w:r>
        <w:t>Cache correctness requires inclusion of all semantically material inputs; external network calls or time-dependent sources must disable caching or provide snapshot identifiers. Cache reuse must also satisfy tenant authorization. A cache hit creates a new logical execution record referencing earlier outputs and clearly marks reused computation.</w:t>
      </w:r>
    </w:p>
    <w:p w14:paraId="292BF4FA" w14:textId="77777777" w:rsidR="002D6F66" w:rsidRDefault="00000000">
      <w:pPr>
        <w:pStyle w:val="Heading2"/>
      </w:pPr>
      <w:r>
        <w:t>8.4 Distributed execution</w:t>
      </w:r>
    </w:p>
    <w:p w14:paraId="1661D6B1" w14:textId="77777777" w:rsidR="002D6F66" w:rsidRDefault="00000000">
      <w:r>
        <w:t>The controller submits work to a Kubernetes job or selected executor, while runtime-specific distributed systems (Spark, Ray, Torch distributed, MPI) manage the workers required by the algorithm. The GPMLP tracks parent and child executions, environment and job-level progress without pretending to become the distributed training framework itself. Preemption, spot-instance loss and retries require explicit checkpoint policies and resumable artifact conventions.</w:t>
      </w:r>
    </w:p>
    <w:p w14:paraId="4275FCCC" w14:textId="77777777" w:rsidR="002D6F66" w:rsidRDefault="00000000">
      <w:pPr>
        <w:pStyle w:val="Heading2"/>
      </w:pPr>
      <w:r>
        <w:t>8.5 Scheduling and fairness</w:t>
      </w:r>
    </w:p>
    <w:p w14:paraId="436FF64D" w14:textId="77777777" w:rsidR="002D6F66" w:rsidRDefault="00000000">
      <w:r>
        <w:t>Separate queues or quota classes can prevent large GPU jobs from starving short CPU experiments. Suggested controls are per-tenant concurrent jobs, GPU limits, priority class, maximum idle allocation and namespace/network policy. The scheduler should meter requested versus observed usage for later cost analysis. Hard guarantees require integration with cluster accounting and are not provided by metadata alone.</w:t>
      </w:r>
    </w:p>
    <w:p w14:paraId="3948B9CC" w14:textId="77777777" w:rsidR="002D6F66" w:rsidRDefault="00000000">
      <w:pPr>
        <w:pStyle w:val="Heading1"/>
      </w:pPr>
      <w:r>
        <w:t>9. Artifact, Registry and Serving Design</w:t>
      </w:r>
    </w:p>
    <w:p w14:paraId="360C8813" w14:textId="77777777" w:rsidR="002D6F66" w:rsidRDefault="00000000">
      <w:pPr>
        <w:pStyle w:val="Heading2"/>
      </w:pPr>
      <w:r>
        <w:t>9.1 Artifact upload and commit protocol</w:t>
      </w:r>
    </w:p>
    <w:p w14:paraId="19CD06E3" w14:textId="77777777" w:rsidR="002D6F66" w:rsidRDefault="00000000">
      <w:r>
        <w:t>A user requests a multipart upload session scoped to a run and proposed manifest. The object store receives chunks directly; the client closes the session, and the artifact broker validates digests, file-count limits and authorization. Only after validation does a database transaction commit the manifest reference and an outbox event. Garbage collection retains unreferenced objects for a grace interval to tolerate in-flight uploads and eventual consistency.</w:t>
      </w:r>
    </w:p>
    <w:p w14:paraId="698DFEF7" w14:textId="77777777" w:rsidR="002D6F66" w:rsidRDefault="00000000">
      <w:r>
        <w:t>Uploading artifacts requires a two-phase application protocol because relational storage and object storage do not share a transaction. First, the platform issues an upload session associated with a run attempt and expected manifest. The client transfers bytes to temporary object keys, preferably using scoped short-lived credentials or signed URLs. The finalization request verifies all parts, sizes, digests, and access rights before the metadata transaction marks the manifest committed. Readers see only committed versions; abandoned temporary objects are reclaimed asynchronously. If finalization is retried, an idempotency token ensures the same resulting artifact reference. This protocol makes eventual object-store consistency and interrupted network transfers visible as explicit states instead of silent corruption.</w:t>
      </w:r>
    </w:p>
    <w:p w14:paraId="077B3508" w14:textId="77777777" w:rsidR="002D6F66" w:rsidRDefault="00000000">
      <w:pPr>
        <w:pStyle w:val="Heading2"/>
      </w:pPr>
      <w:r>
        <w:t>9.2 Model registry</w:t>
      </w:r>
    </w:p>
    <w:p w14:paraId="1CAE2B95" w14:textId="77777777" w:rsidR="002D6F66" w:rsidRDefault="00000000">
      <w:r>
        <w:t>Models have stable names within tenant/project scopes; versions are append-only integer identifiers referencing immutable artifacts and source runs. Metadata includes signature, evaluation reports, responsible team, dependency SBOM, training data lineage and risk tags. Mutable aliases such as candidate or production use compare-and-swap revision numbers and audit records. Approval workflows should have explicit policy evaluation inputs rather than hidden UI switches.</w:t>
      </w:r>
    </w:p>
    <w:p w14:paraId="60CAA508" w14:textId="77777777" w:rsidR="002D6F66" w:rsidRDefault="00000000">
      <w:pPr>
        <w:jc w:val="center"/>
      </w:pPr>
      <w:r>
        <w:rPr>
          <w:i/>
        </w:rPr>
        <w:t>promote(m) ⇔ valid_signature(m) ∧ approved(m) ∧ gates(m) ∧ authorized(actor)</w:t>
      </w:r>
    </w:p>
    <w:p w14:paraId="5929FCB2" w14:textId="77777777" w:rsidR="002D6F66" w:rsidRDefault="00000000">
      <w:pPr>
        <w:pStyle w:val="Caption"/>
        <w:jc w:val="right"/>
      </w:pPr>
      <w:r>
        <w:t>(7) Promotion guard</w:t>
      </w:r>
    </w:p>
    <w:p w14:paraId="3AD01BDF" w14:textId="77777777" w:rsidR="002D6F66" w:rsidRDefault="00000000">
      <w:r>
        <w:t>The boolean gate may incorporate metric thresholds, bias or robustness review and security checks according to organizational policy. A registered artifact can be archived without deletion, while retention rules protect evidence for deployed or audited versions.</w:t>
      </w:r>
    </w:p>
    <w:p w14:paraId="5CCA005E" w14:textId="77777777" w:rsidR="002D6F66" w:rsidRDefault="00000000">
      <w:pPr>
        <w:pStyle w:val="Heading2"/>
      </w:pPr>
      <w:r>
        <w:t>9.3 Serving interfaces</w:t>
      </w:r>
    </w:p>
    <w:p w14:paraId="4C7D057E" w14:textId="77777777" w:rsidR="002D6F66" w:rsidRDefault="00000000">
      <w:r>
        <w:t xml:space="preserve">Batch inference is the broadest deployment mode because a worker can execute arbitrary user code against stored data. Online inference requires predictable input/output semantics, load time, concurrency </w:t>
      </w:r>
      <w:r>
        <w:lastRenderedPageBreak/>
        <w:t>behavior, resource needs and health probes. A serving manager creates a deployment referencing a pinned model version, runtime image and configuration, then collects metrics such as request counts, errors, latency and resource consumption. Shadow traffic and canary releases are optional extensions.</w:t>
      </w:r>
    </w:p>
    <w:p w14:paraId="73488976" w14:textId="77777777" w:rsidR="002D6F66" w:rsidRDefault="00000000">
      <w:r>
        <w:t>Model registration does not guarantee portable inference. A serving contract must specify accepted request shape, serialization format, resource needs, preprocessing dependencies, health checks, and model loading behavior. Framework-native artifacts may require custom containers; standardized portable formats can reduce coupling but do not cover all operators or computational graphs. The registry should label each version with tested runtimes rather than promising cross-runtime execution by default. Rollout mechanisms such as canary traffic, shadow inference, and automatic rollback are deployment features layered above the registry, not obligations of the universal metadata core. Evaluation should distinguish successful cold-start loading, inference latency under realistic concurrency, and semantic agreement with the originating framework.</w:t>
      </w:r>
    </w:p>
    <w:p w14:paraId="40CE7A24" w14:textId="77777777" w:rsidR="002D6F66" w:rsidRDefault="00000000">
      <w:pPr>
        <w:pStyle w:val="Heading2"/>
      </w:pPr>
      <w:r>
        <w:t>9.4 Compatibility boundaries</w:t>
      </w:r>
    </w:p>
    <w:p w14:paraId="4C307DBC" w14:textId="77777777" w:rsidR="002D6F66" w:rsidRDefault="00000000">
      <w:r>
        <w:t>Untrusted pickle-like formats must never be deserialized in privileged services. Importing a model artifact may execute code and must occur only in sandboxed runtimes. GPU drivers, instruction sets and library ABI mismatches can break otherwise valid model packages. Conversion to ONNX or another portable format is an optimization only when fidelity tests confirm acceptable output agreement.</w:t>
      </w:r>
    </w:p>
    <w:p w14:paraId="7B547A26" w14:textId="77777777" w:rsidR="002D6F66" w:rsidRDefault="00000000">
      <w:pPr>
        <w:pStyle w:val="Heading1"/>
      </w:pPr>
      <w:r>
        <w:t>10. Reliability, Security and Governance</w:t>
      </w:r>
    </w:p>
    <w:p w14:paraId="72DEF05F" w14:textId="77777777" w:rsidR="002D6F66" w:rsidRDefault="00000000">
      <w:pPr>
        <w:pStyle w:val="Heading2"/>
      </w:pPr>
      <w:r>
        <w:t>10.1 Consistency model</w:t>
      </w:r>
    </w:p>
    <w:p w14:paraId="6DB8745B" w14:textId="77777777" w:rsidR="002D6F66" w:rsidRDefault="00000000">
      <w:r>
        <w:t>The metadata database is the source of truth for state transitions. Metric ingestion may be asynchronously batched, but acknowledgments must define whether data is durable or merely accepted into memory. Registry alias updates require strong compare-and-swap semantics; artifact bytes may become visible through eventually consistent object-store listing. API reads should report explicit pending or incomplete statuses rather than inventing atomicity across heterogeneous stores.</w:t>
      </w:r>
    </w:p>
    <w:p w14:paraId="5854AD09" w14:textId="77777777" w:rsidR="002D6F66" w:rsidRDefault="00000000">
      <w:pPr>
        <w:pStyle w:val="Heading2"/>
      </w:pPr>
      <w:r>
        <w:t>10.2 Idempotency, leases and recovery</w:t>
      </w:r>
    </w:p>
    <w:p w14:paraId="437F145A" w14:textId="77777777" w:rsidR="002D6F66" w:rsidRDefault="00000000">
      <w:pPr>
        <w:jc w:val="center"/>
      </w:pPr>
      <w:r>
        <w:rPr>
          <w:i/>
        </w:rPr>
        <w:t>accept_update ⇔ request.lease_epoch = current_attempt.lease_epoch</w:t>
      </w:r>
    </w:p>
    <w:p w14:paraId="7D3C919D" w14:textId="77777777" w:rsidR="002D6F66" w:rsidRDefault="00000000">
      <w:r>
        <w:t>Recovery should be designed from crash points, not just from normal-path sequence diagrams. Consider a controller that schedules a worker but crashes before recording the external job identifier: a deterministic submission key enables reconciliation without accidentally launching duplicate work. Consider an event batch committed to the database but acknowledged to the client only after the connection drops: idempotent event keys allow safe replay. Consider a lease that expires while the worker continues running: generation numbers prevent that worker from finalizing a newer attempt. Fault-injection tests should terminate the controller between every durable step of these workflows and verify that no accepted artifact becomes unreachable and no terminal transition is silently reversed.</w:t>
      </w:r>
    </w:p>
    <w:p w14:paraId="17AB3AD5" w14:textId="77777777" w:rsidR="002D6F66" w:rsidRDefault="00000000">
      <w:pPr>
        <w:pStyle w:val="Caption"/>
        <w:jc w:val="right"/>
      </w:pPr>
      <w:r>
        <w:t>(8) Fencing invariant</w:t>
      </w:r>
    </w:p>
    <w:p w14:paraId="1EFCCE87" w14:textId="77777777" w:rsidR="002D6F66" w:rsidRDefault="00000000">
      <w:r>
        <w:t>Client idempotency keys are scoped to tenant and operation. The execution agent renews leases; a new retry increments an epoch to fence stale writers. Background reconcilers identify long-running finalizations, missing objects and orphaned uploads. Recovery testing should kill the gateway, DB connections, worker process, queue consumer and artifact broker at independently selected boundaries.</w:t>
      </w:r>
    </w:p>
    <w:p w14:paraId="638BE004" w14:textId="77777777" w:rsidR="002D6F66" w:rsidRDefault="00000000">
      <w:pPr>
        <w:pStyle w:val="Heading2"/>
      </w:pPr>
      <w:r>
        <w:t>10.3 Authorization and secrets</w:t>
      </w:r>
    </w:p>
    <w:p w14:paraId="081DE488" w14:textId="77777777" w:rsidR="002D6F66" w:rsidRDefault="00000000">
      <w:r>
        <w:t>OIDC authenticates humans and workload identities; authorization evaluates tenant, project, action, resource labels and service principal. Artifact links must not bypass registry or run permissions. Secrets are stored in an external secret manager and injected into short-lived workers; sensitive credential values are filtered from logs using defense in depth, but filtering alone is not a guarantee. Audit logs preserve actor, action, decision, target and policy revision.</w:t>
      </w:r>
    </w:p>
    <w:p w14:paraId="7DD4D82B" w14:textId="77777777" w:rsidR="002D6F66" w:rsidRDefault="00000000">
      <w:pPr>
        <w:pStyle w:val="Heading2"/>
      </w:pPr>
      <w:r>
        <w:lastRenderedPageBreak/>
        <w:t>10.4 Supply-chain integrity</w:t>
      </w:r>
    </w:p>
    <w:p w14:paraId="6975F49C" w14:textId="77777777" w:rsidR="002D6F66" w:rsidRDefault="00000000">
      <w:r>
        <w:t>Image digests, dependency lockfiles, signed attestations and vulnerability scanning increase reproducibility and supply-chain visibility. A software bill of materials can accompany model packaging. An insecure user-supplied training container should not receive host networking, host filesystems or privileged mode by default. Network egress and data access should be configurable per tenant and workload type.</w:t>
      </w:r>
    </w:p>
    <w:p w14:paraId="6D3602C6" w14:textId="77777777" w:rsidR="002D6F66" w:rsidRDefault="00000000">
      <w:pPr>
        <w:pStyle w:val="Heading2"/>
      </w:pPr>
      <w:r>
        <w:t>10.5 Privacy, fairness and auditability</w:t>
      </w:r>
    </w:p>
    <w:p w14:paraId="4C155AAB" w14:textId="77777777" w:rsidR="002D6F66" w:rsidRDefault="00000000">
      <w:r>
        <w:t>A general-purpose platform can retain personally identifiable information in example rows, tags and logs unless data minimization is enforced. Metadata schemas should discourage raw sample capture by default. Dataset policy classifications propagate into downstream lineage; access policies should be checked before training and deployment. Fairness reporting and explainability are task-dependent evaluation artifacts rather than automatically guaranteed platform properties.</w:t>
      </w:r>
    </w:p>
    <w:p w14:paraId="6A442BF5" w14:textId="77777777" w:rsidR="002D6F66" w:rsidRDefault="00000000">
      <w:r>
        <w:t>Governance extends beyond authenticating API callers. Training data may contain personal or commercially sensitive information, and filenames, metric labels, free-text tags, or exception traces can accidentally reveal it. The ingestion path should apply field-size limits and allow configurable redaction, while authorization must cover metadata queries as well as artifact downloads. Deletion policies need to reconcile privacy obligations with immutable provenance: a tombstone can preserve the fact that an artifact once existed while restricting or destroying the underlying payload according to retention rules. Audit records must identify who approved model promotion, what evidence they reviewed, and whether the deployed version matches the approved digest. Fairness evaluation remains application-specific and should be attachable as a signed evaluation report rather than inferred from a generic metric threshold.</w:t>
      </w:r>
    </w:p>
    <w:p w14:paraId="54574E0A" w14:textId="77777777" w:rsidR="002D6F66" w:rsidRDefault="00000000">
      <w:pPr>
        <w:pStyle w:val="Heading1"/>
      </w:pPr>
      <w:r>
        <w:t>11. Prototype Implementation Plan</w:t>
      </w:r>
    </w:p>
    <w:p w14:paraId="3459AF06" w14:textId="77777777" w:rsidR="002D6F66" w:rsidRDefault="00000000">
      <w:pPr>
        <w:pStyle w:val="Heading2"/>
      </w:pPr>
      <w:r>
        <w:t>11.1 Reference stack</w:t>
      </w:r>
    </w:p>
    <w:p w14:paraId="6F9C4767" w14:textId="77777777" w:rsidR="002D6F66" w:rsidRDefault="00000000">
      <w:r>
        <w:t>A pragmatic prototype uses FastAPI/Pydantic for public APIs, PostgreSQL for metadata and state, S3-compatible MinIO for artifact storage, a message broker or Postgres transactional outbox worker for notifications, Kubernetes Jobs for execution and OpenTelemetry for service traces. A React interface can visualize experiments, DAGs and model ancestry. Python adapters are separate versioned packages. This is a reference implementation, not an endorsement that every component is required for a local edition.</w:t>
      </w:r>
    </w:p>
    <w:p w14:paraId="596C2C88" w14:textId="77777777" w:rsidR="002D6F66" w:rsidRDefault="00000000">
      <w:r>
        <w:t>A feasible reference implementation uses an HTTP or gRPC API with generated client bindings, a PostgreSQL metadata store, S3-compatible object storage, a job controller built around Kubernetes or a local executor, and OpenTelemetry instrumentation. This combination is not presented as uniquely optimal; its value is that each part has a well-understood operational boundary and can be replaced behind an interface. Begin with a single-process control plane containing separate modules to simplify transactions and test fixtures. Add a queue or event bus only when measurement demonstrates that the existing ingestion path cannot meet stated throughput and tail-latency goals. A web UI consumes the same public API as external clients so that behaviors exposed in the dashboard remain reproducible in scripts and automated tests.</w:t>
      </w:r>
    </w:p>
    <w:p w14:paraId="25F54FD3" w14:textId="77777777" w:rsidR="002D6F66" w:rsidRDefault="00000000">
      <w:pPr>
        <w:pStyle w:val="Heading2"/>
      </w:pPr>
      <w:r>
        <w:t>11.2 Module boundaries</w:t>
      </w:r>
    </w:p>
    <w:p w14:paraId="4F041324" w14:textId="77777777" w:rsidR="002D6F66" w:rsidRDefault="00000000">
      <w:pPr>
        <w:pStyle w:val="ListBullet"/>
      </w:pPr>
      <w:r>
        <w:t>packages/contracts: OpenAPI schemas, event envelope, capabilities and validation tests.</w:t>
      </w:r>
    </w:p>
    <w:p w14:paraId="6A5F1C79" w14:textId="77777777" w:rsidR="002D6F66" w:rsidRDefault="00000000">
      <w:pPr>
        <w:pStyle w:val="ListBullet"/>
      </w:pPr>
      <w:r>
        <w:t>services/tracking: run CRUD, append-only metric ingestion, searchable metadata.</w:t>
      </w:r>
    </w:p>
    <w:p w14:paraId="5DD44A56" w14:textId="77777777" w:rsidR="002D6F66" w:rsidRDefault="00000000">
      <w:pPr>
        <w:pStyle w:val="ListBullet"/>
      </w:pPr>
      <w:r>
        <w:t>services/artifacts: upload sessions, immutable manifests, checksum verification and garbage collection.</w:t>
      </w:r>
    </w:p>
    <w:p w14:paraId="3434B32A" w14:textId="77777777" w:rsidR="002D6F66" w:rsidRDefault="00000000">
      <w:pPr>
        <w:pStyle w:val="ListBullet"/>
      </w:pPr>
      <w:r>
        <w:t>services/workflows: DAG validation, scheduling intents, reconciliation and status transitions.</w:t>
      </w:r>
    </w:p>
    <w:p w14:paraId="64CA17A4" w14:textId="77777777" w:rsidR="002D6F66" w:rsidRDefault="00000000">
      <w:pPr>
        <w:pStyle w:val="ListBullet"/>
      </w:pPr>
      <w:r>
        <w:t>services/registry: model versions, aliases, evaluation gates and promotion audit.</w:t>
      </w:r>
    </w:p>
    <w:p w14:paraId="37F9D010" w14:textId="77777777" w:rsidR="002D6F66" w:rsidRDefault="00000000">
      <w:pPr>
        <w:pStyle w:val="ListBullet"/>
      </w:pPr>
      <w:r>
        <w:t>agents/executor: sandboxed command launch, heartbeats, logs, artifact staging and termination.</w:t>
      </w:r>
    </w:p>
    <w:p w14:paraId="05AFB55B" w14:textId="77777777" w:rsidR="002D6F66" w:rsidRDefault="00000000">
      <w:pPr>
        <w:pStyle w:val="ListBullet"/>
      </w:pPr>
      <w:r>
        <w:t>sdk/python and sdk/cli: instrumentation, process-wrapper and explicit adapter discovery.</w:t>
      </w:r>
    </w:p>
    <w:p w14:paraId="40CD18BC" w14:textId="77777777" w:rsidR="002D6F66" w:rsidRDefault="00000000">
      <w:pPr>
        <w:pStyle w:val="ListBullet"/>
      </w:pPr>
      <w:r>
        <w:t>tests/conformance: library matrix, load/stress, fault injection and security-negative tests.</w:t>
      </w:r>
    </w:p>
    <w:p w14:paraId="173AB260" w14:textId="77777777" w:rsidR="002D6F66" w:rsidRDefault="00000000">
      <w:pPr>
        <w:pStyle w:val="Heading2"/>
      </w:pPr>
      <w:r>
        <w:lastRenderedPageBreak/>
        <w:t>11.3 API example</w:t>
      </w:r>
    </w:p>
    <w:p w14:paraId="41D9CAB1" w14:textId="77777777" w:rsidR="002D6F66" w:rsidRDefault="00000000">
      <w:r>
        <w:t>POST /v1/runs returns run_id and state. POST /v1/runs/{id}/events accepts event envelopes with idempotency keys. POST /v1/artifacts/uploads returns temporary upload credentials and a session ID. POST /v1/models/{name}/versions links a validated manifest. POST /v1/deployments requires an adapter/runtime capability assertion. GET /v1/lineage?root=... returns typed edges and pagination. Each write has an authorization scope, schema version, explicit error code and request correlation ID.</w:t>
      </w:r>
    </w:p>
    <w:p w14:paraId="5B41BC85" w14:textId="77777777" w:rsidR="002D6F66" w:rsidRDefault="00000000">
      <w:pPr>
        <w:pStyle w:val="Heading2"/>
      </w:pPr>
      <w:r>
        <w:t>11.4 Implementation phases</w:t>
      </w:r>
    </w:p>
    <w:p w14:paraId="03EA1A74" w14:textId="77777777" w:rsidR="002D6F66" w:rsidRDefault="00000000">
      <w:pPr>
        <w:pStyle w:val="Caption"/>
      </w:pPr>
      <w:r>
        <w:t>Table 7. Proposed phased build plan with exit criteria.</w:t>
      </w:r>
    </w:p>
    <w:tbl>
      <w:tblPr>
        <w:tblStyle w:val="LightShading-Accent1"/>
        <w:tblW w:w="0" w:type="auto"/>
        <w:jc w:val="center"/>
        <w:tblLook w:val="04A0" w:firstRow="1" w:lastRow="0" w:firstColumn="1" w:lastColumn="0" w:noHBand="0" w:noVBand="1"/>
      </w:tblPr>
      <w:tblGrid>
        <w:gridCol w:w="3197"/>
        <w:gridCol w:w="3197"/>
        <w:gridCol w:w="3197"/>
      </w:tblGrid>
      <w:tr w:rsidR="002D6F66" w14:paraId="0651865B"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47058957" w14:textId="77777777" w:rsidR="002D6F66" w:rsidRDefault="00000000">
            <w:r>
              <w:t>Phase</w:t>
            </w:r>
          </w:p>
        </w:tc>
        <w:tc>
          <w:tcPr>
            <w:tcW w:w="3197" w:type="dxa"/>
          </w:tcPr>
          <w:p w14:paraId="3A72A719" w14:textId="77777777" w:rsidR="002D6F66" w:rsidRDefault="00000000">
            <w:pPr>
              <w:cnfStyle w:val="100000000000" w:firstRow="1" w:lastRow="0" w:firstColumn="0" w:lastColumn="0" w:oddVBand="0" w:evenVBand="0" w:oddHBand="0" w:evenHBand="0" w:firstRowFirstColumn="0" w:firstRowLastColumn="0" w:lastRowFirstColumn="0" w:lastRowLastColumn="0"/>
            </w:pPr>
            <w:r>
              <w:t>Work</w:t>
            </w:r>
          </w:p>
        </w:tc>
        <w:tc>
          <w:tcPr>
            <w:tcW w:w="3197" w:type="dxa"/>
          </w:tcPr>
          <w:p w14:paraId="5B81316A" w14:textId="77777777" w:rsidR="002D6F66" w:rsidRDefault="00000000">
            <w:pPr>
              <w:cnfStyle w:val="100000000000" w:firstRow="1" w:lastRow="0" w:firstColumn="0" w:lastColumn="0" w:oddVBand="0" w:evenVBand="0" w:oddHBand="0" w:evenHBand="0" w:firstRowFirstColumn="0" w:firstRowLastColumn="0" w:lastRowFirstColumn="0" w:lastRowLastColumn="0"/>
            </w:pPr>
            <w:r>
              <w:t>Exit criteria</w:t>
            </w:r>
          </w:p>
        </w:tc>
      </w:tr>
      <w:tr w:rsidR="002D6F66" w14:paraId="3DA6A423"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09BF22E" w14:textId="77777777" w:rsidR="002D6F66" w:rsidRDefault="00000000">
            <w:r>
              <w:t>P0 (weeks 1–3)</w:t>
            </w:r>
          </w:p>
        </w:tc>
        <w:tc>
          <w:tcPr>
            <w:tcW w:w="3197" w:type="dxa"/>
          </w:tcPr>
          <w:p w14:paraId="79A68D1F" w14:textId="77777777" w:rsidR="002D6F66" w:rsidRDefault="00000000">
            <w:pPr>
              <w:cnfStyle w:val="000000100000" w:firstRow="0" w:lastRow="0" w:firstColumn="0" w:lastColumn="0" w:oddVBand="0" w:evenVBand="0" w:oddHBand="1" w:evenHBand="0" w:firstRowFirstColumn="0" w:firstRowLastColumn="0" w:lastRowFirstColumn="0" w:lastRowLastColumn="0"/>
            </w:pPr>
            <w:r>
              <w:t>Contract design, schemas, tenancy, dev stack</w:t>
            </w:r>
          </w:p>
        </w:tc>
        <w:tc>
          <w:tcPr>
            <w:tcW w:w="3197" w:type="dxa"/>
          </w:tcPr>
          <w:p w14:paraId="0580EA3C" w14:textId="77777777" w:rsidR="002D6F66" w:rsidRDefault="00000000">
            <w:pPr>
              <w:cnfStyle w:val="000000100000" w:firstRow="0" w:lastRow="0" w:firstColumn="0" w:lastColumn="0" w:oddVBand="0" w:evenVBand="0" w:oddHBand="1" w:evenHBand="0" w:firstRowFirstColumn="0" w:firstRowLastColumn="0" w:lastRowFirstColumn="0" w:lastRowLastColumn="0"/>
            </w:pPr>
            <w:r>
              <w:t>Versioned API + architecture decision records</w:t>
            </w:r>
          </w:p>
        </w:tc>
      </w:tr>
      <w:tr w:rsidR="002D6F66" w14:paraId="6863E475"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3CF3B03A" w14:textId="77777777" w:rsidR="002D6F66" w:rsidRDefault="00000000">
            <w:r>
              <w:t>P1 (weeks 4–7)</w:t>
            </w:r>
          </w:p>
        </w:tc>
        <w:tc>
          <w:tcPr>
            <w:tcW w:w="3197" w:type="dxa"/>
          </w:tcPr>
          <w:p w14:paraId="6BBC6EEB" w14:textId="77777777" w:rsidR="002D6F66" w:rsidRDefault="00000000">
            <w:pPr>
              <w:cnfStyle w:val="000000000000" w:firstRow="0" w:lastRow="0" w:firstColumn="0" w:lastColumn="0" w:oddVBand="0" w:evenVBand="0" w:oddHBand="0" w:evenHBand="0" w:firstRowFirstColumn="0" w:firstRowLastColumn="0" w:lastRowFirstColumn="0" w:lastRowLastColumn="0"/>
            </w:pPr>
            <w:r>
              <w:t>Tracking, CLI/SDK, artifact manifests</w:t>
            </w:r>
          </w:p>
        </w:tc>
        <w:tc>
          <w:tcPr>
            <w:tcW w:w="3197" w:type="dxa"/>
          </w:tcPr>
          <w:p w14:paraId="36F82302" w14:textId="77777777" w:rsidR="002D6F66" w:rsidRDefault="00000000">
            <w:pPr>
              <w:cnfStyle w:val="000000000000" w:firstRow="0" w:lastRow="0" w:firstColumn="0" w:lastColumn="0" w:oddVBand="0" w:evenVBand="0" w:oddHBand="0" w:evenHBand="0" w:firstRowFirstColumn="0" w:firstRowLastColumn="0" w:lastRowFirstColumn="0" w:lastRowLastColumn="0"/>
            </w:pPr>
            <w:r>
              <w:t>L0/L1 suite passes</w:t>
            </w:r>
          </w:p>
        </w:tc>
      </w:tr>
      <w:tr w:rsidR="002D6F66" w14:paraId="7C6EEF05"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B404973" w14:textId="77777777" w:rsidR="002D6F66" w:rsidRDefault="00000000">
            <w:r>
              <w:t>P2 (weeks 8–12)</w:t>
            </w:r>
          </w:p>
        </w:tc>
        <w:tc>
          <w:tcPr>
            <w:tcW w:w="3197" w:type="dxa"/>
          </w:tcPr>
          <w:p w14:paraId="4C4E9EA9" w14:textId="77777777" w:rsidR="002D6F66" w:rsidRDefault="00000000">
            <w:pPr>
              <w:cnfStyle w:val="000000100000" w:firstRow="0" w:lastRow="0" w:firstColumn="0" w:lastColumn="0" w:oddVBand="0" w:evenVBand="0" w:oddHBand="1" w:evenHBand="0" w:firstRowFirstColumn="0" w:firstRowLastColumn="0" w:lastRowFirstColumn="0" w:lastRowLastColumn="0"/>
            </w:pPr>
            <w:r>
              <w:t>Jobs, leases, outbox, DAG control</w:t>
            </w:r>
          </w:p>
        </w:tc>
        <w:tc>
          <w:tcPr>
            <w:tcW w:w="3197" w:type="dxa"/>
          </w:tcPr>
          <w:p w14:paraId="7F29AA15" w14:textId="77777777" w:rsidR="002D6F66" w:rsidRDefault="00000000">
            <w:pPr>
              <w:cnfStyle w:val="000000100000" w:firstRow="0" w:lastRow="0" w:firstColumn="0" w:lastColumn="0" w:oddVBand="0" w:evenVBand="0" w:oddHBand="1" w:evenHBand="0" w:firstRowFirstColumn="0" w:firstRowLastColumn="0" w:lastRowFirstColumn="0" w:lastRowLastColumn="0"/>
            </w:pPr>
            <w:r>
              <w:t>Fault-injection state tests pass</w:t>
            </w:r>
          </w:p>
        </w:tc>
      </w:tr>
      <w:tr w:rsidR="002D6F66" w14:paraId="2129C41D"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6D49BB6" w14:textId="77777777" w:rsidR="002D6F66" w:rsidRDefault="00000000">
            <w:r>
              <w:t>P3 (weeks 13–16)</w:t>
            </w:r>
          </w:p>
        </w:tc>
        <w:tc>
          <w:tcPr>
            <w:tcW w:w="3197" w:type="dxa"/>
          </w:tcPr>
          <w:p w14:paraId="6566698F" w14:textId="77777777" w:rsidR="002D6F66" w:rsidRDefault="00000000">
            <w:pPr>
              <w:cnfStyle w:val="000000000000" w:firstRow="0" w:lastRow="0" w:firstColumn="0" w:lastColumn="0" w:oddVBand="0" w:evenVBand="0" w:oddHBand="0" w:evenHBand="0" w:firstRowFirstColumn="0" w:firstRowLastColumn="0" w:lastRowFirstColumn="0" w:lastRowLastColumn="0"/>
            </w:pPr>
            <w:r>
              <w:t>Registry, lineage, policy</w:t>
            </w:r>
          </w:p>
        </w:tc>
        <w:tc>
          <w:tcPr>
            <w:tcW w:w="3197" w:type="dxa"/>
          </w:tcPr>
          <w:p w14:paraId="24EC87FD" w14:textId="77777777" w:rsidR="002D6F66" w:rsidRDefault="00000000">
            <w:pPr>
              <w:cnfStyle w:val="000000000000" w:firstRow="0" w:lastRow="0" w:firstColumn="0" w:lastColumn="0" w:oddVBand="0" w:evenVBand="0" w:oddHBand="0" w:evenHBand="0" w:firstRowFirstColumn="0" w:firstRowLastColumn="0" w:lastRowFirstColumn="0" w:lastRowLastColumn="0"/>
            </w:pPr>
            <w:r>
              <w:t>Immutable versions and auditable promotion</w:t>
            </w:r>
          </w:p>
        </w:tc>
      </w:tr>
      <w:tr w:rsidR="002D6F66" w14:paraId="106DE30E"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A553FC9" w14:textId="77777777" w:rsidR="002D6F66" w:rsidRDefault="00000000">
            <w:r>
              <w:t>P4 (weeks 17–20)</w:t>
            </w:r>
          </w:p>
        </w:tc>
        <w:tc>
          <w:tcPr>
            <w:tcW w:w="3197" w:type="dxa"/>
          </w:tcPr>
          <w:p w14:paraId="137CE527" w14:textId="77777777" w:rsidR="002D6F66" w:rsidRDefault="00000000">
            <w:pPr>
              <w:cnfStyle w:val="000000100000" w:firstRow="0" w:lastRow="0" w:firstColumn="0" w:lastColumn="0" w:oddVBand="0" w:evenVBand="0" w:oddHBand="1" w:evenHBand="0" w:firstRowFirstColumn="0" w:firstRowLastColumn="0" w:lastRowFirstColumn="0" w:lastRowLastColumn="0"/>
            </w:pPr>
            <w:r>
              <w:t>Python L2 adapters and generic serving</w:t>
            </w:r>
          </w:p>
        </w:tc>
        <w:tc>
          <w:tcPr>
            <w:tcW w:w="3197" w:type="dxa"/>
          </w:tcPr>
          <w:p w14:paraId="396FC88F" w14:textId="77777777" w:rsidR="002D6F66" w:rsidRDefault="00000000">
            <w:pPr>
              <w:cnfStyle w:val="000000100000" w:firstRow="0" w:lastRow="0" w:firstColumn="0" w:lastColumn="0" w:oddVBand="0" w:evenVBand="0" w:oddHBand="1" w:evenHBand="0" w:firstRowFirstColumn="0" w:firstRowLastColumn="0" w:lastRowFirstColumn="0" w:lastRowLastColumn="0"/>
            </w:pPr>
            <w:r>
              <w:t>Published capability tests</w:t>
            </w:r>
          </w:p>
        </w:tc>
      </w:tr>
      <w:tr w:rsidR="002D6F66" w14:paraId="2D0053E2"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62AC400A" w14:textId="77777777" w:rsidR="002D6F66" w:rsidRDefault="00000000">
            <w:r>
              <w:t>P5 (weeks 21–24)</w:t>
            </w:r>
          </w:p>
        </w:tc>
        <w:tc>
          <w:tcPr>
            <w:tcW w:w="3197" w:type="dxa"/>
          </w:tcPr>
          <w:p w14:paraId="0521A311" w14:textId="77777777" w:rsidR="002D6F66" w:rsidRDefault="00000000">
            <w:pPr>
              <w:cnfStyle w:val="000000000000" w:firstRow="0" w:lastRow="0" w:firstColumn="0" w:lastColumn="0" w:oddVBand="0" w:evenVBand="0" w:oddHBand="0" w:evenHBand="0" w:firstRowFirstColumn="0" w:firstRowLastColumn="0" w:lastRowFirstColumn="0" w:lastRowLastColumn="0"/>
            </w:pPr>
            <w:r>
              <w:t>Load/replay/security benchmarks</w:t>
            </w:r>
          </w:p>
        </w:tc>
        <w:tc>
          <w:tcPr>
            <w:tcW w:w="3197" w:type="dxa"/>
          </w:tcPr>
          <w:p w14:paraId="76797812" w14:textId="77777777" w:rsidR="002D6F66" w:rsidRDefault="00000000">
            <w:pPr>
              <w:cnfStyle w:val="000000000000" w:firstRow="0" w:lastRow="0" w:firstColumn="0" w:lastColumn="0" w:oddVBand="0" w:evenVBand="0" w:oddHBand="0" w:evenHBand="0" w:firstRowFirstColumn="0" w:firstRowLastColumn="0" w:lastRowFirstColumn="0" w:lastRowLastColumn="0"/>
            </w:pPr>
            <w:r>
              <w:t>Reproducible evaluation report</w:t>
            </w:r>
          </w:p>
        </w:tc>
      </w:tr>
    </w:tbl>
    <w:p w14:paraId="009EDCFF" w14:textId="77777777" w:rsidR="002D6F66" w:rsidRDefault="00000000">
      <w:pPr>
        <w:pStyle w:val="Heading2"/>
      </w:pPr>
      <w:r>
        <w:t>11.5 Example workflow walkthrough</w:t>
      </w:r>
    </w:p>
    <w:p w14:paraId="6990D895" w14:textId="77777777" w:rsidR="002D6F66" w:rsidRDefault="00000000">
      <w:r>
        <w:t>The researcher stores a dataset snapshot reference and submits the same binary classification workflow using scikit-learn, PyTorch and an R subprocess. All three receive run IDs, execution status, logs and immutable artifacts. The Python jobs may additionally emit framework callbacks, while R posts scalar metrics through the HTTP client. The registry accepts three versioned artifacts; only artifacts supplied with tested prediction runtimes can be promoted to online serving. This workflow demonstrates broad experiment support without imposing false model equivalence.</w:t>
      </w:r>
    </w:p>
    <w:p w14:paraId="74D1C3F0" w14:textId="77777777" w:rsidR="002D6F66" w:rsidRDefault="00000000">
      <w:r>
        <w:t>A representative cross-framework study starts with a dataset snapshot, launches a scikit-learn baseline, schedules an XGBoost experiment, and then runs a PyTorch model that requires a GPU. Each run declares the same dataset manifest but a separate environment digest and parameter set. The platform captures metrics and logs through generic SDK calls; an optional PyTorch adapter adds richer checkpoint metadata. After evaluation, one candidate is registered with its exact artifact manifest and a validation report. An approval event creates an auditable transition to a deployable stage, while deployment itself selects a runtime capable of loading that artifact. This example demonstrates that the platform can maintain one consistent provenance graph even when the actual training code, dependency stacks, and serving capabilities differ.</w:t>
      </w:r>
    </w:p>
    <w:p w14:paraId="2E56C480" w14:textId="77777777" w:rsidR="002D6F66" w:rsidRDefault="00000000">
      <w:pPr>
        <w:pStyle w:val="Heading2"/>
      </w:pPr>
      <w:r>
        <w:t>11.6 Testing and CI/CD</w:t>
      </w:r>
    </w:p>
    <w:p w14:paraId="51BD3525" w14:textId="77777777" w:rsidR="002D6F66" w:rsidRDefault="00000000">
      <w:r>
        <w:t>CI should include contract tests, database migration tests, local integration tests with disposable object storage, deterministic small model examples, compatibility matrix jobs, security scanning and end-to-end Kubernetes smoke tests. Releases version APIs and adapters separately; migrations must be backward compatible for at least one defined rollout window. Canary installation and rollback are part of operational readiness, not an afterthought.</w:t>
      </w:r>
    </w:p>
    <w:p w14:paraId="62ACB3B1" w14:textId="77777777" w:rsidR="002D6F66" w:rsidRDefault="00000000">
      <w:pPr>
        <w:pStyle w:val="Heading1"/>
      </w:pPr>
      <w:r>
        <w:lastRenderedPageBreak/>
        <w:t>12. Experimental Evaluation Design</w:t>
      </w:r>
    </w:p>
    <w:p w14:paraId="167672AE" w14:textId="77777777" w:rsidR="002D6F66" w:rsidRDefault="00000000">
      <w:pPr>
        <w:pStyle w:val="Heading2"/>
      </w:pPr>
      <w:r>
        <w:t>12.1 Study design and hypotheses</w:t>
      </w:r>
    </w:p>
    <w:p w14:paraId="591A4DD5" w14:textId="77777777" w:rsidR="002D6F66" w:rsidRDefault="00000000">
      <w:r>
        <w:t>The evaluation is prospective. H1: the L0/L1 core supports more workload families without adapter code than a strategy requiring native serialization. H2: adapter maintenance effort grows sublinearly with the number of libraries under a stable common contract, relative to pairwise integrations. H3: immutable manifests and leases reduce ambiguous recovery outcomes. H4: batching reduces per-event ingestion cost with acceptable latency. These are testable claims; observed evidence must be collected after implementation.</w:t>
      </w:r>
    </w:p>
    <w:p w14:paraId="6128CF4D" w14:textId="77777777" w:rsidR="002D6F66" w:rsidRDefault="00000000">
      <w:pPr>
        <w:pStyle w:val="Heading2"/>
      </w:pPr>
      <w:r>
        <w:t>12.2 Comparative baselines</w:t>
      </w:r>
    </w:p>
    <w:p w14:paraId="75A59E87" w14:textId="77777777" w:rsidR="002D6F66" w:rsidRDefault="00000000">
      <w:r>
        <w:t>Baseline A is manual logging to files and object storage; Baseline B is native MLflow Tracking/Models configured for the same representative tasks; Baseline C combines a workflow orchestrator and a model registry where appropriate. Because products have different scopes, each comparison reports which capabilities are enabled and counts the engineering effort required to compose missing features. No single score should label competitors universally inferior.</w:t>
      </w:r>
    </w:p>
    <w:p w14:paraId="6DBF8DE9" w14:textId="77777777" w:rsidR="002D6F66" w:rsidRDefault="00000000">
      <w:pPr>
        <w:pStyle w:val="Heading2"/>
      </w:pPr>
      <w:r>
        <w:t>12.3 Experimental matrix</w:t>
      </w:r>
    </w:p>
    <w:p w14:paraId="68B420FF" w14:textId="77777777" w:rsidR="002D6F66" w:rsidRDefault="00000000">
      <w:pPr>
        <w:pStyle w:val="Caption"/>
      </w:pPr>
      <w:r>
        <w:t>Table 8. Reproducible experiment specification.</w:t>
      </w:r>
    </w:p>
    <w:tbl>
      <w:tblPr>
        <w:tblStyle w:val="LightShading-Accent1"/>
        <w:tblW w:w="0" w:type="auto"/>
        <w:jc w:val="center"/>
        <w:tblLook w:val="04A0" w:firstRow="1" w:lastRow="0" w:firstColumn="1" w:lastColumn="0" w:noHBand="0" w:noVBand="1"/>
      </w:tblPr>
      <w:tblGrid>
        <w:gridCol w:w="3197"/>
        <w:gridCol w:w="3197"/>
        <w:gridCol w:w="3197"/>
      </w:tblGrid>
      <w:tr w:rsidR="002D6F66" w14:paraId="5CDE3A0A" w14:textId="77777777" w:rsidTr="002D6F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6162D27E" w14:textId="77777777" w:rsidR="002D6F66" w:rsidRDefault="00000000">
            <w:r>
              <w:t>Experiment</w:t>
            </w:r>
          </w:p>
        </w:tc>
        <w:tc>
          <w:tcPr>
            <w:tcW w:w="3197" w:type="dxa"/>
          </w:tcPr>
          <w:p w14:paraId="27320F48" w14:textId="77777777" w:rsidR="002D6F66" w:rsidRDefault="00000000">
            <w:pPr>
              <w:cnfStyle w:val="100000000000" w:firstRow="1" w:lastRow="0" w:firstColumn="0" w:lastColumn="0" w:oddVBand="0" w:evenVBand="0" w:oddHBand="0" w:evenHBand="0" w:firstRowFirstColumn="0" w:firstRowLastColumn="0" w:lastRowFirstColumn="0" w:lastRowLastColumn="0"/>
            </w:pPr>
            <w:r>
              <w:t>Independent variables</w:t>
            </w:r>
          </w:p>
        </w:tc>
        <w:tc>
          <w:tcPr>
            <w:tcW w:w="3197" w:type="dxa"/>
          </w:tcPr>
          <w:p w14:paraId="4680F906" w14:textId="77777777" w:rsidR="002D6F66" w:rsidRDefault="00000000">
            <w:pPr>
              <w:cnfStyle w:val="100000000000" w:firstRow="1" w:lastRow="0" w:firstColumn="0" w:lastColumn="0" w:oddVBand="0" w:evenVBand="0" w:oddHBand="0" w:evenHBand="0" w:firstRowFirstColumn="0" w:firstRowLastColumn="0" w:lastRowFirstColumn="0" w:lastRowLastColumn="0"/>
            </w:pPr>
            <w:r>
              <w:t>Dependent measures</w:t>
            </w:r>
          </w:p>
        </w:tc>
      </w:tr>
      <w:tr w:rsidR="002D6F66" w14:paraId="304AF881"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546569D3" w14:textId="77777777" w:rsidR="002D6F66" w:rsidRDefault="00000000">
            <w:r>
              <w:t>Compatibility</w:t>
            </w:r>
          </w:p>
        </w:tc>
        <w:tc>
          <w:tcPr>
            <w:tcW w:w="3197" w:type="dxa"/>
          </w:tcPr>
          <w:p w14:paraId="51999579" w14:textId="77777777" w:rsidR="002D6F66" w:rsidRDefault="00000000">
            <w:pPr>
              <w:cnfStyle w:val="000000100000" w:firstRow="0" w:lastRow="0" w:firstColumn="0" w:lastColumn="0" w:oddVBand="0" w:evenVBand="0" w:oddHBand="1" w:evenHBand="0" w:firstRowFirstColumn="0" w:firstRowLastColumn="0" w:lastRowFirstColumn="0" w:lastRowLastColumn="0"/>
            </w:pPr>
            <w:r>
              <w:t>Library, version, language, tier</w:t>
            </w:r>
          </w:p>
        </w:tc>
        <w:tc>
          <w:tcPr>
            <w:tcW w:w="3197" w:type="dxa"/>
          </w:tcPr>
          <w:p w14:paraId="0C082A49" w14:textId="77777777" w:rsidR="002D6F66" w:rsidRDefault="00000000">
            <w:pPr>
              <w:cnfStyle w:val="000000100000" w:firstRow="0" w:lastRow="0" w:firstColumn="0" w:lastColumn="0" w:oddVBand="0" w:evenVBand="0" w:oddHBand="1" w:evenHBand="0" w:firstRowFirstColumn="0" w:firstRowLastColumn="0" w:lastRowFirstColumn="0" w:lastRowLastColumn="0"/>
            </w:pPr>
            <w:r>
              <w:t>Pass rate, API calls, adapter LOC</w:t>
            </w:r>
          </w:p>
        </w:tc>
      </w:tr>
      <w:tr w:rsidR="002D6F66" w14:paraId="3C937906"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472C395D" w14:textId="77777777" w:rsidR="002D6F66" w:rsidRDefault="00000000">
            <w:r>
              <w:t>Ingestion load</w:t>
            </w:r>
          </w:p>
        </w:tc>
        <w:tc>
          <w:tcPr>
            <w:tcW w:w="3197" w:type="dxa"/>
          </w:tcPr>
          <w:p w14:paraId="06A19016" w14:textId="77777777" w:rsidR="002D6F66" w:rsidRDefault="00000000">
            <w:pPr>
              <w:cnfStyle w:val="000000000000" w:firstRow="0" w:lastRow="0" w:firstColumn="0" w:lastColumn="0" w:oddVBand="0" w:evenVBand="0" w:oddHBand="0" w:evenHBand="0" w:firstRowFirstColumn="0" w:firstRowLastColumn="0" w:lastRowFirstColumn="0" w:lastRowLastColumn="0"/>
            </w:pPr>
            <w:r>
              <w:t>100–10,000 events/s; 1–100 clients</w:t>
            </w:r>
          </w:p>
        </w:tc>
        <w:tc>
          <w:tcPr>
            <w:tcW w:w="3197" w:type="dxa"/>
          </w:tcPr>
          <w:p w14:paraId="7F2153A9" w14:textId="77777777" w:rsidR="002D6F66" w:rsidRDefault="00000000">
            <w:pPr>
              <w:cnfStyle w:val="000000000000" w:firstRow="0" w:lastRow="0" w:firstColumn="0" w:lastColumn="0" w:oddVBand="0" w:evenVBand="0" w:oddHBand="0" w:evenHBand="0" w:firstRowFirstColumn="0" w:firstRowLastColumn="0" w:lastRowFirstColumn="0" w:lastRowLastColumn="0"/>
            </w:pPr>
            <w:r>
              <w:t>p50/p95/p99, loss, CPU/memory</w:t>
            </w:r>
          </w:p>
        </w:tc>
      </w:tr>
      <w:tr w:rsidR="002D6F66" w14:paraId="5E15F5C4"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096B420" w14:textId="77777777" w:rsidR="002D6F66" w:rsidRDefault="00000000">
            <w:r>
              <w:t>Artifact throughput</w:t>
            </w:r>
          </w:p>
        </w:tc>
        <w:tc>
          <w:tcPr>
            <w:tcW w:w="3197" w:type="dxa"/>
          </w:tcPr>
          <w:p w14:paraId="3088D40B" w14:textId="77777777" w:rsidR="002D6F66" w:rsidRDefault="00000000">
            <w:pPr>
              <w:cnfStyle w:val="000000100000" w:firstRow="0" w:lastRow="0" w:firstColumn="0" w:lastColumn="0" w:oddVBand="0" w:evenVBand="0" w:oddHBand="1" w:evenHBand="0" w:firstRowFirstColumn="0" w:firstRowLastColumn="0" w:lastRowFirstColumn="0" w:lastRowLastColumn="0"/>
            </w:pPr>
            <w:r>
              <w:t>Size, file count, network conditions</w:t>
            </w:r>
          </w:p>
        </w:tc>
        <w:tc>
          <w:tcPr>
            <w:tcW w:w="3197" w:type="dxa"/>
          </w:tcPr>
          <w:p w14:paraId="0C3B681E" w14:textId="77777777" w:rsidR="002D6F66" w:rsidRDefault="00000000">
            <w:pPr>
              <w:cnfStyle w:val="000000100000" w:firstRow="0" w:lastRow="0" w:firstColumn="0" w:lastColumn="0" w:oddVBand="0" w:evenVBand="0" w:oddHBand="1" w:evenHBand="0" w:firstRowFirstColumn="0" w:firstRowLastColumn="0" w:lastRowFirstColumn="0" w:lastRowLastColumn="0"/>
            </w:pPr>
            <w:r>
              <w:t>Upload MB/s, checksum time, orphan count</w:t>
            </w:r>
          </w:p>
        </w:tc>
      </w:tr>
      <w:tr w:rsidR="002D6F66" w14:paraId="6381CED3"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0B823E81" w14:textId="77777777" w:rsidR="002D6F66" w:rsidRDefault="00000000">
            <w:r>
              <w:t>Reliability</w:t>
            </w:r>
          </w:p>
        </w:tc>
        <w:tc>
          <w:tcPr>
            <w:tcW w:w="3197" w:type="dxa"/>
          </w:tcPr>
          <w:p w14:paraId="1EA49203" w14:textId="77777777" w:rsidR="002D6F66" w:rsidRDefault="00000000">
            <w:pPr>
              <w:cnfStyle w:val="000000000000" w:firstRow="0" w:lastRow="0" w:firstColumn="0" w:lastColumn="0" w:oddVBand="0" w:evenVBand="0" w:oddHBand="0" w:evenHBand="0" w:firstRowFirstColumn="0" w:firstRowLastColumn="0" w:lastRowFirstColumn="0" w:lastRowLastColumn="0"/>
            </w:pPr>
            <w:r>
              <w:t>Crash point, retries, object delays</w:t>
            </w:r>
          </w:p>
        </w:tc>
        <w:tc>
          <w:tcPr>
            <w:tcW w:w="3197" w:type="dxa"/>
          </w:tcPr>
          <w:p w14:paraId="2A824AF1" w14:textId="77777777" w:rsidR="002D6F66" w:rsidRDefault="00000000">
            <w:pPr>
              <w:cnfStyle w:val="000000000000" w:firstRow="0" w:lastRow="0" w:firstColumn="0" w:lastColumn="0" w:oddVBand="0" w:evenVBand="0" w:oddHBand="0" w:evenHBand="0" w:firstRowFirstColumn="0" w:firstRowLastColumn="0" w:lastRowFirstColumn="0" w:lastRowLastColumn="0"/>
            </w:pPr>
            <w:r>
              <w:t>Illegal states, recovery time</w:t>
            </w:r>
          </w:p>
        </w:tc>
      </w:tr>
      <w:tr w:rsidR="002D6F66" w14:paraId="33B76650"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05E8553D" w14:textId="77777777" w:rsidR="002D6F66" w:rsidRDefault="00000000">
            <w:r>
              <w:t>Replay</w:t>
            </w:r>
          </w:p>
        </w:tc>
        <w:tc>
          <w:tcPr>
            <w:tcW w:w="3197" w:type="dxa"/>
          </w:tcPr>
          <w:p w14:paraId="3D1ABDCE" w14:textId="77777777" w:rsidR="002D6F66" w:rsidRDefault="00000000">
            <w:pPr>
              <w:cnfStyle w:val="000000100000" w:firstRow="0" w:lastRow="0" w:firstColumn="0" w:lastColumn="0" w:oddVBand="0" w:evenVBand="0" w:oddHBand="1" w:evenHBand="0" w:firstRowFirstColumn="0" w:firstRowLastColumn="0" w:lastRowFirstColumn="0" w:lastRowLastColumn="0"/>
            </w:pPr>
            <w:r>
              <w:t>Seed, host, GPU, runtime image</w:t>
            </w:r>
          </w:p>
        </w:tc>
        <w:tc>
          <w:tcPr>
            <w:tcW w:w="3197" w:type="dxa"/>
          </w:tcPr>
          <w:p w14:paraId="45F06DF7" w14:textId="77777777" w:rsidR="002D6F66" w:rsidRDefault="00000000">
            <w:pPr>
              <w:cnfStyle w:val="000000100000" w:firstRow="0" w:lastRow="0" w:firstColumn="0" w:lastColumn="0" w:oddVBand="0" w:evenVBand="0" w:oddHBand="1" w:evenHBand="0" w:firstRowFirstColumn="0" w:firstRowLastColumn="0" w:lastRowFirstColumn="0" w:lastRowLastColumn="0"/>
            </w:pPr>
            <w:r>
              <w:t>Exact/tolerant agreement</w:t>
            </w:r>
          </w:p>
        </w:tc>
      </w:tr>
      <w:tr w:rsidR="002D6F66" w14:paraId="56BA4AD2" w14:textId="77777777" w:rsidTr="002D6F66">
        <w:trPr>
          <w:jc w:val="center"/>
        </w:trPr>
        <w:tc>
          <w:tcPr>
            <w:cnfStyle w:val="001000000000" w:firstRow="0" w:lastRow="0" w:firstColumn="1" w:lastColumn="0" w:oddVBand="0" w:evenVBand="0" w:oddHBand="0" w:evenHBand="0" w:firstRowFirstColumn="0" w:firstRowLastColumn="0" w:lastRowFirstColumn="0" w:lastRowLastColumn="0"/>
            <w:tcW w:w="3197" w:type="dxa"/>
          </w:tcPr>
          <w:p w14:paraId="1DDCCCC7" w14:textId="77777777" w:rsidR="002D6F66" w:rsidRDefault="00000000">
            <w:r>
              <w:t>Serving</w:t>
            </w:r>
          </w:p>
        </w:tc>
        <w:tc>
          <w:tcPr>
            <w:tcW w:w="3197" w:type="dxa"/>
          </w:tcPr>
          <w:p w14:paraId="3AA8AD3C" w14:textId="77777777" w:rsidR="002D6F66" w:rsidRDefault="00000000">
            <w:pPr>
              <w:cnfStyle w:val="000000000000" w:firstRow="0" w:lastRow="0" w:firstColumn="0" w:lastColumn="0" w:oddVBand="0" w:evenVBand="0" w:oddHBand="0" w:evenHBand="0" w:firstRowFirstColumn="0" w:firstRowLastColumn="0" w:lastRowFirstColumn="0" w:lastRowLastColumn="0"/>
            </w:pPr>
            <w:r>
              <w:t>Runtime, batch size, concurrency</w:t>
            </w:r>
          </w:p>
        </w:tc>
        <w:tc>
          <w:tcPr>
            <w:tcW w:w="3197" w:type="dxa"/>
          </w:tcPr>
          <w:p w14:paraId="740AA073" w14:textId="77777777" w:rsidR="002D6F66" w:rsidRDefault="00000000">
            <w:pPr>
              <w:cnfStyle w:val="000000000000" w:firstRow="0" w:lastRow="0" w:firstColumn="0" w:lastColumn="0" w:oddVBand="0" w:evenVBand="0" w:oddHBand="0" w:evenHBand="0" w:firstRowFirstColumn="0" w:firstRowLastColumn="0" w:lastRowFirstColumn="0" w:lastRowLastColumn="0"/>
            </w:pPr>
            <w:r>
              <w:t>Latency, throughput, load failures</w:t>
            </w:r>
          </w:p>
        </w:tc>
      </w:tr>
      <w:tr w:rsidR="002D6F66" w14:paraId="07135C86" w14:textId="77777777" w:rsidTr="002D6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7" w:type="dxa"/>
          </w:tcPr>
          <w:p w14:paraId="43D53B9F" w14:textId="77777777" w:rsidR="002D6F66" w:rsidRDefault="00000000">
            <w:r>
              <w:t>Security</w:t>
            </w:r>
          </w:p>
        </w:tc>
        <w:tc>
          <w:tcPr>
            <w:tcW w:w="3197" w:type="dxa"/>
          </w:tcPr>
          <w:p w14:paraId="665D1ABA" w14:textId="77777777" w:rsidR="002D6F66" w:rsidRDefault="00000000">
            <w:pPr>
              <w:cnfStyle w:val="000000100000" w:firstRow="0" w:lastRow="0" w:firstColumn="0" w:lastColumn="0" w:oddVBand="0" w:evenVBand="0" w:oddHBand="1" w:evenHBand="0" w:firstRowFirstColumn="0" w:firstRowLastColumn="0" w:lastRowFirstColumn="0" w:lastRowLastColumn="0"/>
            </w:pPr>
            <w:r>
              <w:t>Role, tenant, credential scope</w:t>
            </w:r>
          </w:p>
        </w:tc>
        <w:tc>
          <w:tcPr>
            <w:tcW w:w="3197" w:type="dxa"/>
          </w:tcPr>
          <w:p w14:paraId="1CD734DA" w14:textId="77777777" w:rsidR="002D6F66" w:rsidRDefault="00000000">
            <w:pPr>
              <w:cnfStyle w:val="000000100000" w:firstRow="0" w:lastRow="0" w:firstColumn="0" w:lastColumn="0" w:oddVBand="0" w:evenVBand="0" w:oddHBand="1" w:evenHBand="0" w:firstRowFirstColumn="0" w:firstRowLastColumn="0" w:lastRowFirstColumn="0" w:lastRowLastColumn="0"/>
            </w:pPr>
            <w:r>
              <w:t>Unauthorized operations accepted</w:t>
            </w:r>
          </w:p>
        </w:tc>
      </w:tr>
    </w:tbl>
    <w:p w14:paraId="0CD1458B" w14:textId="77777777" w:rsidR="002D6F66" w:rsidRDefault="00000000">
      <w:pPr>
        <w:pStyle w:val="Heading2"/>
      </w:pPr>
      <w:r>
        <w:t>12.4 Benchmark methodology</w:t>
      </w:r>
    </w:p>
    <w:p w14:paraId="53659633" w14:textId="77777777" w:rsidR="002D6F66" w:rsidRDefault="00000000">
      <w:r>
        <w:t>Record hardware, CPU type, memory, disk, network, cluster version, image digests, library versions, database tuning and workload seeds. Repeat measurements across independent trials and report medians, confidence intervals and tail distributions. Warmup and cache state must be explicit. Use the same artifact dataset and run count for each platform; avoid comparing a managed cloud endpoint with a single-process local server without reporting that difference.</w:t>
      </w:r>
    </w:p>
    <w:p w14:paraId="7B3FFEE9" w14:textId="77777777" w:rsidR="002D6F66" w:rsidRDefault="00000000">
      <w:r>
        <w:t>For the tracking path, measure accepted events per second, client-side buffering, p50/p95/p99 ingestion latency, query latency, and data loss under controlled disconnects. For artifact handling, measure transfer throughput, finalization latency, hash verification overhead, and recovery from incomplete uploads. For orchestration, measure queue delay, job-start delay, cancellation convergence, and retry correctness after worker or controller crashes. For reproducibility, attempt cold reconstruction from recorded manifests in a clean environment and classify each failure by missing input, dependency drift, nondeterminism, or unsupported runtime. Cost and storage growth must be measured alongside speed because broad compatibility is not valuable if the common ingestion path becomes prohibitively expensive at scale.</w:t>
      </w:r>
    </w:p>
    <w:p w14:paraId="61232F6C" w14:textId="77777777" w:rsidR="002D6F66" w:rsidRDefault="00000000">
      <w:r>
        <w:t xml:space="preserve">The benchmark suite should include small deterministic workloads for correctness, realistic medium-sized tasks for overhead, and adversarial integration cases for generality. A useful matrix crosses languages (Python, R, CLI-only), learning families (classical, gradient-boosted, neural), environments (local, container, accelerator), and integration levels (black-box, SDK, native adapter). Each test reports which </w:t>
      </w:r>
      <w:r>
        <w:lastRenderedPageBreak/>
        <w:t>operations work end-to-end rather than merely confirming that an API call returns HTTP 200. Repeated trials under controlled hardware and load profiles should compare the proposed prototype against a baseline stack configured with equivalent storage and security controls. Otherwise, perceived overhead differences may reflect deployment choices rather than platform architecture. All unsuccessful tests should be included in aggregate compatibility counts.</w:t>
      </w:r>
    </w:p>
    <w:p w14:paraId="1DDF28F7" w14:textId="77777777" w:rsidR="002D6F66" w:rsidRDefault="00000000">
      <w:pPr>
        <w:jc w:val="center"/>
      </w:pPr>
      <w:r>
        <w:rPr>
          <w:i/>
        </w:rPr>
        <w:t>throughput = successfully_durable_events / elapsed_seconds</w:t>
      </w:r>
    </w:p>
    <w:p w14:paraId="15334055" w14:textId="77777777" w:rsidR="002D6F66" w:rsidRDefault="00000000">
      <w:pPr>
        <w:pStyle w:val="Caption"/>
        <w:jc w:val="right"/>
      </w:pPr>
      <w:r>
        <w:t>(9) Ingestion throughput</w:t>
      </w:r>
    </w:p>
    <w:p w14:paraId="6A37C3FC" w14:textId="77777777" w:rsidR="002D6F66" w:rsidRDefault="00000000">
      <w:pPr>
        <w:jc w:val="center"/>
      </w:pPr>
      <w:r>
        <w:rPr>
          <w:i/>
        </w:rPr>
        <w:t>overhead = (T_instrumented − T_control) / T_control × 100%</w:t>
      </w:r>
    </w:p>
    <w:p w14:paraId="786682D8" w14:textId="77777777" w:rsidR="002D6F66" w:rsidRDefault="00000000">
      <w:pPr>
        <w:pStyle w:val="Caption"/>
        <w:jc w:val="right"/>
      </w:pPr>
      <w:r>
        <w:t>(10) Ingestion overhead</w:t>
      </w:r>
    </w:p>
    <w:p w14:paraId="0FB692AE" w14:textId="77777777" w:rsidR="002D6F66" w:rsidRDefault="00000000">
      <w:r>
        <w:t>The “durable” qualifier excludes requests acknowledged only by an unsafe memory queue. If using asynchronous buffering, separately measure accepted-event throughput, durable throughput and backlog growth. For training overhead, benchmark a control run with identical I/O and framework setup, varying only instrumentation.</w:t>
      </w:r>
    </w:p>
    <w:p w14:paraId="6A25DA93" w14:textId="77777777" w:rsidR="002D6F66" w:rsidRDefault="00000000">
      <w:pPr>
        <w:pStyle w:val="Heading2"/>
      </w:pPr>
      <w:r>
        <w:t>12.5 Statistical treatment</w:t>
      </w:r>
    </w:p>
    <w:p w14:paraId="493F308A" w14:textId="77777777" w:rsidR="002D6F66" w:rsidRDefault="00000000">
      <w:r>
        <w:t>For non-Gaussian latency distributions report p50, p95 and p99 together with bootstrap 95% confidence intervals. Compare paired runs where feasible and present effect sizes rather than only p-values. Pre-register exclusion rules for infrastructure outages and flaky network conditions. Separate correctness failures from missing feature support; an unsupported capability is not a passed test.</w:t>
      </w:r>
    </w:p>
    <w:p w14:paraId="1835F0A2" w14:textId="77777777" w:rsidR="002D6F66" w:rsidRDefault="00000000">
      <w:pPr>
        <w:jc w:val="center"/>
      </w:pPr>
      <w:r>
        <w:rPr>
          <w:i/>
        </w:rPr>
        <w:t>support_rate = (Σi passed_conformance_i) / (Σi executed_conformance_i)</w:t>
      </w:r>
    </w:p>
    <w:p w14:paraId="685D29CD" w14:textId="77777777" w:rsidR="002D6F66" w:rsidRDefault="00000000">
      <w:pPr>
        <w:pStyle w:val="Caption"/>
        <w:jc w:val="right"/>
      </w:pPr>
      <w:r>
        <w:t>(11) Mean support rate</w:t>
      </w:r>
    </w:p>
    <w:p w14:paraId="59198B17" w14:textId="77777777" w:rsidR="002D6F66" w:rsidRDefault="00000000">
      <w:pPr>
        <w:pStyle w:val="Heading2"/>
      </w:pPr>
      <w:r>
        <w:t>12.6 Ablation and sensitivity analysis</w:t>
      </w:r>
    </w:p>
    <w:p w14:paraId="43F9E798" w14:textId="77777777" w:rsidR="002D6F66" w:rsidRDefault="00000000">
      <w:r>
        <w:t>Ablations disable content hashing, adapter enrichment, asynchronous event batching, or cache reuse to isolate tradeoffs. Sensitivity studies vary model file counts, multi-tenant load, metric cardinality and worker churn. The results should show when the architecture ceases to meet provisional targets, not merely the best-case throughput. Repeat selected tests on one-node and clustered deployments to expose hidden distributed dependencies.</w:t>
      </w:r>
    </w:p>
    <w:p w14:paraId="65367DD2" w14:textId="77777777" w:rsidR="002D6F66" w:rsidRDefault="00000000">
      <w:pPr>
        <w:pStyle w:val="Heading2"/>
      </w:pPr>
      <w:r>
        <w:t>12.7 Validity threats</w:t>
      </w:r>
    </w:p>
    <w:p w14:paraId="7685C5B1" w14:textId="77777777" w:rsidR="002D6F66" w:rsidRDefault="00000000">
      <w:r>
        <w:t>Internal validity is threatened by differences in instrumentation configuration, benchmark warmup and object-storage behavior. Construct validity is threatened when “framework support” is reduced to launching a process. External validity is limited by the chosen workload suite and by cloud/hardware variability. Reproducibility claims are limited by inaccessible data, nondeterministic device operations and environmental drift. A public test manifest and code repository can mitigate, but not eliminate, these risks.</w:t>
      </w:r>
    </w:p>
    <w:p w14:paraId="04FE006E" w14:textId="77777777" w:rsidR="002D6F66" w:rsidRDefault="00000000">
      <w:pPr>
        <w:pStyle w:val="Heading1"/>
      </w:pPr>
      <w:r>
        <w:t>13. Discussion, Limitations and Future Work</w:t>
      </w:r>
    </w:p>
    <w:p w14:paraId="1F632972" w14:textId="77777777" w:rsidR="002D6F66" w:rsidRDefault="00000000">
      <w:pPr>
        <w:pStyle w:val="Heading2"/>
      </w:pPr>
      <w:r>
        <w:t>13.1 The impossibility of full semantic universality</w:t>
      </w:r>
    </w:p>
    <w:p w14:paraId="3A39B7B5" w14:textId="77777777" w:rsidR="002D6F66" w:rsidRDefault="00000000">
      <w:r>
        <w:t>Arbitrary programs can implement training and inference interfaces that cannot be inferred safely or generally from their source or runtime state. Thus “support all ML libraries” must be read as support for execution and observation, not transparent extraction of every hyperparameter or automatic serving of any model. User-authored adapters and manifests supply semantic knowledge where no standard exists. Reporting the supported tier by version is more scientifically meaningful than an unsupported universal-compatibility statement.</w:t>
      </w:r>
    </w:p>
    <w:p w14:paraId="5349648F" w14:textId="77777777" w:rsidR="002D6F66" w:rsidRDefault="00000000">
      <w:pPr>
        <w:pStyle w:val="Heading2"/>
      </w:pPr>
      <w:r>
        <w:t>13.2 Build-versus-integrate decision</w:t>
      </w:r>
    </w:p>
    <w:p w14:paraId="41A39891" w14:textId="77777777" w:rsidR="002D6F66" w:rsidRDefault="00000000">
      <w:r>
        <w:t>Building a new end-to-end ML platform demands long-term maintenance of API compatibility, identity, object storage, orchestration, model packaging and operational interfaces. A research prototype should reuse Kubernetes, open lineage vocabularies and OCI packaging, and consider MLflow-compatible endpoints where interoperability is valuable. The novelty lies in formalized capability negotiation and neutral provenance semantics, not in reimplementing every established feature.</w:t>
      </w:r>
    </w:p>
    <w:p w14:paraId="3C20CB9E" w14:textId="77777777" w:rsidR="002D6F66" w:rsidRDefault="00000000">
      <w:r>
        <w:lastRenderedPageBreak/>
        <w:t>The platform should not implement every specialized capability itself. Kubernetes or another executor remains responsible for resource scheduling, object stores for durable bulk storage, and established serving frameworks for efficient runtime execution. The novel research contribution lies in the contracts connecting those systems and in the evidence that those contracts generalize across workloads. A disciplined build-versus-integrate rubric asks whether a feature introduces a framework-independent semantic invariant, whether its implementation already exists in a stable external component, and whether duplicating it increases operational risk. For example, the platform should own model-version identity and approval history, but can delegate autoscaling and networking to an existing serving stack. This boundary keeps the prototype feasible and clarifies what results would constitute original contribution.</w:t>
      </w:r>
    </w:p>
    <w:p w14:paraId="5130372D" w14:textId="77777777" w:rsidR="002D6F66" w:rsidRDefault="00000000">
      <w:pPr>
        <w:pStyle w:val="Heading2"/>
      </w:pPr>
      <w:r>
        <w:t>13.3 Open problems</w:t>
      </w:r>
    </w:p>
    <w:p w14:paraId="41C19DD4" w14:textId="77777777" w:rsidR="002D6F66" w:rsidRDefault="00000000">
      <w:r>
        <w:t>Relevant future work includes standardized schemas for multimodal and agentic workloads, cross-language model signatures, privacy-preserving dataset fingerprints, reproducibility for external foundation-model APIs, federated or edge execution, cryptographic attestations across model lineage, continuous evaluation and automated compatibility testing as dependency ecosystems evolve. Extending to large-scale LLM fine-tuning and prompt/agent traces requires additional event and evaluation types rather than overloading scalar training metrics.</w:t>
      </w:r>
    </w:p>
    <w:p w14:paraId="3BD097BF" w14:textId="77777777" w:rsidR="002D6F66" w:rsidRDefault="00000000">
      <w:pPr>
        <w:pStyle w:val="Heading1"/>
      </w:pPr>
      <w:r>
        <w:t>14. Conclusion</w:t>
      </w:r>
    </w:p>
    <w:p w14:paraId="4C5A4A09" w14:textId="77777777" w:rsidR="002D6F66" w:rsidRDefault="00000000">
      <w:r>
        <w:t>This thesis proposes a general-purpose ML platform that is framework-agnostic at its core and framework-aware only where richer capabilities are explicitly requested. The conceptual contribution is a layered compatibility model: executable workloads and structured observations form a broad common denominator; library adapters, portable packaging and managed serving add capabilities without making them universal assumptions. Reliable state machines, immutable artifact manifests, provenance graphs and isolation between control and execution planes provide a coherent systems basis. The accompanying implementation roadmap and experimental protocol make the claims testable. Actual performance, coverage and reproducibility remain to be established by prototype construction and comparative measurement.</w:t>
      </w:r>
    </w:p>
    <w:p w14:paraId="3ED71855" w14:textId="77777777" w:rsidR="002D6F66" w:rsidRDefault="00000000">
      <w:pPr>
        <w:pStyle w:val="Heading1"/>
      </w:pPr>
      <w:r>
        <w:t>References</w:t>
      </w:r>
    </w:p>
    <w:p w14:paraId="5CCD3F48" w14:textId="77777777" w:rsidR="002D6F66" w:rsidRDefault="00000000">
      <w:r>
        <w:t>[1] MLflow Project. “MLflow Tracking.” Official documentation. https://mlflow.org/docs/latest/tracking/ (accessed 2026-10-20).</w:t>
      </w:r>
    </w:p>
    <w:p w14:paraId="49019528" w14:textId="77777777" w:rsidR="002D6F66" w:rsidRDefault="00000000">
      <w:r>
        <w:t>[2] MLflow Project. “MLflow Models.” Official documentation. https://mlflow.org/docs/latest/ml/model/ (accessed 2026-10-20).</w:t>
      </w:r>
    </w:p>
    <w:p w14:paraId="5CC3FDDD" w14:textId="77777777" w:rsidR="002D6F66" w:rsidRDefault="00000000">
      <w:r>
        <w:t>[3] MLflow Project. “mlflow.pyfunc.” Python API documentation. https://mlflow.org/docs/latest/api_reference/python_api/mlflow.pyfunc.html (accessed 2026-10-20).</w:t>
      </w:r>
    </w:p>
    <w:p w14:paraId="65EEFB6C" w14:textId="77777777" w:rsidR="002D6F66" w:rsidRDefault="00000000">
      <w:r>
        <w:t>[4] Kubeflow. “Pipeline: Conceptual Overview.” https://www.kubeflow.org/docs/components/pipelines/concepts/pipeline/ (accessed 2026-10-20).</w:t>
      </w:r>
    </w:p>
    <w:p w14:paraId="1C304CE8" w14:textId="77777777" w:rsidR="002D6F66" w:rsidRDefault="00000000">
      <w:r>
        <w:t>[5] DVC. “User Guide.” https://doc.dvc.org/user-guide (accessed 2026-10-20).</w:t>
      </w:r>
    </w:p>
    <w:p w14:paraId="04031EA0" w14:textId="77777777" w:rsidR="002D6F66" w:rsidRDefault="00000000">
      <w:r>
        <w:t>[6] OpenLineage. “OpenLineage Specification.” https://github.com/OpenLineage/OpenLineage/blob/main/spec/OpenLineage.md (accessed 2026-10-20).</w:t>
      </w:r>
    </w:p>
    <w:p w14:paraId="06BA9866" w14:textId="77777777" w:rsidR="002D6F66" w:rsidRDefault="00000000">
      <w:r>
        <w:t>[7] Kubernetes. “Jobs.” https://kubernetes.io/docs/concepts/workloads/controllers/job/ (accessed 2026-10-20).</w:t>
      </w:r>
    </w:p>
    <w:p w14:paraId="3F754457" w14:textId="77777777" w:rsidR="002D6F66" w:rsidRDefault="00000000">
      <w:r>
        <w:t>[8] KServe. “KServe Documentation.” https://kserve.github.io/website/ (accessed 2026-10-20).</w:t>
      </w:r>
    </w:p>
    <w:p w14:paraId="10CB9BCB" w14:textId="77777777" w:rsidR="002D6F66" w:rsidRDefault="00000000">
      <w:r>
        <w:t>[9] Ray Project. “Ray Train Documentation.” https://docs.ray.io/en/latest/train/train.html (accessed 2026-10-20).</w:t>
      </w:r>
    </w:p>
    <w:p w14:paraId="6E247A95" w14:textId="77777777" w:rsidR="002D6F66" w:rsidRDefault="00000000">
      <w:r>
        <w:t>[10] OpenTelemetry. “Specification.” https://opentelemetry.io/docs/specs/ (accessed 2026-10-20).</w:t>
      </w:r>
    </w:p>
    <w:p w14:paraId="087F9D0B" w14:textId="77777777" w:rsidR="002D6F66" w:rsidRDefault="00000000">
      <w:r>
        <w:lastRenderedPageBreak/>
        <w:t>[11] ONNX. “Open Neural Network Exchange.” https://onnx.ai/ (accessed 2026-10-20).</w:t>
      </w:r>
    </w:p>
    <w:p w14:paraId="22B86CAA" w14:textId="77777777" w:rsidR="002D6F66" w:rsidRDefault="00000000">
      <w:r>
        <w:t>[12] Feast. “Documentation.” https://docs.feast.dev/ (accessed 2026-10-20).</w:t>
      </w:r>
    </w:p>
    <w:p w14:paraId="182D7C0B" w14:textId="77777777" w:rsidR="002D6F66" w:rsidRDefault="00000000">
      <w:r>
        <w:t>[13] Apache Airflow. “Documentation.” https://airflow.apache.org/docs/ (accessed 2026-10-20).</w:t>
      </w:r>
    </w:p>
    <w:p w14:paraId="23FC7403" w14:textId="77777777" w:rsidR="002D6F66" w:rsidRDefault="00000000">
      <w:r>
        <w:t>[14] OCI. “Image Specification.” https://github.com/opencontainers/image-spec (accessed 2026-10-20).</w:t>
      </w:r>
    </w:p>
    <w:p w14:paraId="26FB4B8B" w14:textId="77777777" w:rsidR="002D6F66" w:rsidRDefault="00000000">
      <w:r>
        <w:t>[15] NIST. “AI Risk Management Framework (AI RMF 1.0).” NIST AI 100-1, 2023. https://doi.org/10.6028/NIST.AI.100-1.</w:t>
      </w:r>
    </w:p>
    <w:p w14:paraId="118DCCAB" w14:textId="77777777" w:rsidR="002D6F66" w:rsidRDefault="00000000">
      <w:r>
        <w:t>[16] Sculley, D., et al. “Hidden Technical Debt in Machine Learning Systems.” NeurIPS, 2015.</w:t>
      </w:r>
    </w:p>
    <w:p w14:paraId="07F1864E" w14:textId="77777777" w:rsidR="002D6F66" w:rsidRDefault="00000000">
      <w:r>
        <w:t>[17] Breck, E., et al. “The ML Test Score: A Rubric for ML Production Readiness and Technical Debt Reduction.” IEEE BigData, 2017.</w:t>
      </w:r>
    </w:p>
    <w:p w14:paraId="57BA0B11" w14:textId="77777777" w:rsidR="002D6F66" w:rsidRDefault="00000000">
      <w:r>
        <w:t>[18] Baylor, D., et al. “TFX: A TensorFlow-Based Production-Scale Machine Learning Platform.” KDD, 2017.</w:t>
      </w:r>
    </w:p>
    <w:p w14:paraId="174775E0" w14:textId="77777777" w:rsidR="002D6F66" w:rsidRDefault="00000000">
      <w:r>
        <w:t>[19] Zaharia, M., et al. “Accelerating the Machine Learning Lifecycle with MLflow.” IEEE Data Engineering Bulletin, 2018.</w:t>
      </w:r>
    </w:p>
    <w:p w14:paraId="2B81DF07" w14:textId="77777777" w:rsidR="002D6F66" w:rsidRDefault="00000000">
      <w:r>
        <w:t>[20] Vartak, M., et al. “ModelDB: A System for Machine Learning Model Management.” HILDA, 2016.</w:t>
      </w:r>
    </w:p>
    <w:p w14:paraId="3055E26A" w14:textId="77777777" w:rsidR="002D6F66" w:rsidRDefault="00000000">
      <w:r>
        <w:t>[21] Schelter, S., et al. “Automatically Tracking Metadata and Provenance of Machine Learning Experiments.” NeurIPS MLSys Workshop, 2017.</w:t>
      </w:r>
    </w:p>
    <w:p w14:paraId="69DBD24C" w14:textId="77777777" w:rsidR="002D6F66" w:rsidRDefault="00000000">
      <w:r>
        <w:t>[22] Mitchell, M., et al. “Model Cards for Model Reporting.” FAT*, 2019.</w:t>
      </w:r>
    </w:p>
    <w:p w14:paraId="311FACFD" w14:textId="77777777" w:rsidR="002D6F66" w:rsidRDefault="00000000">
      <w:r>
        <w:t>[23] Gebru, T., et al. “Datasheets for Datasets.” Communications of the ACM, 2021.</w:t>
      </w:r>
    </w:p>
    <w:p w14:paraId="273C37A9" w14:textId="77777777" w:rsidR="002D6F66" w:rsidRDefault="00000000">
      <w:r>
        <w:t>[24] OASIS. “OpenAPI Specification.” https://spec.openapis.org/oas/latest.html (accessed 2026-10-20).</w:t>
      </w:r>
    </w:p>
    <w:p w14:paraId="4C300863" w14:textId="77777777" w:rsidR="002D6F66" w:rsidRDefault="00000000">
      <w:r>
        <w:t>[25] PostgreSQL Global Development Group. “PostgreSQL Documentation.” https://www.postgresql.org/docs/ (accessed 2026-10-20).</w:t>
      </w:r>
    </w:p>
    <w:p w14:paraId="69BEAE6E" w14:textId="77777777" w:rsidR="002D6F66" w:rsidRDefault="00000000">
      <w:r>
        <w:t>[26] Amazon Web Services. “Amazon S3 Consistency Model.” https://docs.aws.amazon.com/AmazonS3/latest/userguide/Welcome.html (accessed 2026-10-20).</w:t>
      </w:r>
    </w:p>
    <w:p w14:paraId="5336A473" w14:textId="77777777" w:rsidR="002D6F66" w:rsidRDefault="00000000">
      <w:r>
        <w:t>[27] Sigstore. “Documentation.” https://docs.sigstore.dev/ (accessed 2026-10-20).</w:t>
      </w:r>
    </w:p>
    <w:p w14:paraId="724FBE98" w14:textId="77777777" w:rsidR="002D6F66" w:rsidRDefault="00000000">
      <w:r>
        <w:t>[28] SPDX. “Software Package Data Exchange Specification.” https://spdx.dev/ (accessed 2026-10-20).</w:t>
      </w:r>
    </w:p>
    <w:p w14:paraId="784FBFDB" w14:textId="77777777" w:rsidR="002D6F66" w:rsidRDefault="00000000">
      <w:pPr>
        <w:pStyle w:val="Heading1"/>
      </w:pPr>
      <w:r>
        <w:t>Appendix A. Example canonical run-event envelope</w:t>
      </w:r>
    </w:p>
    <w:p w14:paraId="26803177" w14:textId="77777777" w:rsidR="002D6F66" w:rsidRDefault="00000000">
      <w:r>
        <w:t>{</w:t>
      </w:r>
    </w:p>
    <w:p w14:paraId="1EF67447" w14:textId="77777777" w:rsidR="002D6F66" w:rsidRDefault="00000000">
      <w:r>
        <w:t xml:space="preserve">  "api_version": "gpmlp/v1",</w:t>
      </w:r>
    </w:p>
    <w:p w14:paraId="6FD79DA8" w14:textId="77777777" w:rsidR="002D6F66" w:rsidRDefault="00000000">
      <w:r>
        <w:t xml:space="preserve">  "tenant_id": "tenant-A",</w:t>
      </w:r>
    </w:p>
    <w:p w14:paraId="3DC83C61" w14:textId="77777777" w:rsidR="002D6F66" w:rsidRDefault="00000000">
      <w:r>
        <w:t xml:space="preserve">  "run_id": "run-uuid",</w:t>
      </w:r>
    </w:p>
    <w:p w14:paraId="45C122F0" w14:textId="77777777" w:rsidR="002D6F66" w:rsidRDefault="00000000">
      <w:r>
        <w:t xml:space="preserve">  "attempt_id": "attempt-uuid",</w:t>
      </w:r>
    </w:p>
    <w:p w14:paraId="1D6638E4" w14:textId="77777777" w:rsidR="002D6F66" w:rsidRDefault="00000000">
      <w:r>
        <w:t xml:space="preserve">  "event_key": "producer-scoped-idempotency-key",</w:t>
      </w:r>
    </w:p>
    <w:p w14:paraId="75A14549" w14:textId="77777777" w:rsidR="002D6F66" w:rsidRDefault="00000000">
      <w:r>
        <w:t xml:space="preserve">  "type": "metric.scalar",</w:t>
      </w:r>
    </w:p>
    <w:p w14:paraId="46EC0624" w14:textId="77777777" w:rsidR="002D6F66" w:rsidRDefault="00000000">
      <w:r>
        <w:t xml:space="preserve">  "payload": {"name": "validation_accuracy", "value": 0.91, "step": 8},</w:t>
      </w:r>
    </w:p>
    <w:p w14:paraId="67B48065" w14:textId="77777777" w:rsidR="002D6F66" w:rsidRDefault="00000000">
      <w:r>
        <w:t xml:space="preserve">  "producer": {"kind": "python-sdk", "version": "0.1.0"}</w:t>
      </w:r>
    </w:p>
    <w:p w14:paraId="12AEA36C" w14:textId="77777777" w:rsidR="002D6F66" w:rsidRDefault="00000000">
      <w:r>
        <w:t>}</w:t>
      </w:r>
    </w:p>
    <w:p w14:paraId="50C01BF5" w14:textId="77777777" w:rsidR="002D6F66" w:rsidRDefault="00000000">
      <w:pPr>
        <w:pStyle w:val="Heading1"/>
      </w:pPr>
      <w:r>
        <w:t>Appendix B. Example model artifact manifest</w:t>
      </w:r>
    </w:p>
    <w:p w14:paraId="74FD68E8" w14:textId="77777777" w:rsidR="002D6F66" w:rsidRDefault="00000000">
      <w:r>
        <w:t>schema_version: gpmlp.model/v1</w:t>
      </w:r>
    </w:p>
    <w:p w14:paraId="38AE837E" w14:textId="77777777" w:rsidR="002D6F66" w:rsidRDefault="00000000">
      <w:r>
        <w:t>model_name: classifier</w:t>
      </w:r>
    </w:p>
    <w:p w14:paraId="19F75251" w14:textId="77777777" w:rsidR="002D6F66" w:rsidRDefault="00000000">
      <w:r>
        <w:t>artifact_manifest_digest: sha256:...</w:t>
      </w:r>
    </w:p>
    <w:p w14:paraId="401DA33A" w14:textId="77777777" w:rsidR="002D6F66" w:rsidRDefault="00000000">
      <w:r>
        <w:t>framework: scikit-learn</w:t>
      </w:r>
    </w:p>
    <w:p w14:paraId="4C0BAB95" w14:textId="77777777" w:rsidR="002D6F66" w:rsidRDefault="00000000">
      <w:r>
        <w:t>framework_version: pinned-in-image</w:t>
      </w:r>
    </w:p>
    <w:p w14:paraId="76C23FDA" w14:textId="77777777" w:rsidR="002D6F66" w:rsidRDefault="00000000">
      <w:r>
        <w:lastRenderedPageBreak/>
        <w:t>runtime_image: registry.example/adapter@sha256:...</w:t>
      </w:r>
    </w:p>
    <w:p w14:paraId="15188E67" w14:textId="77777777" w:rsidR="002D6F66" w:rsidRDefault="00000000">
      <w:r>
        <w:t>capabilities: [tracking, load, predict_batch]</w:t>
      </w:r>
    </w:p>
    <w:p w14:paraId="6A1BB0CD" w14:textId="77777777" w:rsidR="002D6F66" w:rsidRDefault="00000000">
      <w:r>
        <w:t>input_signature: {format: arrow, columns: [feature_a, feature_b]}</w:t>
      </w:r>
    </w:p>
    <w:p w14:paraId="435A88D5" w14:textId="77777777" w:rsidR="002D6F66" w:rsidRDefault="00000000">
      <w:r>
        <w:t>provenance: {run_id: run-uuid, dataset_snapshot: sha256:...}</w:t>
      </w:r>
    </w:p>
    <w:p w14:paraId="03401D7D" w14:textId="77777777" w:rsidR="002D6F66" w:rsidRDefault="00000000">
      <w:r>
        <w:t>security: {sbom_uri: artifact://..., classification: internal}</w:t>
      </w:r>
    </w:p>
    <w:p w14:paraId="4DB7EA2C" w14:textId="77777777" w:rsidR="002D6F66" w:rsidRDefault="00000000">
      <w:pPr>
        <w:pStyle w:val="Heading1"/>
      </w:pPr>
      <w:r>
        <w:t>Appendix C. Minimum conformance checklist</w:t>
      </w:r>
    </w:p>
    <w:p w14:paraId="239F88CF" w14:textId="77777777" w:rsidR="002D6F66" w:rsidRDefault="00000000">
      <w:pPr>
        <w:pStyle w:val="ListBullet"/>
      </w:pPr>
      <w:r>
        <w:t>Validate v1 schema errors and forward-compatible optional facets.</w:t>
      </w:r>
    </w:p>
    <w:p w14:paraId="3A502A1E" w14:textId="77777777" w:rsidR="002D6F66" w:rsidRDefault="00000000">
      <w:pPr>
        <w:pStyle w:val="ListBullet"/>
      </w:pPr>
      <w:r>
        <w:t>Re-send an event with the same idempotency key and confirm exactly one stored event.</w:t>
      </w:r>
    </w:p>
    <w:p w14:paraId="306C8E3A" w14:textId="77777777" w:rsidR="002D6F66" w:rsidRDefault="00000000">
      <w:pPr>
        <w:pStyle w:val="ListBullet"/>
      </w:pPr>
      <w:r>
        <w:t>Kill a worker after upload but before finalization; verify reconciliation and no false success.</w:t>
      </w:r>
    </w:p>
    <w:p w14:paraId="4F990BEE" w14:textId="77777777" w:rsidR="002D6F66" w:rsidRDefault="00000000">
      <w:pPr>
        <w:pStyle w:val="ListBullet"/>
      </w:pPr>
      <w:r>
        <w:t>Attempt model alias promotion with a stale revision and verify optimistic-lock rejection.</w:t>
      </w:r>
    </w:p>
    <w:p w14:paraId="3D6B8087" w14:textId="77777777" w:rsidR="002D6F66" w:rsidRDefault="00000000">
      <w:pPr>
        <w:pStyle w:val="ListBullet"/>
      </w:pPr>
      <w:r>
        <w:t>Attempt cross-tenant artifact access using valid but unauthorized credentials.</w:t>
      </w:r>
    </w:p>
    <w:p w14:paraId="602E976E" w14:textId="77777777" w:rsidR="002D6F66" w:rsidRDefault="00000000">
      <w:pPr>
        <w:pStyle w:val="ListBullet"/>
      </w:pPr>
      <w:r>
        <w:t>Reproduce the published workload with pinned image and dataset snapshot.</w:t>
      </w:r>
    </w:p>
    <w:p w14:paraId="76742F60" w14:textId="77777777" w:rsidR="002D6F66" w:rsidRDefault="00000000">
      <w:pPr>
        <w:pStyle w:val="ListBullet"/>
      </w:pPr>
      <w:r>
        <w:t>Verify a generic R or shell workload can emit metrics without Python imports.</w:t>
      </w:r>
    </w:p>
    <w:p w14:paraId="624A5C9A" w14:textId="77777777" w:rsidR="002D6F66" w:rsidRDefault="00000000">
      <w:pPr>
        <w:pStyle w:val="ListBullet"/>
      </w:pPr>
      <w:r>
        <w:t>Verify an unservable model can still be registered as an artifact with clear capability status.</w:t>
      </w:r>
    </w:p>
    <w:p w14:paraId="59CF5AFB" w14:textId="77777777" w:rsidR="002D6F66" w:rsidRDefault="00000000">
      <w:pPr>
        <w:pStyle w:val="Heading1"/>
      </w:pPr>
      <w:r>
        <w:t>Appendix D. Detailed Engineering Specifications</w:t>
      </w:r>
    </w:p>
    <w:p w14:paraId="02E243A0" w14:textId="77777777" w:rsidR="002D6F66" w:rsidRDefault="00000000">
      <w:pPr>
        <w:pStyle w:val="Heading2"/>
      </w:pPr>
      <w:r>
        <w:t>D.1 Canonical API semantics and error vocabulary</w:t>
      </w:r>
    </w:p>
    <w:p w14:paraId="3D490EF1" w14:textId="77777777" w:rsidR="002D6F66" w:rsidRDefault="00000000">
      <w:r>
        <w:t>Resource APIs should present explicit idempotency, lifecycle and conditional-update rules. POST creates resources only when its idempotency key is unseen within the configured retention horizon; retrying the same request returns the initial response, while replay with materially different content yields a conflict. PUT is reserved for replaceable configurations, PATCH uses a revision token, and DELETE creates a tombstone when a resource is referenced by registered models or required audits. All list APIs must paginate using opaque cursors stable against practical insertion patterns, and must enforce tenant filtering before applying user search expressions. Client-visible errors should contain a stable machine code, human explanation, correlation ID and optional retry advice. Internal exception traces must not cross trust boundaries.</w:t>
      </w:r>
    </w:p>
    <w:p w14:paraId="36CF07C6" w14:textId="77777777" w:rsidR="002D6F66" w:rsidRDefault="00000000">
      <w:r>
        <w:t>Metrics are different from ordinary resource updates because repeated observations at successive training steps may legitimately have the same key and value. An event envelope uses a unique producer ID, sequence number, execution attempt and event identifier; the receiver enforces deduplication by event identifier but does not collapse equal-valued observations. The schema should support an original event time plus an ingestion time to quantify clock skew and pipeline delay. It should also specify a maximum request size, maximum tag cardinality and a policy for late events after termination. A terminal run can retain late diagnostic events in a separate stream, but those events cannot rewrite committed completion evidence.</w:t>
      </w:r>
    </w:p>
    <w:p w14:paraId="3F6A07B4" w14:textId="77777777" w:rsidR="002D6F66" w:rsidRDefault="00000000">
      <w:pPr>
        <w:pStyle w:val="Caption"/>
      </w:pPr>
      <w:r>
        <w:t>Table D1. Example public API responses and consistency promises.</w:t>
      </w:r>
    </w:p>
    <w:tbl>
      <w:tblPr>
        <w:tblStyle w:val="LightShading-Accent1"/>
        <w:tblW w:w="0" w:type="auto"/>
        <w:tblLook w:val="04A0" w:firstRow="1" w:lastRow="0" w:firstColumn="1" w:lastColumn="0" w:noHBand="0" w:noVBand="1"/>
      </w:tblPr>
      <w:tblGrid>
        <w:gridCol w:w="3197"/>
        <w:gridCol w:w="3197"/>
        <w:gridCol w:w="3197"/>
      </w:tblGrid>
      <w:tr w:rsidR="002D6F66" w14:paraId="63C576E1" w14:textId="77777777" w:rsidTr="002D6F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1B656E3" w14:textId="77777777" w:rsidR="002D6F66" w:rsidRDefault="00000000">
            <w:r>
              <w:t>Operation</w:t>
            </w:r>
          </w:p>
        </w:tc>
        <w:tc>
          <w:tcPr>
            <w:tcW w:w="3197" w:type="dxa"/>
          </w:tcPr>
          <w:p w14:paraId="2B301BC8" w14:textId="77777777" w:rsidR="002D6F66" w:rsidRDefault="00000000">
            <w:pPr>
              <w:cnfStyle w:val="100000000000" w:firstRow="1" w:lastRow="0" w:firstColumn="0" w:lastColumn="0" w:oddVBand="0" w:evenVBand="0" w:oddHBand="0" w:evenHBand="0" w:firstRowFirstColumn="0" w:firstRowLastColumn="0" w:lastRowFirstColumn="0" w:lastRowLastColumn="0"/>
            </w:pPr>
            <w:r>
              <w:t>Success meaning</w:t>
            </w:r>
          </w:p>
        </w:tc>
        <w:tc>
          <w:tcPr>
            <w:tcW w:w="3197" w:type="dxa"/>
          </w:tcPr>
          <w:p w14:paraId="6FA68EE9" w14:textId="77777777" w:rsidR="002D6F66" w:rsidRDefault="00000000">
            <w:pPr>
              <w:cnfStyle w:val="100000000000" w:firstRow="1" w:lastRow="0" w:firstColumn="0" w:lastColumn="0" w:oddVBand="0" w:evenVBand="0" w:oddHBand="0" w:evenHBand="0" w:firstRowFirstColumn="0" w:firstRowLastColumn="0" w:lastRowFirstColumn="0" w:lastRowLastColumn="0"/>
            </w:pPr>
            <w:r>
              <w:t>Important failure</w:t>
            </w:r>
          </w:p>
        </w:tc>
      </w:tr>
      <w:tr w:rsidR="002D6F66" w14:paraId="00128B31"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296E87DB" w14:textId="77777777" w:rsidR="002D6F66" w:rsidRDefault="00000000">
            <w:r>
              <w:t>Create run</w:t>
            </w:r>
          </w:p>
        </w:tc>
        <w:tc>
          <w:tcPr>
            <w:tcW w:w="3197" w:type="dxa"/>
          </w:tcPr>
          <w:p w14:paraId="105EA88A" w14:textId="77777777" w:rsidR="002D6F66" w:rsidRDefault="00000000">
            <w:pPr>
              <w:cnfStyle w:val="000000100000" w:firstRow="0" w:lastRow="0" w:firstColumn="0" w:lastColumn="0" w:oddVBand="0" w:evenVBand="0" w:oddHBand="1" w:evenHBand="0" w:firstRowFirstColumn="0" w:firstRowLastColumn="0" w:lastRowFirstColumn="0" w:lastRowLastColumn="0"/>
            </w:pPr>
            <w:r>
              <w:t>Durable identity and initial state committed</w:t>
            </w:r>
          </w:p>
        </w:tc>
        <w:tc>
          <w:tcPr>
            <w:tcW w:w="3197" w:type="dxa"/>
          </w:tcPr>
          <w:p w14:paraId="1A7470A8" w14:textId="77777777" w:rsidR="002D6F66" w:rsidRDefault="00000000">
            <w:pPr>
              <w:cnfStyle w:val="000000100000" w:firstRow="0" w:lastRow="0" w:firstColumn="0" w:lastColumn="0" w:oddVBand="0" w:evenVBand="0" w:oddHBand="1" w:evenHBand="0" w:firstRowFirstColumn="0" w:firstRowLastColumn="0" w:lastRowFirstColumn="0" w:lastRowLastColumn="0"/>
            </w:pPr>
            <w:r>
              <w:t>409 conflicting idempotency reuse</w:t>
            </w:r>
          </w:p>
        </w:tc>
      </w:tr>
      <w:tr w:rsidR="002D6F66" w14:paraId="54500418"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62728614" w14:textId="77777777" w:rsidR="002D6F66" w:rsidRDefault="00000000">
            <w:r>
              <w:t>Log metric</w:t>
            </w:r>
          </w:p>
        </w:tc>
        <w:tc>
          <w:tcPr>
            <w:tcW w:w="3197" w:type="dxa"/>
          </w:tcPr>
          <w:p w14:paraId="5E8E9EB5" w14:textId="77777777" w:rsidR="002D6F66" w:rsidRDefault="00000000">
            <w:pPr>
              <w:cnfStyle w:val="000000000000" w:firstRow="0" w:lastRow="0" w:firstColumn="0" w:lastColumn="0" w:oddVBand="0" w:evenVBand="0" w:oddHBand="0" w:evenHBand="0" w:firstRowFirstColumn="0" w:firstRowLastColumn="0" w:lastRowFirstColumn="0" w:lastRowLastColumn="0"/>
            </w:pPr>
            <w:r>
              <w:t>Event committed to declared durability boundary</w:t>
            </w:r>
          </w:p>
        </w:tc>
        <w:tc>
          <w:tcPr>
            <w:tcW w:w="3197" w:type="dxa"/>
          </w:tcPr>
          <w:p w14:paraId="206B6D62" w14:textId="77777777" w:rsidR="002D6F66" w:rsidRDefault="00000000">
            <w:pPr>
              <w:cnfStyle w:val="000000000000" w:firstRow="0" w:lastRow="0" w:firstColumn="0" w:lastColumn="0" w:oddVBand="0" w:evenVBand="0" w:oddHBand="0" w:evenHBand="0" w:firstRowFirstColumn="0" w:firstRowLastColumn="0" w:lastRowFirstColumn="0" w:lastRowLastColumn="0"/>
            </w:pPr>
            <w:r>
              <w:t>429 quota / 413 payload too large</w:t>
            </w:r>
          </w:p>
        </w:tc>
      </w:tr>
      <w:tr w:rsidR="002D6F66" w14:paraId="55C72B82"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1CB9EF1A" w14:textId="77777777" w:rsidR="002D6F66" w:rsidRDefault="00000000">
            <w:r>
              <w:t>Complete attempt</w:t>
            </w:r>
          </w:p>
        </w:tc>
        <w:tc>
          <w:tcPr>
            <w:tcW w:w="3197" w:type="dxa"/>
          </w:tcPr>
          <w:p w14:paraId="24167EE1" w14:textId="77777777" w:rsidR="002D6F66" w:rsidRDefault="00000000">
            <w:pPr>
              <w:cnfStyle w:val="000000100000" w:firstRow="0" w:lastRow="0" w:firstColumn="0" w:lastColumn="0" w:oddVBand="0" w:evenVBand="0" w:oddHBand="1" w:evenHBand="0" w:firstRowFirstColumn="0" w:firstRowLastColumn="0" w:lastRowFirstColumn="0" w:lastRowLastColumn="0"/>
            </w:pPr>
            <w:r>
              <w:t>Conditional terminal transition committed</w:t>
            </w:r>
          </w:p>
        </w:tc>
        <w:tc>
          <w:tcPr>
            <w:tcW w:w="3197" w:type="dxa"/>
          </w:tcPr>
          <w:p w14:paraId="0E0E4DB1" w14:textId="77777777" w:rsidR="002D6F66" w:rsidRDefault="00000000">
            <w:pPr>
              <w:cnfStyle w:val="000000100000" w:firstRow="0" w:lastRow="0" w:firstColumn="0" w:lastColumn="0" w:oddVBand="0" w:evenVBand="0" w:oddHBand="1" w:evenHBand="0" w:firstRowFirstColumn="0" w:firstRowLastColumn="0" w:lastRowFirstColumn="0" w:lastRowLastColumn="0"/>
            </w:pPr>
            <w:r>
              <w:t>409 stale lease or illegal transition</w:t>
            </w:r>
          </w:p>
        </w:tc>
      </w:tr>
      <w:tr w:rsidR="002D6F66" w14:paraId="2ED1395F"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54DCFA82" w14:textId="77777777" w:rsidR="002D6F66" w:rsidRDefault="00000000">
            <w:r>
              <w:t>Register model</w:t>
            </w:r>
          </w:p>
        </w:tc>
        <w:tc>
          <w:tcPr>
            <w:tcW w:w="3197" w:type="dxa"/>
          </w:tcPr>
          <w:p w14:paraId="3C8336BA" w14:textId="77777777" w:rsidR="002D6F66" w:rsidRDefault="00000000">
            <w:pPr>
              <w:cnfStyle w:val="000000000000" w:firstRow="0" w:lastRow="0" w:firstColumn="0" w:lastColumn="0" w:oddVBand="0" w:evenVBand="0" w:oddHBand="0" w:evenHBand="0" w:firstRowFirstColumn="0" w:firstRowLastColumn="0" w:lastRowFirstColumn="0" w:lastRowLastColumn="0"/>
            </w:pPr>
            <w:r>
              <w:t>Immutable version references verified manifest</w:t>
            </w:r>
          </w:p>
        </w:tc>
        <w:tc>
          <w:tcPr>
            <w:tcW w:w="3197" w:type="dxa"/>
          </w:tcPr>
          <w:p w14:paraId="10D74DD2" w14:textId="77777777" w:rsidR="002D6F66" w:rsidRDefault="00000000">
            <w:pPr>
              <w:cnfStyle w:val="000000000000" w:firstRow="0" w:lastRow="0" w:firstColumn="0" w:lastColumn="0" w:oddVBand="0" w:evenVBand="0" w:oddHBand="0" w:evenHBand="0" w:firstRowFirstColumn="0" w:firstRowLastColumn="0" w:lastRowFirstColumn="0" w:lastRowLastColumn="0"/>
            </w:pPr>
            <w:r>
              <w:t>422 missing signature or incompatible artifact</w:t>
            </w:r>
          </w:p>
        </w:tc>
      </w:tr>
      <w:tr w:rsidR="002D6F66" w14:paraId="7825892F"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2B92C150" w14:textId="77777777" w:rsidR="002D6F66" w:rsidRDefault="00000000">
            <w:r>
              <w:t>Move alias</w:t>
            </w:r>
          </w:p>
        </w:tc>
        <w:tc>
          <w:tcPr>
            <w:tcW w:w="3197" w:type="dxa"/>
          </w:tcPr>
          <w:p w14:paraId="380EDEB3" w14:textId="77777777" w:rsidR="002D6F66" w:rsidRDefault="00000000">
            <w:pPr>
              <w:cnfStyle w:val="000000100000" w:firstRow="0" w:lastRow="0" w:firstColumn="0" w:lastColumn="0" w:oddVBand="0" w:evenVBand="0" w:oddHBand="1" w:evenHBand="0" w:firstRowFirstColumn="0" w:firstRowLastColumn="0" w:lastRowFirstColumn="0" w:lastRowLastColumn="0"/>
            </w:pPr>
            <w:r>
              <w:t>Revision-checked pointer update</w:t>
            </w:r>
          </w:p>
        </w:tc>
        <w:tc>
          <w:tcPr>
            <w:tcW w:w="3197" w:type="dxa"/>
          </w:tcPr>
          <w:p w14:paraId="2D823B31" w14:textId="77777777" w:rsidR="002D6F66" w:rsidRDefault="00000000">
            <w:pPr>
              <w:cnfStyle w:val="000000100000" w:firstRow="0" w:lastRow="0" w:firstColumn="0" w:lastColumn="0" w:oddVBand="0" w:evenVBand="0" w:oddHBand="1" w:evenHBand="0" w:firstRowFirstColumn="0" w:firstRowLastColumn="0" w:lastRowFirstColumn="0" w:lastRowLastColumn="0"/>
            </w:pPr>
            <w:r>
              <w:t>412 revision precondition failed</w:t>
            </w:r>
          </w:p>
        </w:tc>
      </w:tr>
      <w:tr w:rsidR="002D6F66" w14:paraId="74CD87FB"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530CCDBA" w14:textId="77777777" w:rsidR="002D6F66" w:rsidRDefault="00000000">
            <w:r>
              <w:t>Read lineage</w:t>
            </w:r>
          </w:p>
        </w:tc>
        <w:tc>
          <w:tcPr>
            <w:tcW w:w="3197" w:type="dxa"/>
          </w:tcPr>
          <w:p w14:paraId="2D3D49F0" w14:textId="77777777" w:rsidR="002D6F66" w:rsidRDefault="00000000">
            <w:pPr>
              <w:cnfStyle w:val="000000000000" w:firstRow="0" w:lastRow="0" w:firstColumn="0" w:lastColumn="0" w:oddVBand="0" w:evenVBand="0" w:oddHBand="0" w:evenHBand="0" w:firstRowFirstColumn="0" w:firstRowLastColumn="0" w:lastRowFirstColumn="0" w:lastRowLastColumn="0"/>
            </w:pPr>
            <w:r>
              <w:t xml:space="preserve">Authorized paginated graph </w:t>
            </w:r>
            <w:r>
              <w:lastRenderedPageBreak/>
              <w:t>snapshot</w:t>
            </w:r>
          </w:p>
        </w:tc>
        <w:tc>
          <w:tcPr>
            <w:tcW w:w="3197" w:type="dxa"/>
          </w:tcPr>
          <w:p w14:paraId="234A4F36" w14:textId="77777777" w:rsidR="002D6F66"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403 unauthorized edge / 404 </w:t>
            </w:r>
            <w:r>
              <w:lastRenderedPageBreak/>
              <w:t>hidden target</w:t>
            </w:r>
          </w:p>
        </w:tc>
      </w:tr>
    </w:tbl>
    <w:p w14:paraId="0BE69F53" w14:textId="77777777" w:rsidR="002D6F66" w:rsidRDefault="00000000">
      <w:pPr>
        <w:pStyle w:val="Heading2"/>
      </w:pPr>
      <w:r>
        <w:lastRenderedPageBreak/>
        <w:t>D.2 Run controller reconciliation algorithm</w:t>
      </w:r>
    </w:p>
    <w:p w14:paraId="297ADF70" w14:textId="77777777" w:rsidR="002D6F66" w:rsidRDefault="00000000">
      <w:r>
        <w:t>The controller is a level-triggered reconciler rather than a callback-only process. It repeatedly compares desired state from the metadata database with observed state from the execution backend. For each eligible run attempt, it verifies quota, credentials, image availability and artifact input accessibility before requesting a job. When the backend returns a job identifier, the controller records it with an optimistic revision check. A second controller that sees the same task cannot launch a second effective attempt if the backend request uses a deterministic submission identity. If the backend lacks idempotent job creation, a compensating lookup is required before retrying.</w:t>
      </w:r>
    </w:p>
    <w:p w14:paraId="69DA8C93" w14:textId="77777777" w:rsidR="002D6F66" w:rsidRDefault="00000000">
      <w:r>
        <w:t>While the job is active, the agent heartbeat maintains a lease. After missed heartbeats the reconciler first queries backend status; absence of a heartbeat does not prove the process has stopped. If the job is known terminated, the controller finalizes or retries according to exit cause and policy. If the backend is unreachable, the run enters an explicitly uncertain observation state, while authoritative metadata remains unchanged until more evidence arrives. Exponential backoff and jitter avoid retry storms. Every decision emits an audit event with observed backend state, controller version and current lease epoch.</w:t>
      </w:r>
    </w:p>
    <w:p w14:paraId="004FC8C9" w14:textId="77777777" w:rsidR="002D6F66" w:rsidRDefault="00000000">
      <w:r>
        <w:t>A simplified correctness argument depends on three assumptions: (a) all state updates use serializable or equivalent conditional database writes; (b) each attempt has a monotonically increasing lease epoch; and (c) completion requires a verified artifact manifest. Under these assumptions, two concurrent workers cannot both commit distinct terminal outcomes for the same attempt, because only one transition can satisfy the expected revision and epoch predicate. This does not guarantee exactly-once external computation: a job may have executed twice even if a single terminal result is committed. The design therefore promises exactly-once authoritative transition recording, not exactly-once execution of arbitrary user side effects.</w:t>
      </w:r>
    </w:p>
    <w:p w14:paraId="0FD67148" w14:textId="77777777" w:rsidR="002D6F66" w:rsidRDefault="00000000">
      <w:pPr>
        <w:pStyle w:val="Heading2"/>
      </w:pPr>
      <w:r>
        <w:t>D.3 Artifact manifest validation</w:t>
      </w:r>
    </w:p>
    <w:p w14:paraId="30C49BB8" w14:textId="77777777" w:rsidR="002D6F66" w:rsidRDefault="00000000">
      <w:r>
        <w:t>Before publication, artifact validation canonicalizes relative paths, forbids traversal paths and symlink escapes, checks per-file digests, counts entries and computes the total uncompressed size. Archive extraction is not necessary for all object types and should be limited by decompression-ratio and nesting-depth protections. The broker stores opaque bytes without deserializing model objects. Per-tenant encryption boundaries and authorization scopes must be enforced independently of global content hashes. A background sweeper identifies uploads with no committed manifest, but waits beyond a configured safety grace interval and checks active leases before deletion.</w:t>
      </w:r>
    </w:p>
    <w:p w14:paraId="0196AB69" w14:textId="77777777" w:rsidR="002D6F66" w:rsidRDefault="00000000">
      <w:r>
        <w:t>Large artifacts may be represented through a Merkle-style manifest whose leaves reference fixed or variable-sized chunks. This enables resumed uploads and verification without re-hashing unrelated blocks, although chunking increases metadata overhead and may complicate provider interoperability. A production design must decide whether hashes represent ciphertext or plaintext; ciphertext digesting supports storage integrity across encrypted replicas, whereas plaintext digests better represent logical content. If both are retained, their relationship is sensitive metadata and must not be made public across tenants.</w:t>
      </w:r>
    </w:p>
    <w:p w14:paraId="0C3A7E5D" w14:textId="77777777" w:rsidR="002D6F66" w:rsidRDefault="00000000">
      <w:pPr>
        <w:pStyle w:val="Heading2"/>
      </w:pPr>
      <w:r>
        <w:t>D.4 Registry lineage and governance proof obligations</w:t>
      </w:r>
    </w:p>
    <w:p w14:paraId="3B0E7780" w14:textId="77777777" w:rsidR="002D6F66" w:rsidRDefault="00000000">
      <w:r>
        <w:t>A model promotion decision should be reproducible as an auditable function of immutable evidence and versioned policy. Inputs include model version, evaluation dataset revision, evaluation metrics and thresholds, reviewer approval, vulnerability assessment and any regulatory constraints. The result records policy revision, decision timestamp, actor, evidence manifest digests and reasons for acceptance or rejection. The mutable alias changes only after the evidence has been persisted. This ensures that a future auditor can explain why a specific model version was promoted, even after a newer version takes its place.</w:t>
      </w:r>
    </w:p>
    <w:p w14:paraId="350B33F1" w14:textId="77777777" w:rsidR="002D6F66" w:rsidRDefault="00000000">
      <w:r>
        <w:t xml:space="preserve">Model lineage can contain non-training transformations: a checkpoint may be distilled, quantized, converted to ONNX or wrapped with preprocessing and safety filters. Each resulting artifact must receive a distinct version or derivative identity and point to its parent. If evaluation is performed on a different build </w:t>
      </w:r>
      <w:r>
        <w:lastRenderedPageBreak/>
        <w:t>from the deployed one, the platform should flag the mismatch. An optional deployment attestation binds the model artifact digest, server image digest, environment configuration and validation result into one immutable statement. This is especially important for custom model runtimes whose behavior is not captured by a model weights file alone.</w:t>
      </w:r>
    </w:p>
    <w:p w14:paraId="09D47CD2" w14:textId="77777777" w:rsidR="002D6F66" w:rsidRDefault="00000000">
      <w:pPr>
        <w:pStyle w:val="Heading2"/>
      </w:pPr>
      <w:r>
        <w:t>D.5 Capacity sizing example with explicitly hypothetical inputs</w:t>
      </w:r>
    </w:p>
    <w:p w14:paraId="37C536B7" w14:textId="77777777" w:rsidR="002D6F66" w:rsidRDefault="00000000">
      <w:r>
        <w:t>For an illustrative design—not a measured benchmark—assume 500 simultaneously running experiments, each submitting 2 scalar metric records every second, with an average encoded record size of 350 bytes before indexing and replication. The raw event arrival rate is 1,000 events/s, corresponding to 350,000 bytes/s or approximately 30.2 GB/day of uncompressed metric bodies. Database indexes, write-ahead logs, replication, protocol overhead and storage alignment may multiply the actual footprint. Retaining high-frequency metric streams indefinitely in a relational table is therefore costly; a viable retention policy can compact old data into columnar files while preserving summary statistics and graph provenance in the transactional store.</w:t>
      </w:r>
    </w:p>
    <w:p w14:paraId="23D0EDB0" w14:textId="77777777" w:rsidR="002D6F66" w:rsidRDefault="00000000">
      <w:r>
        <w:t>If 2,000 runs complete daily and produce 250 MB of artifacts each, new raw artifact volume would be 500 GB/day, about 15 TB over a 30-day period before replicas and deduplication. These figures are hypothetical inputs to a sizing exercise, not general ML industry averages. Capacity engineering should incorporate percentiles of artifact sizes, bursty upload behavior, egress charges, queue backlogs, legal retention and deletion lag. The proposed platform should meter physical bytes, logical referenced bytes and object request counts per project so that quotas can reflect actual resource consumption.</w:t>
      </w:r>
    </w:p>
    <w:p w14:paraId="213B3F4C" w14:textId="77777777" w:rsidR="002D6F66" w:rsidRDefault="00000000">
      <w:pPr>
        <w:pStyle w:val="Caption"/>
      </w:pPr>
      <w:r>
        <w:t>Table D2. Hypothetical sizing scenario; replace with measured workload data.</w:t>
      </w:r>
    </w:p>
    <w:tbl>
      <w:tblPr>
        <w:tblStyle w:val="LightShading-Accent1"/>
        <w:tblW w:w="0" w:type="auto"/>
        <w:tblLook w:val="04A0" w:firstRow="1" w:lastRow="0" w:firstColumn="1" w:lastColumn="0" w:noHBand="0" w:noVBand="1"/>
      </w:tblPr>
      <w:tblGrid>
        <w:gridCol w:w="3197"/>
        <w:gridCol w:w="3197"/>
        <w:gridCol w:w="3197"/>
      </w:tblGrid>
      <w:tr w:rsidR="002D6F66" w14:paraId="49191818" w14:textId="77777777" w:rsidTr="002D6F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78F80F96" w14:textId="77777777" w:rsidR="002D6F66" w:rsidRDefault="00000000">
            <w:r>
              <w:t>Parameter</w:t>
            </w:r>
          </w:p>
        </w:tc>
        <w:tc>
          <w:tcPr>
            <w:tcW w:w="3197" w:type="dxa"/>
          </w:tcPr>
          <w:p w14:paraId="5F7AEA8C" w14:textId="77777777" w:rsidR="002D6F66" w:rsidRDefault="00000000">
            <w:pPr>
              <w:cnfStyle w:val="100000000000" w:firstRow="1" w:lastRow="0" w:firstColumn="0" w:lastColumn="0" w:oddVBand="0" w:evenVBand="0" w:oddHBand="0" w:evenHBand="0" w:firstRowFirstColumn="0" w:firstRowLastColumn="0" w:lastRowFirstColumn="0" w:lastRowLastColumn="0"/>
            </w:pPr>
            <w:r>
              <w:t>Illustrative value</w:t>
            </w:r>
          </w:p>
        </w:tc>
        <w:tc>
          <w:tcPr>
            <w:tcW w:w="3197" w:type="dxa"/>
          </w:tcPr>
          <w:p w14:paraId="0984DCD9" w14:textId="77777777" w:rsidR="002D6F66"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2D6F66" w14:paraId="4C6D9B0C"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2BE3173" w14:textId="77777777" w:rsidR="002D6F66" w:rsidRDefault="00000000">
            <w:r>
              <w:t>Concurrent runs</w:t>
            </w:r>
          </w:p>
        </w:tc>
        <w:tc>
          <w:tcPr>
            <w:tcW w:w="3197" w:type="dxa"/>
          </w:tcPr>
          <w:p w14:paraId="357BF5B9" w14:textId="77777777" w:rsidR="002D6F66" w:rsidRDefault="00000000">
            <w:pPr>
              <w:cnfStyle w:val="000000100000" w:firstRow="0" w:lastRow="0" w:firstColumn="0" w:lastColumn="0" w:oddVBand="0" w:evenVBand="0" w:oddHBand="1" w:evenHBand="0" w:firstRowFirstColumn="0" w:firstRowLastColumn="0" w:lastRowFirstColumn="0" w:lastRowLastColumn="0"/>
            </w:pPr>
            <w:r>
              <w:t>500</w:t>
            </w:r>
          </w:p>
        </w:tc>
        <w:tc>
          <w:tcPr>
            <w:tcW w:w="3197" w:type="dxa"/>
          </w:tcPr>
          <w:p w14:paraId="6F8E9817" w14:textId="77777777" w:rsidR="002D6F66" w:rsidRDefault="00000000">
            <w:pPr>
              <w:cnfStyle w:val="000000100000" w:firstRow="0" w:lastRow="0" w:firstColumn="0" w:lastColumn="0" w:oddVBand="0" w:evenVBand="0" w:oddHBand="1" w:evenHBand="0" w:firstRowFirstColumn="0" w:firstRowLastColumn="0" w:lastRowFirstColumn="0" w:lastRowLastColumn="0"/>
            </w:pPr>
            <w:r>
              <w:t>Active worker population</w:t>
            </w:r>
          </w:p>
        </w:tc>
      </w:tr>
      <w:tr w:rsidR="002D6F66" w14:paraId="4ACDF110"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23E1FC65" w14:textId="77777777" w:rsidR="002D6F66" w:rsidRDefault="00000000">
            <w:r>
              <w:t>Metrics per run per second</w:t>
            </w:r>
          </w:p>
        </w:tc>
        <w:tc>
          <w:tcPr>
            <w:tcW w:w="3197" w:type="dxa"/>
          </w:tcPr>
          <w:p w14:paraId="2F9C6AC9" w14:textId="77777777" w:rsidR="002D6F66" w:rsidRDefault="00000000">
            <w:pPr>
              <w:cnfStyle w:val="000000000000" w:firstRow="0" w:lastRow="0" w:firstColumn="0" w:lastColumn="0" w:oddVBand="0" w:evenVBand="0" w:oddHBand="0" w:evenHBand="0" w:firstRowFirstColumn="0" w:firstRowLastColumn="0" w:lastRowFirstColumn="0" w:lastRowLastColumn="0"/>
            </w:pPr>
            <w:r>
              <w:t>2</w:t>
            </w:r>
          </w:p>
        </w:tc>
        <w:tc>
          <w:tcPr>
            <w:tcW w:w="3197" w:type="dxa"/>
          </w:tcPr>
          <w:p w14:paraId="1EB96E6C" w14:textId="77777777" w:rsidR="002D6F66" w:rsidRDefault="00000000">
            <w:pPr>
              <w:cnfStyle w:val="000000000000" w:firstRow="0" w:lastRow="0" w:firstColumn="0" w:lastColumn="0" w:oddVBand="0" w:evenVBand="0" w:oddHBand="0" w:evenHBand="0" w:firstRowFirstColumn="0" w:firstRowLastColumn="0" w:lastRowFirstColumn="0" w:lastRowLastColumn="0"/>
            </w:pPr>
            <w:r>
              <w:t>Average during training</w:t>
            </w:r>
          </w:p>
        </w:tc>
      </w:tr>
      <w:tr w:rsidR="002D6F66" w14:paraId="7084E034"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59A5C5C2" w14:textId="77777777" w:rsidR="002D6F66" w:rsidRDefault="00000000">
            <w:r>
              <w:t>Metric ingress</w:t>
            </w:r>
          </w:p>
        </w:tc>
        <w:tc>
          <w:tcPr>
            <w:tcW w:w="3197" w:type="dxa"/>
          </w:tcPr>
          <w:p w14:paraId="47A0803D" w14:textId="77777777" w:rsidR="002D6F66" w:rsidRDefault="00000000">
            <w:pPr>
              <w:cnfStyle w:val="000000100000" w:firstRow="0" w:lastRow="0" w:firstColumn="0" w:lastColumn="0" w:oddVBand="0" w:evenVBand="0" w:oddHBand="1" w:evenHBand="0" w:firstRowFirstColumn="0" w:firstRowLastColumn="0" w:lastRowFirstColumn="0" w:lastRowLastColumn="0"/>
            </w:pPr>
            <w:r>
              <w:t>1,000 events/s</w:t>
            </w:r>
          </w:p>
        </w:tc>
        <w:tc>
          <w:tcPr>
            <w:tcW w:w="3197" w:type="dxa"/>
          </w:tcPr>
          <w:p w14:paraId="7364790D" w14:textId="77777777" w:rsidR="002D6F66" w:rsidRDefault="00000000">
            <w:pPr>
              <w:cnfStyle w:val="000000100000" w:firstRow="0" w:lastRow="0" w:firstColumn="0" w:lastColumn="0" w:oddVBand="0" w:evenVBand="0" w:oddHBand="1" w:evenHBand="0" w:firstRowFirstColumn="0" w:firstRowLastColumn="0" w:lastRowFirstColumn="0" w:lastRowLastColumn="0"/>
            </w:pPr>
            <w:r>
              <w:t>500 × 2</w:t>
            </w:r>
          </w:p>
        </w:tc>
      </w:tr>
      <w:tr w:rsidR="002D6F66" w14:paraId="65D5C511"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349A2E17" w14:textId="77777777" w:rsidR="002D6F66" w:rsidRDefault="00000000">
            <w:r>
              <w:t>Average event payload</w:t>
            </w:r>
          </w:p>
        </w:tc>
        <w:tc>
          <w:tcPr>
            <w:tcW w:w="3197" w:type="dxa"/>
          </w:tcPr>
          <w:p w14:paraId="19E7044C" w14:textId="77777777" w:rsidR="002D6F66" w:rsidRDefault="00000000">
            <w:pPr>
              <w:cnfStyle w:val="000000000000" w:firstRow="0" w:lastRow="0" w:firstColumn="0" w:lastColumn="0" w:oddVBand="0" w:evenVBand="0" w:oddHBand="0" w:evenHBand="0" w:firstRowFirstColumn="0" w:firstRowLastColumn="0" w:lastRowFirstColumn="0" w:lastRowLastColumn="0"/>
            </w:pPr>
            <w:r>
              <w:t>350 B</w:t>
            </w:r>
          </w:p>
        </w:tc>
        <w:tc>
          <w:tcPr>
            <w:tcW w:w="3197" w:type="dxa"/>
          </w:tcPr>
          <w:p w14:paraId="4E9C8637" w14:textId="77777777" w:rsidR="002D6F66" w:rsidRDefault="00000000">
            <w:pPr>
              <w:cnfStyle w:val="000000000000" w:firstRow="0" w:lastRow="0" w:firstColumn="0" w:lastColumn="0" w:oddVBand="0" w:evenVBand="0" w:oddHBand="0" w:evenHBand="0" w:firstRowFirstColumn="0" w:firstRowLastColumn="0" w:lastRowFirstColumn="0" w:lastRowLastColumn="0"/>
            </w:pPr>
            <w:r>
              <w:t>Excludes indexes and replication</w:t>
            </w:r>
          </w:p>
        </w:tc>
      </w:tr>
      <w:tr w:rsidR="002D6F66" w14:paraId="5769E374"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54F61C41" w14:textId="77777777" w:rsidR="002D6F66" w:rsidRDefault="00000000">
            <w:r>
              <w:t>Completed runs per day</w:t>
            </w:r>
          </w:p>
        </w:tc>
        <w:tc>
          <w:tcPr>
            <w:tcW w:w="3197" w:type="dxa"/>
          </w:tcPr>
          <w:p w14:paraId="00A6C5DB" w14:textId="77777777" w:rsidR="002D6F66" w:rsidRDefault="00000000">
            <w:pPr>
              <w:cnfStyle w:val="000000100000" w:firstRow="0" w:lastRow="0" w:firstColumn="0" w:lastColumn="0" w:oddVBand="0" w:evenVBand="0" w:oddHBand="1" w:evenHBand="0" w:firstRowFirstColumn="0" w:firstRowLastColumn="0" w:lastRowFirstColumn="0" w:lastRowLastColumn="0"/>
            </w:pPr>
            <w:r>
              <w:t>2,000</w:t>
            </w:r>
          </w:p>
        </w:tc>
        <w:tc>
          <w:tcPr>
            <w:tcW w:w="3197" w:type="dxa"/>
          </w:tcPr>
          <w:p w14:paraId="190106AD" w14:textId="77777777" w:rsidR="002D6F66" w:rsidRDefault="00000000">
            <w:pPr>
              <w:cnfStyle w:val="000000100000" w:firstRow="0" w:lastRow="0" w:firstColumn="0" w:lastColumn="0" w:oddVBand="0" w:evenVBand="0" w:oddHBand="1" w:evenHBand="0" w:firstRowFirstColumn="0" w:firstRowLastColumn="0" w:lastRowFirstColumn="0" w:lastRowLastColumn="0"/>
            </w:pPr>
            <w:r>
              <w:t>Assumed lifecycle volume</w:t>
            </w:r>
          </w:p>
        </w:tc>
      </w:tr>
      <w:tr w:rsidR="002D6F66" w14:paraId="1BE545B3" w14:textId="77777777" w:rsidTr="002D6F66">
        <w:tc>
          <w:tcPr>
            <w:cnfStyle w:val="001000000000" w:firstRow="0" w:lastRow="0" w:firstColumn="1" w:lastColumn="0" w:oddVBand="0" w:evenVBand="0" w:oddHBand="0" w:evenHBand="0" w:firstRowFirstColumn="0" w:firstRowLastColumn="0" w:lastRowFirstColumn="0" w:lastRowLastColumn="0"/>
            <w:tcW w:w="3197" w:type="dxa"/>
          </w:tcPr>
          <w:p w14:paraId="1447BEDC" w14:textId="77777777" w:rsidR="002D6F66" w:rsidRDefault="00000000">
            <w:r>
              <w:t>Artifact size per run</w:t>
            </w:r>
          </w:p>
        </w:tc>
        <w:tc>
          <w:tcPr>
            <w:tcW w:w="3197" w:type="dxa"/>
          </w:tcPr>
          <w:p w14:paraId="1F71B452" w14:textId="77777777" w:rsidR="002D6F66" w:rsidRDefault="00000000">
            <w:pPr>
              <w:cnfStyle w:val="000000000000" w:firstRow="0" w:lastRow="0" w:firstColumn="0" w:lastColumn="0" w:oddVBand="0" w:evenVBand="0" w:oddHBand="0" w:evenHBand="0" w:firstRowFirstColumn="0" w:firstRowLastColumn="0" w:lastRowFirstColumn="0" w:lastRowLastColumn="0"/>
            </w:pPr>
            <w:r>
              <w:t>250 MB</w:t>
            </w:r>
          </w:p>
        </w:tc>
        <w:tc>
          <w:tcPr>
            <w:tcW w:w="3197" w:type="dxa"/>
          </w:tcPr>
          <w:p w14:paraId="681F82AE" w14:textId="77777777" w:rsidR="002D6F66" w:rsidRDefault="00000000">
            <w:pPr>
              <w:cnfStyle w:val="000000000000" w:firstRow="0" w:lastRow="0" w:firstColumn="0" w:lastColumn="0" w:oddVBand="0" w:evenVBand="0" w:oddHBand="0" w:evenHBand="0" w:firstRowFirstColumn="0" w:firstRowLastColumn="0" w:lastRowFirstColumn="0" w:lastRowLastColumn="0"/>
            </w:pPr>
            <w:r>
              <w:t>Illustrative arithmetic mean</w:t>
            </w:r>
          </w:p>
        </w:tc>
      </w:tr>
      <w:tr w:rsidR="002D6F66" w14:paraId="5037814E" w14:textId="77777777" w:rsidTr="002D6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45AF9A80" w14:textId="77777777" w:rsidR="002D6F66" w:rsidRDefault="00000000">
            <w:r>
              <w:t>Artifact creation per day</w:t>
            </w:r>
          </w:p>
        </w:tc>
        <w:tc>
          <w:tcPr>
            <w:tcW w:w="3197" w:type="dxa"/>
          </w:tcPr>
          <w:p w14:paraId="7CC6FC5C" w14:textId="77777777" w:rsidR="002D6F66" w:rsidRDefault="00000000">
            <w:pPr>
              <w:cnfStyle w:val="000000100000" w:firstRow="0" w:lastRow="0" w:firstColumn="0" w:lastColumn="0" w:oddVBand="0" w:evenVBand="0" w:oddHBand="1" w:evenHBand="0" w:firstRowFirstColumn="0" w:firstRowLastColumn="0" w:lastRowFirstColumn="0" w:lastRowLastColumn="0"/>
            </w:pPr>
            <w:r>
              <w:t>500 GB</w:t>
            </w:r>
          </w:p>
        </w:tc>
        <w:tc>
          <w:tcPr>
            <w:tcW w:w="3197" w:type="dxa"/>
          </w:tcPr>
          <w:p w14:paraId="78CC49C8" w14:textId="77777777" w:rsidR="002D6F66" w:rsidRDefault="00000000">
            <w:pPr>
              <w:cnfStyle w:val="000000100000" w:firstRow="0" w:lastRow="0" w:firstColumn="0" w:lastColumn="0" w:oddVBand="0" w:evenVBand="0" w:oddHBand="1" w:evenHBand="0" w:firstRowFirstColumn="0" w:firstRowLastColumn="0" w:lastRowFirstColumn="0" w:lastRowLastColumn="0"/>
            </w:pPr>
            <w:r>
              <w:t>Excludes replication and retention overhead</w:t>
            </w:r>
          </w:p>
        </w:tc>
      </w:tr>
    </w:tbl>
    <w:p w14:paraId="7C686CB7" w14:textId="77777777" w:rsidR="002D6F66" w:rsidRDefault="00000000">
      <w:pPr>
        <w:pStyle w:val="Heading2"/>
      </w:pPr>
      <w:r>
        <w:t>D.6 Test fixture and conformance harness</w:t>
      </w:r>
    </w:p>
    <w:p w14:paraId="4D1FB173" w14:textId="77777777" w:rsidR="002D6F66" w:rsidRDefault="00000000">
      <w:r>
        <w:t>The conformance repository should publish container images and pinned dependencies for each workload family, alongside a small open dataset or deterministic generated data. Each fixture declares a capabilities.yml file specifying target adapter levels, permitted operating systems, expected output types and expected failure cases. A test coordinator provisions fresh projects and temporary credentials, executes each fixture, queries the platform APIs, validates artifact integrity and performs a controlled replay. Results are written as machine-readable JSON containing test ID, assertion result, runtime versions and environment digests. A compatibility dashboard must list skipped, unsupported and failed outcomes separately.</w:t>
      </w:r>
    </w:p>
    <w:p w14:paraId="53E7641D" w14:textId="77777777" w:rsidR="002D6F66" w:rsidRDefault="00000000">
      <w:r>
        <w:t>Representative positive tests cover scalar metrics with monotonic and non-monotonic steps, artifacts with nested folders, checkpoint restart, registry version creation, batch prediction and online prediction where compatible. Negative tests cover malformed schemas, duplicate event keys, expired upload sessions, unauthorized artifact references, deleted dataset snapshots, unsupported model signatures, corrupted digests, hostile path names and stale lease epochs. Conformance fixtures should remain minimal enough to be maintained when framework versions change, yet realistic enough to expose genuinely incompatible callback and serialization behavior.</w:t>
      </w:r>
    </w:p>
    <w:p w14:paraId="6EF8967B" w14:textId="77777777" w:rsidR="002D6F66" w:rsidRDefault="00000000">
      <w:pPr>
        <w:pStyle w:val="Heading2"/>
      </w:pPr>
      <w:r>
        <w:lastRenderedPageBreak/>
        <w:t>D.7 Operational service-level indicators</w:t>
      </w:r>
    </w:p>
    <w:p w14:paraId="51B1E6BE" w14:textId="77777777" w:rsidR="002D6F66" w:rsidRDefault="00000000">
      <w:r>
        <w:t>Platform reliability requires end-to-end service-level indicators rather than an availability graph for individual API containers. A user-visible run-create SLI counts authorized valid requests that result in a durable run identity. An event-ingest SLI counts records committed by the documented acknowledgment boundary. A job-start SLI measures delay between accepted execution intent and worker start, partitioned by whether sufficient resources were available. An artifact publication SLI measures the interval from completed transfer to verified manifest visibility. A model-serving SLI records per-runtime successes, errors and latency, disaggregated by tenant and deployment.</w:t>
      </w:r>
    </w:p>
    <w:p w14:paraId="30EDDCD1" w14:textId="77777777" w:rsidR="002D6F66" w:rsidRDefault="00000000">
      <w:r>
        <w:t>Error budgets should be configured by workload criticality and deployment tier. A multi-tenant research service may prioritize cost efficiency and interactive responsiveness, while regulated production inference may require stronger isolation, audit retention and disaster recovery. Alerting needs to detect sustained backlog growth, lease expiration storms, finalization stalls, orphaned object growth, excessive metrics cardinality, authorization denial anomalies and inconsistent registry references. Runbooks should provide safe reconciler restarts, queue drain procedures, database failover rules and manual incident annotations without rewriting historical events.</w:t>
      </w:r>
    </w:p>
    <w:p w14:paraId="303D16F1" w14:textId="77777777" w:rsidR="002D6F66" w:rsidRDefault="00000000">
      <w:pPr>
        <w:pStyle w:val="Heading2"/>
      </w:pPr>
      <w:r>
        <w:t>D.8 Benchmark statistical worksheet</w:t>
      </w:r>
    </w:p>
    <w:p w14:paraId="32A5ED4C" w14:textId="77777777" w:rsidR="002D6F66" w:rsidRDefault="00000000">
      <w:r>
        <w:t>For every configuration, the test report should publish trial count, mean, median, standard deviation and percentile estimates with confidence intervals. In the compatibility study, the denominator is the predefined number of framework-version-capability test cases. Report scores both including and excluding documented unsupported capabilities to avoid conflating breadth and implementation reliability. For performance, use paired differences between instrumented and control training jobs to reduce machine variability. Do not aggregate CPU-only and GPU workloads into a single overhead percentage without a stratified summary.</w:t>
      </w:r>
    </w:p>
    <w:p w14:paraId="228D5CF8" w14:textId="77777777" w:rsidR="002D6F66" w:rsidRDefault="00000000">
      <w:r>
        <w:t>To measure recovery correctness, inject failures at transaction boundaries selected by a deterministic seed: before job submission, after submission but before metadata receipt, during metric upload, after artifact transfer, during registry promotion and during worker termination. After reconciliation settles, assert that each attempt has one terminal authoritative result, no unauthorized artifact remains readable and the lineage graph contains no dangling published references. Track both safety violations and liveness failures. A zero-violation observation supports a bounded empirical claim only for the tested fault model; it is not a proof of universal fault tolerance.</w:t>
      </w:r>
    </w:p>
    <w:p w14:paraId="24346033" w14:textId="77777777" w:rsidR="002D6F66" w:rsidRDefault="00000000">
      <w:pPr>
        <w:pStyle w:val="Heading2"/>
      </w:pPr>
      <w:r>
        <w:t>D.9 Research ethics and reproducible release package</w:t>
      </w:r>
    </w:p>
    <w:p w14:paraId="085B50A9" w14:textId="77777777" w:rsidR="002D6F66" w:rsidRDefault="00000000">
      <w:r>
        <w:t>A defensible research artifact should include source code, architectural decision records, an API schema, database migrations, container build definitions, sanitized configuration examples, published synthetic or redistributable datasets, benchmark scripts and raw measurement logs. The report must distinguish copied upstream implementation ideas from original contribution and honor licenses of pretrained models and datasets. Credentials, internal endpoints and identifiable user records should never be included in public experiments. A responsible disclosure process is advisable when security testing discovers a vulnerability in an upstream platform.</w:t>
      </w:r>
    </w:p>
    <w:p w14:paraId="3232057D" w14:textId="77777777" w:rsidR="002D6F66" w:rsidRDefault="00000000">
      <w:r>
        <w:t>The eventual experimental thesis should replace provisional acceptance criteria with actual measurements, describe failed experiments as well as successful ones, and revise the claims accordingly. Where the evaluation cannot directly compare operationally equivalent feature sets, the paper should present a qualitative tradeoff analysis and refrain from numerical ranking. These practices make the proposed design suitable as a graduate research plan and a foundation for a later evidence-backed systems paper.</w:t>
      </w:r>
    </w:p>
    <w:p w14:paraId="440958B0" w14:textId="77777777" w:rsidR="002D6F66" w:rsidRDefault="00000000">
      <w:pPr>
        <w:pStyle w:val="Heading1"/>
      </w:pPr>
      <w:r>
        <w:lastRenderedPageBreak/>
        <w:t>Appendix E. Design Decisions, Alternatives, and Research Deliverables</w:t>
      </w:r>
    </w:p>
    <w:p w14:paraId="359C2E55" w14:textId="77777777" w:rsidR="002D6F66" w:rsidRDefault="00000000">
      <w:pPr>
        <w:pStyle w:val="Heading2"/>
      </w:pPr>
      <w:r>
        <w:t>E.1 Monolith, microservices, and a modular core</w:t>
      </w:r>
    </w:p>
    <w:p w14:paraId="43AA36EA" w14:textId="77777777" w:rsidR="002D6F66" w:rsidRDefault="00000000">
      <w:r>
        <w:t>A platform prototype should not automatically deploy each domain concept as an independent service. Independent processes introduce distributed transactions, access-control propagation, retry semantics and operational overhead. The recommended initial implementation is a modular control-plane application with strict package boundaries for run tracking, manifests, registry and lineage, paired with isolated execution agents. High-volume paths such as event ingestion, artifact handling and workflow reconciliation can be separated into services after profiles demonstrate a scaling or isolation requirement. This approach tests conceptual modularity before accepting the cost of many deployable units.</w:t>
      </w:r>
    </w:p>
    <w:p w14:paraId="74098626" w14:textId="77777777" w:rsidR="002D6F66" w:rsidRDefault="00000000">
      <w:r>
        <w:t>A counterargument is that a modular monolith can conceal coupling and become difficult to evolve. To mitigate this, packages interact through versioned interface schemas and ownership of database tables, dependency direction is tested, and each subsystem maintains contract tests. Crucially, the execution plane is separate from the start because arbitrary user code should never execute in the authority domain of control-plane services. The deployment topology may change while the logical architecture, event semantics and security boundaries remain stable.</w:t>
      </w:r>
    </w:p>
    <w:p w14:paraId="2C6C4329" w14:textId="77777777" w:rsidR="002D6F66" w:rsidRDefault="00000000">
      <w:pPr>
        <w:pStyle w:val="Heading2"/>
      </w:pPr>
      <w:r>
        <w:t>E.2 Choosing a metadata backend</w:t>
      </w:r>
    </w:p>
    <w:p w14:paraId="50595057" w14:textId="77777777" w:rsidR="002D6F66" w:rsidRDefault="00000000">
      <w:r>
        <w:t>PostgreSQL is recommended because it offers transactional uniqueness constraints, foreign keys, indexing and conditional updates appropriate for run and registry invariants. Time-series metric volumes may eventually justify partitioned tables or a columnar archival store. A search index is useful for large-scale free-text or high-cardinality metadata queries, but should be treated as a derived read model rather than a source of truth. A graph database may accelerate deep traversal of model ancestry, yet an adjacency table with indexed source and target identities is easier to operate during the research prototype. Database choice should be revisited against measured query workloads, not adopted merely because the domain contains graphs.</w:t>
      </w:r>
    </w:p>
    <w:p w14:paraId="0D6BE849" w14:textId="77777777" w:rsidR="002D6F66" w:rsidRDefault="00000000">
      <w:pPr>
        <w:pStyle w:val="Heading2"/>
      </w:pPr>
      <w:r>
        <w:t>E.3 Choosing an orchestration engine</w:t>
      </w:r>
    </w:p>
    <w:p w14:paraId="7FBAE15A" w14:textId="77777777" w:rsidR="002D6F66" w:rsidRDefault="00000000">
      <w:r>
        <w:t>Kubernetes Jobs provide a portable substrate for isolated workload execution and resource controls. A DAG controller can implement basic dependencies itself, but mature workflow engines have extensive retry, memoization, scheduling and user-interface features. Three alternatives merit a prototype spike: a minimal in-house DAG reconciler using Kubernetes Jobs, Kubeflow Pipelines as an execution backend, and a general-purpose orchestrator. The decision matrix should score time-to-implement, workflow semantics, metadata linking, dependency overhead, operational complexity and the ability to export pipelines. A fair evaluation must include integration engineering time.</w:t>
      </w:r>
    </w:p>
    <w:p w14:paraId="3F6439AC" w14:textId="77777777" w:rsidR="002D6F66" w:rsidRDefault="00000000">
      <w:pPr>
        <w:pStyle w:val="Heading2"/>
      </w:pPr>
      <w:r>
        <w:t>E.4 Compatibility preservation across releases</w:t>
      </w:r>
    </w:p>
    <w:p w14:paraId="03055E9E" w14:textId="77777777" w:rsidR="002D6F66" w:rsidRDefault="00000000">
      <w:r>
        <w:t>Framework support degrades if adapters are not continuously tested. A version matrix should record operating-system base image, Python or language runtime, framework release range, CUDA/driver assumptions and model file format. Dependency resolution must follow the platform support policy: published stable releases, a supported long-term version track if available, and an experimental lane for new releases. A failing new library version should not retroactively remove a passing older release. Every advertised compatibility entry should link to an executable conformance report and identifiable runner image digest.</w:t>
      </w:r>
    </w:p>
    <w:p w14:paraId="000B92CB" w14:textId="77777777" w:rsidR="002D6F66" w:rsidRDefault="00000000">
      <w:r>
        <w:t>Some users intentionally require nightly versions, private forks or custom operators. The general process contract can still execute these workloads and preserve artifacts even where native autologging is unsupported. The UI must represent the resulting support level explicitly rather than presenting partial instrumentation as complete integration. Support documentation should distinguish “can execute,” “can track,” “can deserialize,” “can run batch prediction,” and “can expose a validated online endpoint.” These are materially different claims.</w:t>
      </w:r>
    </w:p>
    <w:p w14:paraId="570B1C7C" w14:textId="77777777" w:rsidR="002D6F66" w:rsidRDefault="00000000">
      <w:pPr>
        <w:pStyle w:val="Heading2"/>
      </w:pPr>
      <w:r>
        <w:lastRenderedPageBreak/>
        <w:t>E.5 Interpretation of research hypotheses</w:t>
      </w:r>
    </w:p>
    <w:p w14:paraId="6050AE5C" w14:textId="77777777" w:rsidR="002D6F66" w:rsidRDefault="00000000">
      <w:r>
        <w:t>The first hypothesis tests whether lowering the mandatory interface to a command-and-artifact contract increases the number of distinct executable workloads relative to frameworks requiring typed estimator objects. Success is not merely that commands can launch; the run must retain a verifiable input reference, environment identity, outcome and output manifest. The second hypothesis tests extensibility through engineering effort: record development hours and adapter-specific lines of code, and repeat with newly selected libraries after the first implementation. The third hypothesis tests whether strict state transition constraints prevent contradictory terminal states during injected faults. The fourth hypothesis measures ingestion cost while checking that asynchronous batching respects explicitly defined durability boundaries.</w:t>
      </w:r>
    </w:p>
    <w:p w14:paraId="123DEF38" w14:textId="77777777" w:rsidR="002D6F66" w:rsidRDefault="00000000">
      <w:r>
        <w:t>Hypotheses can fail or be qualified. A broad process wrapper may sacrifice observability users consider essential. Content hashing may dominate workload time for huge datasets. Adapter capability negotiation may prove too difficult to maintain across frameworks, and Kubernetes startup overhead may make short interactive jobs unattractive. The evaluation design must include these possibilities, with negative evidence treated as a design input rather than hidden by a revised success definition.</w:t>
      </w:r>
    </w:p>
    <w:p w14:paraId="6D0EEB1E" w14:textId="77777777" w:rsidR="002D6F66" w:rsidRDefault="00000000">
      <w:pPr>
        <w:pStyle w:val="Heading2"/>
      </w:pPr>
      <w:r>
        <w:t>E.6 Thesis-to-implementation traceability</w:t>
      </w:r>
    </w:p>
    <w:p w14:paraId="705ECB71" w14:textId="77777777" w:rsidR="002D6F66" w:rsidRDefault="00000000">
      <w:r>
        <w:t>Each central assertion should map to an implementation artifact and test. Framework independence maps to the L0/L1 CLI and conformance matrix. Safe model version identity maps to canonical manifests, checksum validation and immutability tests. Recovery semantics map to the lease-epoch state transition code and fault-injection suite. Cross-tenant isolation maps to authorization-policy tests across run, object and registry endpoints. Reproducibility maps to pinned runtime descriptors, data snapshot manifests and rerun comparisons. Operating scalability maps to load generators, queue metrics and storage accounting. The published paper should include a traceability table with repository commit hashes and experiment output digests once implementation is complete.</w:t>
      </w:r>
    </w:p>
    <w:p w14:paraId="7FAF9D77" w14:textId="77777777" w:rsidR="002D6F66" w:rsidRDefault="00000000">
      <w:pPr>
        <w:pStyle w:val="Heading2"/>
      </w:pPr>
      <w:r>
        <w:t>E.7 Suggested final academic deliverables</w:t>
      </w:r>
    </w:p>
    <w:p w14:paraId="0F38E255" w14:textId="77777777" w:rsidR="002D6F66" w:rsidRDefault="00000000">
      <w:r>
        <w:t>The final empirical submission should contain a clear distinction between design evaluation and implementation evaluation. Design evaluation assesses semantic coherence, formal invariants, comparative coverage and threat-model completeness. Implementation evaluation provides demonstrable services, testable interfaces, measured performance, comparative benchmarks and failure injection. Required research deliverables should include: a conceptual architecture diagram; API schema and example clients; metadata DDL; a reusable adapter interface; a sample workload corpus; a compatibility matrix; benchmark harness; test logs; reproducibility instructions; an explicit limitations section; and source-linked literature references. Committee or journal formatting requirements, reference style and departmental title-page rules should be applied before formal submission.</w:t>
      </w:r>
    </w:p>
    <w:p w14:paraId="144F9359" w14:textId="77777777" w:rsidR="002D6F66" w:rsidRDefault="00000000">
      <w:pPr>
        <w:pStyle w:val="Heading1"/>
      </w:pPr>
      <w:r>
        <w:t>Appendix F. Detailed Implementation Scenarios and Transaction Contracts</w:t>
      </w:r>
    </w:p>
    <w:p w14:paraId="4BD48736" w14:textId="77777777" w:rsidR="002D6F66" w:rsidRDefault="00000000">
      <w:r>
        <w:t>This appendix turns the architectural proposal into concrete, testable engineering contracts. Each scenario defines inputs, state transitions, durable side effects, failure responses, and acceptance criteria. These are proposed design commitments, not claims about a completed implementation. The purpose is to make framework independence operational: a system cannot be called general-purpose merely because it stores arbitrary strings and files; it must provide stable lifecycle semantics under heterogeneous runtimes and predictable failure conditions.</w:t>
      </w:r>
    </w:p>
    <w:p w14:paraId="33540034" w14:textId="77777777" w:rsidR="002D6F66" w:rsidRDefault="00000000">
      <w:pPr>
        <w:pStyle w:val="Heading2"/>
      </w:pPr>
      <w:r>
        <w:t>F.1 End-to-end execution: from experiment request to immutable result</w:t>
      </w:r>
    </w:p>
    <w:p w14:paraId="38989FB6" w14:textId="77777777" w:rsidR="002D6F66" w:rsidRDefault="00000000">
      <w:r>
        <w:t xml:space="preserve">Consider a researcher submitting a training job using a custom command-line program written in Julia, followed by an evaluation script in Python. The caller creates an experiment with an organization-scoped identifier and supplies a run specification comprising source revision, container image digest, arguments, environment references, requested resource envelope, dataset references, and an artifact destination. The API validates the manifest against a versioned schema before allocating a run identifier. It must not inspect </w:t>
      </w:r>
      <w:r>
        <w:lastRenderedPageBreak/>
        <w:t>the training library to decide whether the submission is valid: the generic contract needs only a runnable entry point and the declared inputs. Library-aware metadata is optional.</w:t>
      </w:r>
    </w:p>
    <w:p w14:paraId="5233D445" w14:textId="77777777" w:rsidR="002D6F66" w:rsidRDefault="00000000">
      <w:r>
        <w:t>A successful creation request performs a single metadata transaction: insert the run in QUEUED state, record a specification hash, assign an idempotency key, and append an outbox event. The scheduler consumes the outbox event asynchronously and resolves the placement policy. If the scheduler is offline, the run remains durably queued. If the client retries after a timeout, the same idempotency key and compatible payload return the original identifier, whereas a different payload under that key produces a conflict. This distinction prevents duplicate training charges or untraceable sibling experiments.</w:t>
      </w:r>
    </w:p>
    <w:p w14:paraId="29633C06" w14:textId="77777777" w:rsidR="002D6F66" w:rsidRDefault="00000000">
      <w:r>
        <w:t>Once a worker is selected, a controller creates an attempt record and a lease. The worker obtains scoped credentials and mounts inputs read-only whenever possible. It writes metrics as append-only events; the platform adds server receipt time and preserves any client-provided iteration, epoch, or logical step. Logs are streamed with an at-least-once delivery contract, so consumers must tolerate duplicate chunks or use sequence identifiers. A worker may emit a structured completion record, but the final successful state is assigned only after artifact manifests are validated and committed. If the process exits successfully while its artifact upload fails, the attempt enters a recoverable finalization state instead of being incorrectly marked SUCCEEDED.</w:t>
      </w:r>
    </w:p>
    <w:p w14:paraId="5F028DAA" w14:textId="77777777" w:rsidR="002D6F66" w:rsidRDefault="00000000">
      <w:r>
        <w:t>A complete success path is therefore: validate request; persist run; enqueue via outbox; acquire lease; stage data; run user code; ingest events; upload outputs to temporary keys; verify artifact checksums; commit manifest; finalize attempt; publish terminal event. The terminal event carries the run identifier, attempt identifier, committed manifest digest, and monotonic metadata version. Downstream jobs that need an input model subscribe to this event or query the versioned run record. They never treat the presence of a temporary object in blob storage as evidence of a successful upstream task.</w:t>
      </w:r>
    </w:p>
    <w:tbl>
      <w:tblPr>
        <w:tblStyle w:val="TableGrid"/>
        <w:tblW w:w="0" w:type="auto"/>
        <w:tblLook w:val="04A0" w:firstRow="1" w:lastRow="0" w:firstColumn="1" w:lastColumn="0" w:noHBand="0" w:noVBand="1"/>
      </w:tblPr>
      <w:tblGrid>
        <w:gridCol w:w="3197"/>
        <w:gridCol w:w="3197"/>
        <w:gridCol w:w="3197"/>
      </w:tblGrid>
      <w:tr w:rsidR="002D6F66" w14:paraId="44B131C2" w14:textId="77777777">
        <w:tc>
          <w:tcPr>
            <w:tcW w:w="3197" w:type="dxa"/>
          </w:tcPr>
          <w:p w14:paraId="0001AAA6" w14:textId="77777777" w:rsidR="002D6F66" w:rsidRDefault="00000000">
            <w:r>
              <w:t>Stage</w:t>
            </w:r>
          </w:p>
        </w:tc>
        <w:tc>
          <w:tcPr>
            <w:tcW w:w="3197" w:type="dxa"/>
          </w:tcPr>
          <w:p w14:paraId="5AFC4765" w14:textId="77777777" w:rsidR="002D6F66" w:rsidRDefault="00000000">
            <w:r>
              <w:t>Durable invariant</w:t>
            </w:r>
          </w:p>
        </w:tc>
        <w:tc>
          <w:tcPr>
            <w:tcW w:w="3197" w:type="dxa"/>
          </w:tcPr>
          <w:p w14:paraId="1B4BC42A" w14:textId="77777777" w:rsidR="002D6F66" w:rsidRDefault="00000000">
            <w:r>
              <w:t>Failure handling</w:t>
            </w:r>
          </w:p>
        </w:tc>
      </w:tr>
      <w:tr w:rsidR="002D6F66" w14:paraId="7FBD6E62" w14:textId="77777777">
        <w:tc>
          <w:tcPr>
            <w:tcW w:w="3197" w:type="dxa"/>
          </w:tcPr>
          <w:p w14:paraId="5CCEC9A6" w14:textId="77777777" w:rsidR="002D6F66" w:rsidRDefault="00000000">
            <w:r>
              <w:t>Submission</w:t>
            </w:r>
          </w:p>
        </w:tc>
        <w:tc>
          <w:tcPr>
            <w:tcW w:w="3197" w:type="dxa"/>
          </w:tcPr>
          <w:p w14:paraId="041ACDE9" w14:textId="77777777" w:rsidR="002D6F66" w:rsidRDefault="00000000">
            <w:r>
              <w:t>One logical run per valid idempotency key</w:t>
            </w:r>
          </w:p>
        </w:tc>
        <w:tc>
          <w:tcPr>
            <w:tcW w:w="3197" w:type="dxa"/>
          </w:tcPr>
          <w:p w14:paraId="135A06A4" w14:textId="77777777" w:rsidR="002D6F66" w:rsidRDefault="00000000">
            <w:r>
              <w:t>Retry resolves same run; key mismatch is a conflict</w:t>
            </w:r>
          </w:p>
        </w:tc>
      </w:tr>
      <w:tr w:rsidR="002D6F66" w14:paraId="3D350B2E" w14:textId="77777777">
        <w:tc>
          <w:tcPr>
            <w:tcW w:w="3197" w:type="dxa"/>
          </w:tcPr>
          <w:p w14:paraId="21409745" w14:textId="77777777" w:rsidR="002D6F66" w:rsidRDefault="00000000">
            <w:r>
              <w:t>Placement</w:t>
            </w:r>
          </w:p>
        </w:tc>
        <w:tc>
          <w:tcPr>
            <w:tcW w:w="3197" w:type="dxa"/>
          </w:tcPr>
          <w:p w14:paraId="45F7FAAC" w14:textId="77777777" w:rsidR="002D6F66" w:rsidRDefault="00000000">
            <w:r>
              <w:t>One active lease per attempt generation</w:t>
            </w:r>
          </w:p>
        </w:tc>
        <w:tc>
          <w:tcPr>
            <w:tcW w:w="3197" w:type="dxa"/>
          </w:tcPr>
          <w:p w14:paraId="555872B2" w14:textId="77777777" w:rsidR="002D6F66" w:rsidRDefault="00000000">
            <w:r>
              <w:t>Expired lease causes reassignment with new fencing token</w:t>
            </w:r>
          </w:p>
        </w:tc>
      </w:tr>
      <w:tr w:rsidR="002D6F66" w14:paraId="059C0E61" w14:textId="77777777">
        <w:tc>
          <w:tcPr>
            <w:tcW w:w="3197" w:type="dxa"/>
          </w:tcPr>
          <w:p w14:paraId="36FAA87F" w14:textId="77777777" w:rsidR="002D6F66" w:rsidRDefault="00000000">
            <w:r>
              <w:t>Execution</w:t>
            </w:r>
          </w:p>
        </w:tc>
        <w:tc>
          <w:tcPr>
            <w:tcW w:w="3197" w:type="dxa"/>
          </w:tcPr>
          <w:p w14:paraId="491EE03C" w14:textId="77777777" w:rsidR="002D6F66" w:rsidRDefault="00000000">
            <w:r>
              <w:t>Metric events have stable run/attempt/sequence identity</w:t>
            </w:r>
          </w:p>
        </w:tc>
        <w:tc>
          <w:tcPr>
            <w:tcW w:w="3197" w:type="dxa"/>
          </w:tcPr>
          <w:p w14:paraId="408D3E4E" w14:textId="77777777" w:rsidR="002D6F66" w:rsidRDefault="00000000">
            <w:r>
              <w:t>Duplicates are deduplicated or explicitly retained as replays</w:t>
            </w:r>
          </w:p>
        </w:tc>
      </w:tr>
      <w:tr w:rsidR="002D6F66" w14:paraId="344B6D95" w14:textId="77777777">
        <w:tc>
          <w:tcPr>
            <w:tcW w:w="3197" w:type="dxa"/>
          </w:tcPr>
          <w:p w14:paraId="4EE0631F" w14:textId="77777777" w:rsidR="002D6F66" w:rsidRDefault="00000000">
            <w:r>
              <w:t>Artifact commit</w:t>
            </w:r>
          </w:p>
        </w:tc>
        <w:tc>
          <w:tcPr>
            <w:tcW w:w="3197" w:type="dxa"/>
          </w:tcPr>
          <w:p w14:paraId="11478BD5" w14:textId="77777777" w:rsidR="002D6F66" w:rsidRDefault="00000000">
            <w:r>
              <w:t>Manifest references verified immutable objects</w:t>
            </w:r>
          </w:p>
        </w:tc>
        <w:tc>
          <w:tcPr>
            <w:tcW w:w="3197" w:type="dxa"/>
          </w:tcPr>
          <w:p w14:paraId="00CC2F9E" w14:textId="77777777" w:rsidR="002D6F66" w:rsidRDefault="00000000">
            <w:r>
              <w:t>Orphaned temporary uploads are garbage-collected later</w:t>
            </w:r>
          </w:p>
        </w:tc>
      </w:tr>
      <w:tr w:rsidR="002D6F66" w14:paraId="0C004BBC" w14:textId="77777777">
        <w:tc>
          <w:tcPr>
            <w:tcW w:w="3197" w:type="dxa"/>
          </w:tcPr>
          <w:p w14:paraId="4CB7B4E9" w14:textId="77777777" w:rsidR="002D6F66" w:rsidRDefault="00000000">
            <w:r>
              <w:t>Finalization</w:t>
            </w:r>
          </w:p>
        </w:tc>
        <w:tc>
          <w:tcPr>
            <w:tcW w:w="3197" w:type="dxa"/>
          </w:tcPr>
          <w:p w14:paraId="3EA4346F" w14:textId="77777777" w:rsidR="002D6F66" w:rsidRDefault="00000000">
            <w:r>
              <w:t>Terminal state follows manifest validation</w:t>
            </w:r>
          </w:p>
        </w:tc>
        <w:tc>
          <w:tcPr>
            <w:tcW w:w="3197" w:type="dxa"/>
          </w:tcPr>
          <w:p w14:paraId="3C7C6A21" w14:textId="77777777" w:rsidR="002D6F66" w:rsidRDefault="00000000">
            <w:r>
              <w:t>Retry finalization without rerunning computation</w:t>
            </w:r>
          </w:p>
        </w:tc>
      </w:tr>
    </w:tbl>
    <w:p w14:paraId="02661350" w14:textId="77777777" w:rsidR="002D6F66" w:rsidRDefault="00000000">
      <w:pPr>
        <w:pStyle w:val="Heading2"/>
      </w:pPr>
      <w:r>
        <w:t>F.2 Capability discovery, negotiation, and fallback</w:t>
      </w:r>
    </w:p>
    <w:p w14:paraId="20FF9764" w14:textId="77777777" w:rsidR="002D6F66" w:rsidRDefault="00000000">
      <w:r>
        <w:t>Interoperability requires an explicit distinction between a base execution contract and richer integrations. On initialization, an adapter declares supported capabilities using a versioned descriptor. Examples include metric autologging, checkpoint export, signature inference, environment reconstruction, model loading, prediction, streaming input, and accelerator support. Each capability needs a machine-readable identifier, contract version, supported runtime constraints, and known limitations. Absence of a capability is not automatically an error; it becomes an error only when the job specification requires that capability.</w:t>
      </w:r>
    </w:p>
    <w:p w14:paraId="085F9B12" w14:textId="77777777" w:rsidR="002D6F66" w:rsidRDefault="00000000">
      <w:r>
        <w:t xml:space="preserve">A negotiation request supplies desired and required capability sets. The platform computes the intersection of user requirements, adapter declarations, worker support, and governance policy. Required capabilities that cannot be satisfied terminate submission with an actionable explanation. Optional ones may be omitted with a structured warning. For example, a program based on a new JAX release may run through a generic container adapter and log metrics, while automatic checkpoint inspection remains </w:t>
      </w:r>
      <w:r>
        <w:lastRenderedPageBreak/>
        <w:t>unavailable. The system should present this honestly as execution compatibility rather than full semantic integration.</w:t>
      </w:r>
    </w:p>
    <w:p w14:paraId="56CCAD72" w14:textId="77777777" w:rsidR="002D6F66" w:rsidRDefault="00000000">
      <w:r>
        <w:t>Capability descriptors must be pinned at the time the run starts. Without this restriction, a mutable adapter installed halfway through an experiment could change its serializing behavior and undermine reproducibility. An adapter lock record should capture adapter identity, semantic version, implementation digest, host-language version, and resolved dependency information. These fields are included in the run environment manifest and made available to experiment comparison queries.</w:t>
      </w:r>
    </w:p>
    <w:p w14:paraId="0526D931" w14:textId="77777777" w:rsidR="002D6F66" w:rsidRDefault="00000000">
      <w:r>
        <w:t>A compatibility failure should be localized. Suppose a PyTorch adapter successfully records training metrics but cannot serialize a custom compiled operator. The system must preserve the run and its logged events, mark the serialization capability as failed with a typed reason, and permit a custom user-provided artifact packager. A plugin exception should not terminate the entire tracking service. Isolation is achieved using separate processes or containers, bounded execution times, request budgets, and serialization boundaries; Python dynamic imports alone do not provide a strong security boundary.</w:t>
      </w:r>
    </w:p>
    <w:p w14:paraId="3E66DA0F" w14:textId="77777777" w:rsidR="002D6F66" w:rsidRDefault="00000000">
      <w:pPr>
        <w:pStyle w:val="Heading2"/>
      </w:pPr>
      <w:r>
        <w:t>F.3 Data contracts, dataset identity, and leakage prevention</w:t>
      </w:r>
    </w:p>
    <w:p w14:paraId="0AC84034" w14:textId="77777777" w:rsidR="002D6F66" w:rsidRDefault="00000000">
      <w:r>
        <w:t>Dataset provenance is complicated because the same logical dataset may be represented as a SQL query, snapshot of a warehouse table, directory tree, stream offset range, or dynamically computed feature view. The platform should therefore maintain two identifiers: a logical dataset identity indicating its role and ownership, and a concrete materialization identity indicating exactly which bytes or records were consumed. A useful dataset record includes origin URI or query template, source snapshot or transaction boundary, schema fingerprint, optional content digest, policy labels, feature transformation digest, and capture timestamp. The system must label provenance incomplete when exact input reconstruction is impossible.</w:t>
      </w:r>
    </w:p>
    <w:p w14:paraId="3F53BAB2" w14:textId="77777777" w:rsidR="002D6F66" w:rsidRDefault="00000000">
      <w:r>
        <w:t>The evaluation dataset should be recorded independently from training and validation inputs. Data splits must have reproducible definitions, ideally through a seed plus an immutable population snapshot or explicit row membership digest. A common leakage mode arises when feature engineering is fitted on the combined corpus before the train/test split. The platform cannot prove that no leakage exists solely from metadata, but it can record preprocessing stages, split lineage, and declared fitting scope; conformance tests can then flag suspicious dependency edges where a training transformation consumes a test-set artifact.</w:t>
      </w:r>
    </w:p>
    <w:p w14:paraId="0A2E1429" w14:textId="77777777" w:rsidR="002D6F66" w:rsidRDefault="00000000">
      <w:r>
        <w:t>For streamed training, byte-for-byte reconstruction may require retention of a topic partition range, consumer offsets, serialization schema, and snapshot of external joins. When upstream records can be deleted or rewritten, the manifest should state the retention assumptions and downgrade the reproducibility classification accordingly. This prevents the interface from presenting a false binary claim of reproducibility. Partial provenance is valuable, but it must be visible to downstream consumers such as governance reviewers and model registrars.</w:t>
      </w:r>
    </w:p>
    <w:p w14:paraId="24C8260A" w14:textId="77777777" w:rsidR="002D6F66" w:rsidRDefault="00000000">
      <w:pPr>
        <w:pStyle w:val="Heading2"/>
      </w:pPr>
      <w:r>
        <w:t>F.4 Model promotion as a governed transaction</w:t>
      </w:r>
    </w:p>
    <w:p w14:paraId="2D680981" w14:textId="77777777" w:rsidR="002D6F66" w:rsidRDefault="00000000">
      <w:r>
        <w:t>A model registry should separate an immutable model version from mutable stage assignments and deployment references. Promotion from candidate to production is not a file move; it is a governed decision over a specific immutable manifest. The transaction validates the model version, confirms required evaluation evidence, checks lineage and security policy, and atomically updates the deployment pointer under an optimistic concurrency precondition. Approval events are independently recorded with actor, policy version, decision, rationale, and evidence references.</w:t>
      </w:r>
    </w:p>
    <w:p w14:paraId="0B41525D" w14:textId="77777777" w:rsidR="002D6F66" w:rsidRDefault="00000000">
      <w:r>
        <w:t>The policy engine should allow different rules for different risk levels. A classroom demonstration classifier might require only basic metadata and a successful smoke test, while a medical or financial model may need human sign-off, documented fairness checks, and traceable dataset consent. The system should support these policies without embedding domain-specific moral judgments into the generic metadata schema. The core stores decisions and evidence; specialized policy modules evaluate suitability. Every automated gate must produce a diagnostic explanation to avoid opaque release failures.</w:t>
      </w:r>
    </w:p>
    <w:p w14:paraId="64016B9C" w14:textId="77777777" w:rsidR="002D6F66" w:rsidRDefault="00000000">
      <w:r>
        <w:lastRenderedPageBreak/>
        <w:t>Rollback operates on pointers, not by rewriting model artifacts. A previous version remains addressable by manifest digest and can be redeployed if its runtime and policy requirements are still satisfied. The rollback event must include the trigger, preceding version, restored version, and person or service authorizing the change. This produces a historical record that can explain not just what is running now, but why the selected version replaced an earlier one.</w:t>
      </w:r>
    </w:p>
    <w:p w14:paraId="258A37DC" w14:textId="77777777" w:rsidR="002D6F66" w:rsidRDefault="00000000">
      <w:pPr>
        <w:pStyle w:val="Heading1"/>
      </w:pPr>
      <w:r>
        <w:t>Appendix G. Reproducible Evaluation Protocol and Interpretation Guide</w:t>
      </w:r>
    </w:p>
    <w:p w14:paraId="428DB3E3" w14:textId="77777777" w:rsidR="002D6F66" w:rsidRDefault="00000000">
      <w:r>
        <w:t>The planned experiments should distinguish execution breadth from developer experience, reproducibility from bitwise determinism, and tracking throughput from end-to-end model performance. A system that runs more libraries but silently omits metadata is not necessarily more useful than a narrower platform with reliable capture. Accordingly, each benchmark case has two outcomes: whether the workload can execute and whether required metadata and artifact guarantees are satisfied. A case counts as conformant only if both hold; optional advanced integrations are scored separately.</w:t>
      </w:r>
    </w:p>
    <w:p w14:paraId="513AD172" w14:textId="77777777" w:rsidR="002D6F66" w:rsidRDefault="00000000">
      <w:pPr>
        <w:pStyle w:val="Heading2"/>
      </w:pPr>
      <w:r>
        <w:t>G.1 Benchmark corpus construction and fairness</w:t>
      </w:r>
    </w:p>
    <w:p w14:paraId="5881F547" w14:textId="77777777" w:rsidR="002D6F66" w:rsidRDefault="00000000">
      <w:r>
        <w:t>Construct a public, reproducible workload corpus covering supervised tabular learning, tree ensembles, neural networks, language-model fine-tuning, time-series forecasting, unsupervised clustering, image classification, and custom non-Python programs. At least one job in each category should use only the generic command runner, even if a specialized adapter exists, to isolate the essential execution contract. Workloads should be small enough to repeat on modest infrastructure yet realistic enough to exercise datasets, hyperparameters, metrics, artifacts, and failures. Each workload package should include a pinned environment image digest, deterministic synthetic or openly licensed inputs, expected output schema, and acceptance assertions.</w:t>
      </w:r>
    </w:p>
    <w:p w14:paraId="0CAB9018" w14:textId="77777777" w:rsidR="002D6F66" w:rsidRDefault="00000000">
      <w:r>
        <w:t>Comparison with MLflow, Kubeflow, or other baselines requires care because their intended scopes differ. For experiment-tracking tests, compare tracking features configured under similar metadata stores and storage backends. For workflow execution, use equivalent cluster resources and explicitly disclose orchestrator assumptions. For model serving, compare latency under matched models, input payloads, concurrency levels, accelerator assignments, batching behavior, and warm-up protocol. Report unsupported comparisons as out of scope rather than assigning them artificial zero scores.</w:t>
      </w:r>
    </w:p>
    <w:p w14:paraId="2CC3A064" w14:textId="77777777" w:rsidR="002D6F66" w:rsidRDefault="00000000">
      <w:r>
        <w:t>Run each performance experiment with a documented warm-up and repetition strategy. Record wall-clock duration, control-plane CPU and memory consumption, metadata database load, network throughput, object-store operation counts, and error distribution. Repeated measures on shared clusters should be randomized across systems where possible to limit bias from fluctuating resource contention. Present uncertainty intervals and describe whether observed differences have practical value, not merely statistical significance. Avoid attributing gains to the proposed architecture when they could result from hardware selection, dependency caching, or different container startup behavior.</w:t>
      </w:r>
    </w:p>
    <w:p w14:paraId="67ECF497" w14:textId="77777777" w:rsidR="002D6F66" w:rsidRDefault="00000000">
      <w:pPr>
        <w:pStyle w:val="Heading2"/>
      </w:pPr>
      <w:r>
        <w:t>G.2 Reliability and adversarial failure experiments</w:t>
      </w:r>
    </w:p>
    <w:p w14:paraId="08704403" w14:textId="77777777" w:rsidR="002D6F66" w:rsidRDefault="00000000">
      <w:r>
        <w:t>Inject faults at transaction boundaries rather than only killing idle services. Examples include dropping a network connection after run creation but before the response reaches the client; terminating a worker after producing a metric event but before acknowledgment; revoking an artifact upload credential during finalization; restarting the metadata database while an outbox publisher is active; and delaying lease renewals past the expiration threshold. Each trial should define the intended recovery invariant before execution. The evaluator should inspect durable records and object storage, not just the dashboard, because visual consistency can hide duplicate or orphaned state.</w:t>
      </w:r>
    </w:p>
    <w:p w14:paraId="55EDE3EE" w14:textId="77777777" w:rsidR="002D6F66" w:rsidRDefault="00000000">
      <w:r>
        <w:t>A successful fault-recovery result is not always immediate completion. An acceptable outcome may be a failed attempt with a fully traceable reason, a retry with preserved provenance, or a job paused for explicit operator approval. The unacceptable cases are silent data loss, multiple simultaneous owners with valid write authority, terminal success without committed artifacts, privilege escalation during recovery, or a user-visible run state that cannot be reconciled to the underlying attempt history. In addition to recovery time, report frequency of manual intervention and amount of compute repeated unnecessarily.</w:t>
      </w:r>
    </w:p>
    <w:p w14:paraId="224E0E2F" w14:textId="77777777" w:rsidR="002D6F66" w:rsidRDefault="00000000">
      <w:r>
        <w:lastRenderedPageBreak/>
        <w:t>Test isolation with deliberately conflicting framework dependencies. In one experiment, simultaneous jobs require incompatible versions of the same Python package; in another, a user supplies a broken adapter hook or unresponsive event callback. Neither workload may corrupt the metadata service or another tenant’s runs. A negative test should request an unauthorized artifact URL or model stage change and verify access denial plus an audit record. Security findings must be evaluated separately from raw throughput so that a faster but less isolated design is not judged superior overall.</w:t>
      </w:r>
    </w:p>
    <w:p w14:paraId="2782EA0E" w14:textId="77777777" w:rsidR="002D6F66" w:rsidRDefault="00000000">
      <w:pPr>
        <w:pStyle w:val="Heading2"/>
      </w:pPr>
      <w:r>
        <w:t>G.3 Traceability matrix for research claims</w:t>
      </w:r>
    </w:p>
    <w:tbl>
      <w:tblPr>
        <w:tblStyle w:val="TableGrid"/>
        <w:tblW w:w="0" w:type="auto"/>
        <w:tblLook w:val="04A0" w:firstRow="1" w:lastRow="0" w:firstColumn="1" w:lastColumn="0" w:noHBand="0" w:noVBand="1"/>
      </w:tblPr>
      <w:tblGrid>
        <w:gridCol w:w="3197"/>
        <w:gridCol w:w="3197"/>
        <w:gridCol w:w="3197"/>
      </w:tblGrid>
      <w:tr w:rsidR="002D6F66" w14:paraId="041A03B8" w14:textId="77777777">
        <w:tc>
          <w:tcPr>
            <w:tcW w:w="3197" w:type="dxa"/>
          </w:tcPr>
          <w:p w14:paraId="6459F1C7" w14:textId="77777777" w:rsidR="002D6F66" w:rsidRDefault="00000000">
            <w:r>
              <w:t>Research claim</w:t>
            </w:r>
          </w:p>
        </w:tc>
        <w:tc>
          <w:tcPr>
            <w:tcW w:w="3197" w:type="dxa"/>
          </w:tcPr>
          <w:p w14:paraId="699D3F33" w14:textId="77777777" w:rsidR="002D6F66" w:rsidRDefault="00000000">
            <w:r>
              <w:t>Observable evidence</w:t>
            </w:r>
          </w:p>
        </w:tc>
        <w:tc>
          <w:tcPr>
            <w:tcW w:w="3197" w:type="dxa"/>
          </w:tcPr>
          <w:p w14:paraId="508E748C" w14:textId="77777777" w:rsidR="002D6F66" w:rsidRDefault="00000000">
            <w:r>
              <w:t>Criterion for interpretation</w:t>
            </w:r>
          </w:p>
        </w:tc>
      </w:tr>
      <w:tr w:rsidR="002D6F66" w14:paraId="72D40913" w14:textId="77777777">
        <w:tc>
          <w:tcPr>
            <w:tcW w:w="3197" w:type="dxa"/>
          </w:tcPr>
          <w:p w14:paraId="750D49AF" w14:textId="77777777" w:rsidR="002D6F66" w:rsidRDefault="00000000">
            <w:r>
              <w:t>Framework generality</w:t>
            </w:r>
          </w:p>
        </w:tc>
        <w:tc>
          <w:tcPr>
            <w:tcW w:w="3197" w:type="dxa"/>
          </w:tcPr>
          <w:p w14:paraId="19D0C659" w14:textId="77777777" w:rsidR="002D6F66" w:rsidRDefault="00000000">
            <w:r>
              <w:t>Corpus execution and conformance results by language/library</w:t>
            </w:r>
          </w:p>
        </w:tc>
        <w:tc>
          <w:tcPr>
            <w:tcW w:w="3197" w:type="dxa"/>
          </w:tcPr>
          <w:p w14:paraId="7955FCE6" w14:textId="77777777" w:rsidR="002D6F66" w:rsidRDefault="00000000">
            <w:r>
              <w:t>State supported scope and unsupported optional capabilities</w:t>
            </w:r>
          </w:p>
        </w:tc>
      </w:tr>
      <w:tr w:rsidR="002D6F66" w14:paraId="01A93394" w14:textId="77777777">
        <w:tc>
          <w:tcPr>
            <w:tcW w:w="3197" w:type="dxa"/>
          </w:tcPr>
          <w:p w14:paraId="4B6D121E" w14:textId="77777777" w:rsidR="002D6F66" w:rsidRDefault="00000000">
            <w:r>
              <w:t>Reproducibility</w:t>
            </w:r>
          </w:p>
        </w:tc>
        <w:tc>
          <w:tcPr>
            <w:tcW w:w="3197" w:type="dxa"/>
          </w:tcPr>
          <w:p w14:paraId="325CD840" w14:textId="77777777" w:rsidR="002D6F66" w:rsidRDefault="00000000">
            <w:r>
              <w:t>Repeated execution and manifest completeness audit</w:t>
            </w:r>
          </w:p>
        </w:tc>
        <w:tc>
          <w:tcPr>
            <w:tcW w:w="3197" w:type="dxa"/>
          </w:tcPr>
          <w:p w14:paraId="2EE0D070" w14:textId="77777777" w:rsidR="002D6F66" w:rsidRDefault="00000000">
            <w:r>
              <w:t>Report environment and data drift as well as output variance</w:t>
            </w:r>
          </w:p>
        </w:tc>
      </w:tr>
      <w:tr w:rsidR="002D6F66" w14:paraId="29AE735E" w14:textId="77777777">
        <w:tc>
          <w:tcPr>
            <w:tcW w:w="3197" w:type="dxa"/>
          </w:tcPr>
          <w:p w14:paraId="532C74E7" w14:textId="77777777" w:rsidR="002D6F66" w:rsidRDefault="00000000">
            <w:r>
              <w:t>Reliable lifecycle</w:t>
            </w:r>
          </w:p>
        </w:tc>
        <w:tc>
          <w:tcPr>
            <w:tcW w:w="3197" w:type="dxa"/>
          </w:tcPr>
          <w:p w14:paraId="6B8DAE57" w14:textId="77777777" w:rsidR="002D6F66" w:rsidRDefault="00000000">
            <w:r>
              <w:t>Fault-injection event histories and terminal state audit</w:t>
            </w:r>
          </w:p>
        </w:tc>
        <w:tc>
          <w:tcPr>
            <w:tcW w:w="3197" w:type="dxa"/>
          </w:tcPr>
          <w:p w14:paraId="35661E8A" w14:textId="77777777" w:rsidR="002D6F66" w:rsidRDefault="00000000">
            <w:r>
              <w:t>No lost terminal transitions or falsely committed artifacts</w:t>
            </w:r>
          </w:p>
        </w:tc>
      </w:tr>
      <w:tr w:rsidR="002D6F66" w14:paraId="46D7D88D" w14:textId="77777777">
        <w:tc>
          <w:tcPr>
            <w:tcW w:w="3197" w:type="dxa"/>
          </w:tcPr>
          <w:p w14:paraId="248CB1D2" w14:textId="77777777" w:rsidR="002D6F66" w:rsidRDefault="00000000">
            <w:r>
              <w:t>Scalability</w:t>
            </w:r>
          </w:p>
        </w:tc>
        <w:tc>
          <w:tcPr>
            <w:tcW w:w="3197" w:type="dxa"/>
          </w:tcPr>
          <w:p w14:paraId="448E8281" w14:textId="77777777" w:rsidR="002D6F66" w:rsidRDefault="00000000">
            <w:r>
              <w:t>Load curves, latency distribution, resource profiles</w:t>
            </w:r>
          </w:p>
        </w:tc>
        <w:tc>
          <w:tcPr>
            <w:tcW w:w="3197" w:type="dxa"/>
          </w:tcPr>
          <w:p w14:paraId="2A317810" w14:textId="77777777" w:rsidR="002D6F66" w:rsidRDefault="00000000">
            <w:r>
              <w:t>Locate saturation points and identify first bottleneck</w:t>
            </w:r>
          </w:p>
        </w:tc>
      </w:tr>
      <w:tr w:rsidR="002D6F66" w14:paraId="0E39A778" w14:textId="77777777">
        <w:tc>
          <w:tcPr>
            <w:tcW w:w="3197" w:type="dxa"/>
          </w:tcPr>
          <w:p w14:paraId="619B71C9" w14:textId="77777777" w:rsidR="002D6F66" w:rsidRDefault="00000000">
            <w:r>
              <w:t>Governed promotion</w:t>
            </w:r>
          </w:p>
        </w:tc>
        <w:tc>
          <w:tcPr>
            <w:tcW w:w="3197" w:type="dxa"/>
          </w:tcPr>
          <w:p w14:paraId="236920AF" w14:textId="77777777" w:rsidR="002D6F66" w:rsidRDefault="00000000">
            <w:r>
              <w:t>Approval records, policy evaluations, rollback trails</w:t>
            </w:r>
          </w:p>
        </w:tc>
        <w:tc>
          <w:tcPr>
            <w:tcW w:w="3197" w:type="dxa"/>
          </w:tcPr>
          <w:p w14:paraId="1317AC4C" w14:textId="77777777" w:rsidR="002D6F66" w:rsidRDefault="00000000">
            <w:r>
              <w:t>Immutable lineage and explainable stage transitions</w:t>
            </w:r>
          </w:p>
        </w:tc>
      </w:tr>
    </w:tbl>
    <w:p w14:paraId="54DA617D" w14:textId="77777777" w:rsidR="002D6F66" w:rsidRDefault="00000000">
      <w:r>
        <w:t>Negative results are integral to the thesis. If generic execution cannot provide framework-specific semantic introspection, document the boundary rather than disguising it. If an adapter incurs prohibitive installation time or changes behavior under a new major framework release, report the maintenance cost. A compelling research contribution can be a precise explanation of where a common contract works, where it requires extensions, and which costs those extensions impose on operators and end users.</w:t>
      </w:r>
    </w:p>
    <w:p w14:paraId="58DAC968" w14:textId="77777777" w:rsidR="002D6F66" w:rsidRDefault="00000000">
      <w:pPr>
        <w:pStyle w:val="Heading1"/>
      </w:pPr>
      <w:r>
        <w:t>Appendix H. Production Rollout and Operating Procedures</w:t>
      </w:r>
    </w:p>
    <w:p w14:paraId="5C6D822E" w14:textId="77777777" w:rsidR="002D6F66" w:rsidRDefault="00000000">
      <w:pPr>
        <w:pStyle w:val="Heading2"/>
      </w:pPr>
      <w:r>
        <w:t>H.1 Progressive rollout and migration</w:t>
      </w:r>
    </w:p>
    <w:p w14:paraId="70281206" w14:textId="77777777" w:rsidR="002D6F66" w:rsidRDefault="00000000">
      <w:r>
        <w:t>A real deployment should begin with a bounded pilot containing a few volunteer users, a limited workload catalog, and noncritical experiments. The pilot should validate metadata integrity, framework diversity, artifact lifecycle handling, dashboard comprehensibility, and operational support processes before the platform becomes a central dependency. Later phases introduce organizational tenancy, production registry gates, workload autoscaling, and cross-cluster placement. A rollout milestone is complete only after acceptance tests, a rollback plan, and an identified operational owner are recorded.</w:t>
      </w:r>
    </w:p>
    <w:p w14:paraId="4C485EEC" w14:textId="77777777" w:rsidR="002D6F66" w:rsidRDefault="00000000">
      <w:r>
        <w:t>Migration from an existing tracker requires translating experiment, run, metric, parameter, artifact, and registry identities while preserving source identifiers and timestamps. Direct relational copying is fragile because platforms disagree about revision semantics and artifact location assumptions. Prefer an explicit export-and-import pipeline that maps source objects to a versioned interchange representation, validates referential integrity, and records both original and new identifiers. During a dual-write transition, detect divergent records with periodic reconciliation rather than assuming two tracking systems observe the same event ordering.</w:t>
      </w:r>
    </w:p>
    <w:p w14:paraId="0F6E6F8F" w14:textId="77777777" w:rsidR="002D6F66" w:rsidRDefault="00000000">
      <w:r>
        <w:t>Legacy artifacts may not have content digests, complete environment manifests, or reliable dataset identities. Mark migrated records with a provenance completeness level and preserve the original evidence instead of retroactively claiming stronger guarantees. For critical model versions, require an independent serving smoke test before switching deployment pointers. Users should be able to inspect the differences between old and imported records, including unsupported metadata fields and any changed lifecycle terminology.</w:t>
      </w:r>
    </w:p>
    <w:p w14:paraId="1ABA830A" w14:textId="77777777" w:rsidR="002D6F66" w:rsidRDefault="00000000">
      <w:pPr>
        <w:pStyle w:val="Heading2"/>
      </w:pPr>
      <w:r>
        <w:lastRenderedPageBreak/>
        <w:t>H.2 Observability and incident response</w:t>
      </w:r>
    </w:p>
    <w:p w14:paraId="0041D20E" w14:textId="77777777" w:rsidR="002D6F66" w:rsidRDefault="00000000">
      <w:r>
        <w:t>Operational observability should be structured around user journeys rather than only machine health. Metrics include submission acceptance latency, queue waiting-time quantiles, attempt-start delay, event ingestion lag, finalization duration, manifest validation failures, API error ratios, expired leases, and rejected authorization requests. Trace identifiers should link API creation, scheduler decisions, worker attempts, object-store commits, and registry changes. This correlation is essential when a user reports that a job completed computation but remains indefinitely in RUNNING state.</w:t>
      </w:r>
    </w:p>
    <w:p w14:paraId="78241822" w14:textId="77777777" w:rsidR="002D6F66" w:rsidRDefault="00000000">
      <w:r>
        <w:t>Incident runbooks should include named detection signals, initial diagnosis queries, safe containment actions, restoration steps, and post-incident verification. For an event-ingestion backlog, responders determine whether producers are blocked, brokers are saturated, or consumers cannot write to metadata storage. For a stuck finalization, they compare the worker completion record to temporary object keys and committed manifests before triggering idempotent recovery. Operators must never repair state by manually declaring success without verifying the artifact contract; that action would conceal failures from later reproducibility audits.</w:t>
      </w:r>
    </w:p>
    <w:p w14:paraId="1BBEC146" w14:textId="77777777" w:rsidR="002D6F66" w:rsidRDefault="00000000">
      <w:r>
        <w:t>Backup and recovery policies should distinguish metadata and bulk artifacts. A relational backup captures run metadata, event position, policy records, registry pointers, and transactional outbox state; object storage requires its own retention and replication policy. A restore exercise tests that manifests remain resolvable and pointer references remain valid. Recovery objectives must be defined per organizational risk and validated in drills. The platform’s published service-level objectives should include data integrity and recoverability, not only request availability.</w:t>
      </w:r>
    </w:p>
    <w:p w14:paraId="0009521B" w14:textId="77777777" w:rsidR="002D6F66" w:rsidRDefault="00000000">
      <w:pPr>
        <w:pStyle w:val="Heading2"/>
      </w:pPr>
      <w:r>
        <w:t>H.3 Cost and sustainability</w:t>
      </w:r>
    </w:p>
    <w:p w14:paraId="009F87B7" w14:textId="77777777" w:rsidR="002D6F66" w:rsidRDefault="00000000">
      <w:r>
        <w:t>The dominant costs depend on workload characteristics. For neural network experiments, accelerators and persistent artifacts may outweigh control-plane costs, while high-frequency hyperparameter searches can stress scheduler operations and metric databases. Attribute resource consumption to runs through worker allocation records, object-store byte accounting, and estimated network operations. Allocation estimates should be labeled as estimates where shared infrastructure makes exact attribution impossible. Organizations benefit from per-team budgets, retention tiers, and alerts for inactive expensive resources.</w:t>
      </w:r>
    </w:p>
    <w:p w14:paraId="032629EA" w14:textId="77777777" w:rsidR="002D6F66" w:rsidRDefault="00000000">
      <w:r>
        <w:t>Efficiency policies can preserve scientific value. Compressing redundant logs or moving older model artifacts to colder storage is often acceptable when manifests remain stable and retrieval is predictable. Automatically deleting experimental evidence, however, may invalidate published results or regulated retention obligations. Lifecycle rules should be configurable by tenant and research project, with explicit exemptions for cited artifacts. Scheduling algorithms must expose the tradeoff between fairness, cost, deadline adherence, and compute utilization so that users understand why a job was deferred.</w:t>
      </w:r>
    </w:p>
    <w:p w14:paraId="6A229A24" w14:textId="77777777" w:rsidR="002D6F66" w:rsidRDefault="00000000">
      <w:pPr>
        <w:pStyle w:val="Heading2"/>
      </w:pPr>
      <w:r>
        <w:t>H.4 Usability and developer adoption</w:t>
      </w:r>
    </w:p>
    <w:p w14:paraId="4C803874" w14:textId="77777777" w:rsidR="002D6F66" w:rsidRDefault="00000000">
      <w:r>
        <w:t>A technically correct platform can still fail if the path from an existing script to a tracked experiment is too demanding. Developer onboarding should demonstrate a minimum workflow that requires only a launch command and environment declaration, followed by increasingly rich adapters for metrics and model export. Error messages should identify which configuration field or capability contract failed and offer a concrete remediation step. Documentation should provide comparable examples across at least several framework families, including one non-Python language and one unsupported custom library handled through the generic fallback.</w:t>
      </w:r>
    </w:p>
    <w:p w14:paraId="6E028A03" w14:textId="77777777" w:rsidR="002D6F66" w:rsidRDefault="00000000">
      <w:r>
        <w:t>Evaluate usability using moderated tasks rather than relying solely on satisfaction surveys. Participants should create a run, inspect a failure, compare two experiments, retrieve a historical artifact, and promote a version under a policy gate. Measure task completion, errors, assistance requests, and the ability to explain provenance. Researchers with different levels of MLOps experience should be included. The research claim is stronger when the platform proves not only that heterogeneous models can run but also that humans can reliably understand and govern the resulting artifacts.</w:t>
      </w:r>
    </w:p>
    <w:sectPr w:rsidR="002D6F66" w:rsidSect="00034616">
      <w:headerReference w:type="default" r:id="rId11"/>
      <w:footerReference w:type="default" r:id="rId12"/>
      <w:pgSz w:w="12240" w:h="15840"/>
      <w:pgMar w:top="1008" w:right="1325" w:bottom="979" w:left="132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4099" w14:textId="77777777" w:rsidR="009C7A6A" w:rsidRDefault="009C7A6A">
      <w:pPr>
        <w:spacing w:after="0" w:line="240" w:lineRule="auto"/>
      </w:pPr>
      <w:r>
        <w:separator/>
      </w:r>
    </w:p>
  </w:endnote>
  <w:endnote w:type="continuationSeparator" w:id="0">
    <w:p w14:paraId="6592B95F" w14:textId="77777777" w:rsidR="009C7A6A" w:rsidRDefault="009C7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915B" w14:textId="77777777" w:rsidR="002D6F66" w:rsidRDefault="00000000">
    <w:pPr>
      <w:pStyle w:val="Footer"/>
      <w:jc w:val="center"/>
    </w:pPr>
    <w:r>
      <w:t xml:space="preserve">Research </w:t>
    </w:r>
    <w:proofErr w:type="gramStart"/>
    <w:r>
      <w:t>manuscript  •</w:t>
    </w:r>
    <w:proofErr w:type="gramEnd"/>
    <w:r>
      <w:t xml:space="preserve">  October </w:t>
    </w:r>
    <w:proofErr w:type="gramStart"/>
    <w:r>
      <w:t>2026  •</w:t>
    </w:r>
    <w:proofErr w:type="gramEnd"/>
    <w:r>
      <w:t xml:space="preserve">  Page </w:t>
    </w:r>
    <w:r>
      <w:fldChar w:fldCharType="begin"/>
    </w:r>
    <w:r>
      <w:instrText>PAGE</w:instrText>
    </w:r>
    <w:r>
      <w:fldChar w:fldCharType="separate"/>
    </w:r>
    <w:r w:rsidR="00EE6A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736F" w14:textId="77777777" w:rsidR="009C7A6A" w:rsidRDefault="009C7A6A">
      <w:pPr>
        <w:spacing w:after="0" w:line="240" w:lineRule="auto"/>
      </w:pPr>
      <w:r>
        <w:separator/>
      </w:r>
    </w:p>
  </w:footnote>
  <w:footnote w:type="continuationSeparator" w:id="0">
    <w:p w14:paraId="4F6B2560" w14:textId="77777777" w:rsidR="009C7A6A" w:rsidRDefault="009C7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6E81" w14:textId="77777777" w:rsidR="002D6F66" w:rsidRDefault="00000000">
    <w:pPr>
      <w:pStyle w:val="Caption"/>
      <w:jc w:val="right"/>
    </w:pPr>
    <w:r>
      <w:t xml:space="preserve">FRAMEWORK-AGNOSTIC MACHINE LEARNING </w:t>
    </w:r>
    <w:proofErr w:type="gramStart"/>
    <w:r>
      <w:t>PLATFORM  |</w:t>
    </w:r>
    <w:proofErr w:type="gramEnd"/>
    <w:r>
      <w:t xml:space="preserve">  RESEARCH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469002">
    <w:abstractNumId w:val="8"/>
  </w:num>
  <w:num w:numId="2" w16cid:durableId="45030320">
    <w:abstractNumId w:val="6"/>
  </w:num>
  <w:num w:numId="3" w16cid:durableId="833377419">
    <w:abstractNumId w:val="5"/>
  </w:num>
  <w:num w:numId="4" w16cid:durableId="2112971102">
    <w:abstractNumId w:val="4"/>
  </w:num>
  <w:num w:numId="5" w16cid:durableId="1781677281">
    <w:abstractNumId w:val="7"/>
  </w:num>
  <w:num w:numId="6" w16cid:durableId="127430810">
    <w:abstractNumId w:val="3"/>
  </w:num>
  <w:num w:numId="7" w16cid:durableId="1518736284">
    <w:abstractNumId w:val="2"/>
  </w:num>
  <w:num w:numId="8" w16cid:durableId="437019743">
    <w:abstractNumId w:val="1"/>
  </w:num>
  <w:num w:numId="9" w16cid:durableId="87504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F66"/>
    <w:rsid w:val="00326F90"/>
    <w:rsid w:val="009C7A6A"/>
    <w:rsid w:val="00AA1D8D"/>
    <w:rsid w:val="00B47730"/>
    <w:rsid w:val="00CB0664"/>
    <w:rsid w:val="00DD4360"/>
    <w:rsid w:val="00EE6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EF66E"/>
  <w14:defaultImageDpi w14:val="300"/>
  <w15:docId w15:val="{C3D63F2A-904C-42E6-B6DC-12D1A92A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pPr>
    <w:rPr>
      <w:rFonts w:ascii="Cambria" w:hAnsi="Cambria"/>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8375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8375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7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17398</Words>
  <Characters>99171</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2026-10-21T03:20:00Z</dcterms:modified>
  <cp:category/>
</cp:coreProperties>
</file>