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Rubric-Grounded Generative AI for Essay Assessment and Formative Feedback</w:t>
      </w:r>
    </w:p>
    <w:p>
      <w:pPr>
        <w:spacing w:after="120"/>
      </w:pPr>
      <w:r>
        <w:rPr>
          <w:sz w:val="19"/>
        </w:rPr>
        <w:t>Abstract. This article evaluates the opportunities and limitations of artificial intelligence for assessment, grading, feedback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assessment, grading, feedback;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Essay assessment is simultaneously an interpretive and administrative activity. Teachers must judge content, organization, evidence, reasoning and disciplinary conventions, then translate judgments into actionable advice. A system that predicts a single score can save time but conceals disagreement about the qualities of a response. A more educationally defensible system produces criterion-level evidence, provisional ratings and revision guidance, leaving final grading authority with an instructor. The central research question is whether rubric-grounded assistance improves feedback specificity and turnaround without worsening fairness or reducing the teacher's ability to detect nuanced argumentation.</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Automated essay scoring is not new, but current generative models make explanations and revision suggestions possible on the same interface. This flexibility also creates a validity problem: fluent comments can sound individualized while failing to identify where a claim is unsupported. Evidence from formative-assessment research suggests the outcome of interest is improvement during revision rather than similarity to an instructor's number. The 2025 systematic review of AI-assisted feedback underscores the range of feedback mechanisms and the need to investigate their transparency. Agreement with historical grades should therefore be a secondary criterion, especially when historical grades contain their own variation.</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A consequential issue in essay marking is the construct being measured. An assessment of historical reasoning may reward interpretation of primary sources, the handling of conflicting evidence, and qualified causal claims; an assessment of academic English may legitimately give greater weight to clarity and organization. A generic language model cannot infer these priorities from the prose alone. Accordingly, rubric calibration should begin with teacher-scored anchor scripts that illustrate weak, adequate and excellent performance for each criterion. The system should be asked to cite the exact textual evidence behind each preliminary judgement and mark an assessment as uncertain when it cannot locate such evidence. This is not the same as making the model's explanations intrinsically reliable: teachers must still verify whether cited passages actually support the score.</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proposed system first parses a teacher-owned analytic rubric into machine-readable criteria, descriptors and point ranges. A retrieval module loads assignment instructions, annotated exemplars and permitted course resources. A criterion evaluator returns a score band, quoted evidence from the student's text, missing evidence and a feedback suggestion; separate validators reject comments that cite nonexistent sentences or violate rubric constraints. A teacher-facing screen highlights high-uncertainty cases and disagreements between two calibration passes. Students receive comments in a revision-oriented order: clarify the thesis, strengthen the evidence, reconsider counterarguments and only then repair surface features.</w:t>
      </w:r>
    </w:p>
    <w:p>
      <w:r>
        <w:t>A useful distinction is between feedback on reasoning and feedback on linguistic fluency. Without safeguards, a model may reward polished prose while undervaluing an original argument expressed in nonstandard English. The dataset must therefore include varying language backgrounds, genres, topics and quality levels. Reliability should be reported by criterion, not only as a global correlation with teacher marks. Where possible, blind expert raters can judge whether each suggested revision is feasible and whether the feedback identifies a real textual problem. Teachers should be able to edit comments before release, making the AI an authoring tool rather than a covert assessor.</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The design must also distinguish formative feedback from summative decisions. In the formative case, it can offer two or three prioritized revisions, explain the gap between the current response and the rubric, and invite the learner to revise a paragraph without rewriting the whole submission. In the summative case, scores carry institutional consequences; the model should therefore serve as a second reader or triage mechanism while the authorized assessor retains the final decision. A useful evaluation is a blind comparison of double-marked scripts, with disagreements adjudicated by an independent panel. This yields more meaningful evidence than comparing AI scores against one instructor's unexamined grades.</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The central experiment would randomly assign comparable drafts to conventional teacher feedback, AI-assisted teacher feedback and a carefully supervised automated-feedback condition. Outcomes include teacher time, rubric-consistency statistics, substantive revision gain and a subsequent essay written without AI. A second study could measure whether students learn to diagnose their own writing. The main risk is that better-looking submissions might merely reflect model rewriting; student authorship and independent transfer must therefore be measured explicitly.</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A distinctive failure-mode test should introduce essays with correct grammar but weak inference, essays with sophisticated arguments but awkward grammar, invented citations and minority dialect features. Examine whether the system changes ranking across these conditions. Also test rubric revisions halfway through a semester: a cached exemplar must not silently override a newer criterion. Every decision should retain rubric version, feedback source and teacher correction history for audit while keeping student content within institution-controlled access boundaries.</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Fairness audits should use matched pairs and subgroup review rather than a single overall accuracy number. A response written by a second-language learner may contain grammatical errors yet demonstrate strong disciplinary reasoning. Another response may be linguistically fluent but superficial. The desirable system should preserve the distinction, disclose uncertainty and avoid penalizing students for irrelevant linguistic differences. Schools also need an appeal mechanism: students should be able to see the rubric rationale, challenge the judgement and obtain human review without interacting with a chatbot that repeatedly defends its earlier decision.</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assessment, grading, feedback,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