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mbria" w:hAnsi="Cambria"/>
          <w:b/>
          <w:sz w:val="30"/>
        </w:rPr>
        <w:t>Test-Grounded Generative AI for Programming Instruction</w:t>
      </w:r>
    </w:p>
    <w:p>
      <w:pPr>
        <w:spacing w:after="120"/>
      </w:pPr>
      <w:r>
        <w:rPr>
          <w:sz w:val="19"/>
        </w:rPr>
        <w:t>Abstract. This article evaluates the opportunities and limitations of artificial intelligence for coding, debugging, software reasoning in contemporary education. Based on established learning theory, international policy guidance, and recent research reviews, it develops a specific, human-supervised technology design and a falsifiable evaluation plan. The study argues that automation should be judged by durable learning and accountable practice rather than apparent task completion. A design-centered synthesis identifies the instructional problem, evaluates competing approaches, details a modular system, and specifies outcomes, robustness tests, and ethical safeguards. No experimental results are fabricated: effectiveness remains a proposition to be tested with participants and independent assessments.</w:t>
      </w:r>
    </w:p>
    <w:p>
      <w:pPr>
        <w:spacing w:after="120"/>
      </w:pPr>
      <w:r>
        <w:t>Keywords: artificial intelligence in education; coding, debugging, software reasoning; human–AI collaboration; learning outcomes; responsible AI</w:t>
      </w:r>
    </w:p>
    <w:p>
      <w:pPr>
        <w:pStyle w:val="Heading1"/>
      </w:pPr>
      <w:r>
        <w:t>1. Introduction</w:t>
      </w:r>
    </w:p>
    <w:p>
      <w:r>
        <w:t>Generative artificial intelligence has shifted educational technology from relatively narrow prediction and classification tasks toward dialogue, content production, semantic search and software-mediated action. That shift does not by itself establish educational benefit. An assistant may produce an impressive answer while depriving a learner of the cognitive work required to retain and transfer knowledge. Conversely, a limited system that gives well-timed feedback, invites explanation and withholds complete solutions may improve learning even when its language model is less capable. The appropriate unit of investigation is therefore the whole instructional intervention: the learner, learning objective, educator, model, workflow, assessment and institutional setting. The OECD Digital Education Outlook 2026 explicitly distinguishes the productivity of generative tools from their contribution to learning, and UNESCO's guidance emphasizes human-centered governance rather than deployment for its own sake (OECD, 2026; Miao and Holmes, 2023).</w:t>
      </w:r>
    </w:p>
    <w:p>
      <w:r>
        <w:t>Programming education presents a special temptation: a chatbot can provide code that passes tests while the student cannot explain it. This creates a divergence between successful product and acquired computational thinking. The proposed system uses a test runner, compiler and static analysis as independent evidence sources, while the language model delivers graduated debugging prompts. The research question is whether verified, explanation-first feedback improves unaided code tracing and fault localization compared with direct code generation.</w:t>
      </w:r>
    </w:p>
    <w:p>
      <w:r>
        <w:t>The immediate challenge is to specify an intervention tightly enough to be evaluated while recognizing that educational practice is heterogeneous. The unit of analysis adopted here is a recurring educational task performed by a student or educator within a documented curriculum. A successful prototype should not be defined by how many AI functions are available. It should instead meet a small set of measurable claims concerning correctness, teacher oversight, learner autonomy and equitable access. This scope also allows comparison with established instructional practice, where human judgment and limited resources already shape what is possible.</w:t>
      </w:r>
    </w:p>
    <w:p>
      <w:pPr>
        <w:pStyle w:val="Heading1"/>
      </w:pPr>
      <w:r>
        <w:t>2. Related Research and Critical Review</w:t>
      </w:r>
    </w:p>
    <w:p>
      <w:r>
        <w:t>The literature on intelligent tutoring predates large language models. Bloom's account of the two-sigma problem framed individualized feedback as an important educational ambition, while subsequent work examined whether automated tutors could approximate some of the benefits of sustained support (Bloom, 1984; VanLehn, 2011). Formative-feedback theory provides an equally important corrective: useful feedback identifies a goal, shows evidence of current performance and indicates a feasible next action, instead of merely announcing correctness (Hattie and Timperley, 2007). Modern generative systems greatly widen the possible interface for this feedback, but the pedagogical mechanism should still be stated explicitly. An intervention may support retrieval practice, worked-example fading, self-explanation, metacognition or instructor decision-making. Claims of impact must specify which mechanism is expected to operate and when.</w:t>
      </w:r>
    </w:p>
    <w:p>
      <w:r>
        <w:t>Recent systematic reviews of AI in programming education describe applications in course design, classroom support, assessment and feedback, with particular concern about overreliance and uneven effects. A key distinction is between debugging for the student and teaching the student to debug. Compiler errors, failing test traces and program states can be transformed into pedagogically useful hints, but only if they reveal enough to support reasoning without disclosing the entire correction. Theoretical alignment with self-explanation and scaffold fading matters more than an assistant's ability to produce polished code.</w:t>
      </w:r>
    </w:p>
    <w:p>
      <w:r>
        <w:t>A recurring limitation across the evidence is the mismatch between attractive demonstrations and robust causal evaluation. Many studies measure satisfaction, perceived usefulness or immediate task completion. Those measures are informative for usability, but they are not substitutes for delayed independent achievement. Classrooms differ in prior knowledge, teacher practice, access to devices and language. A promising tool tested with motivated university volunteers may behave differently in a mandatory school course. Furthermore, model versions, prompts, curriculum resources and safety policies change continuously. Reproducible evaluation requires recording these components and distinguishing a change in the AI service from a change in the instructional design. Recent reviews of AI-assisted feedback and generative AI in higher education likewise emphasize conditional rather than universal gains (“Unraveling the mechanisms,” 2025; “Generative AI in higher education,” 2026).</w:t>
      </w:r>
    </w:p>
    <w:p>
      <w:r>
        <w:t>A literature review for a design-oriented thesis should separate three kinds of evidence. First, foundational educational research explains why feedback, practice, explanation and self-regulation might change learning. Second, technical research shows which AI functions can be implemented, such as retrieval, classification, speech recognition, optimization or program verification. Third, controlled educational studies test what happens when those functions are placed into actual courses. Evidence of technical capability cannot be promoted to evidence of learning efficacy. Similarly, evidence from a broad review should not be interpreted as a guaranteed effect in the narrow setting proposed here. This paper uses the recent international and review literature to justify a testable design, not to claim that every proposed component has already been validated.</w:t>
      </w:r>
    </w:p>
    <w:p>
      <w:r>
        <w:t>Programming education creates a tension between accelerating task completion and developing debugging competence. Code-generation systems can produce passing solutions before beginners understand data structures, control flow or error handling. Therefore the tutor should prefer diagnosis and graduated hints over immediate replacement code, particularly in introductory courses. The system can ingest compiler messages and unit-test results, but these observations should be treated as evidence of program behavior rather than proof that the learner understands the design.</w:t>
      </w:r>
    </w:p>
    <w:p>
      <w:pPr>
        <w:pStyle w:val="Heading1"/>
      </w:pPr>
      <w:r>
        <w:t>3. Proposed Approach and Educational Implications</w:t>
      </w:r>
    </w:p>
    <w:p>
      <w:r>
        <w:t>The system is organized as a course-aware service rather than a generic chatbot. The interaction begins with a role and consent check, followed by retrieval from a versioned set of educator-approved resources. A task controller selects a bounded workflow, such as diagnosing an attempt, proposing a next exercise or preparing a draft that requires teacher approval. An inference adapter may use a locally hosted or external model. The result passes through structured validation, domain checks and a risk classifier before reaching a student or teacher. Each displayed response identifies the lesson context and its evidentiary basis where appropriate. Only minimal event metadata are retained for quality measurement; personal content is excluded from diagnostic logs unless the educational purpose and permissions require it. This separation lets researchers replace models without silently changing curricular rules or accountability.</w:t>
      </w:r>
    </w:p>
    <w:p>
      <w:r>
        <w:t>The architecture uses an isolated execution environment with resource limits and no unrestricted network access. Student submissions are parsed and tested against public and hidden cases. Static checks identify likely error locations; the generator is allowed to describe observed behavior and ask a diagnostic question but is prevented, at early hint levels, from emitting a full corrected program. After several unsuccessful attempts it may reveal a smaller corrected fragment with an explanation. The instructor defines allowed languages, libraries, assessment modes and disclosure rules.</w:t>
      </w:r>
    </w:p>
    <w:p>
      <w:r>
        <w:t>Test passing must not be equated with conceptual correctness. A hard-coded response can satisfy weak public tests without implementing the intended algorithm; conversely a correct idea may fail due to syntax. The analysis therefore triangulates unit-test results, code quality, students' explanations and new problems completed without assistance. Records should distinguish original student code from model-produced text so that the learning analytics do not mistake copied solutions for mastery.</w:t>
      </w:r>
    </w:p>
    <w:p>
      <w:r>
        <w:t>Implementation can begin with a role-aware web frontend, an API service, PostgreSQL metadata storage, encrypted content storage and a retrieval index containing only permissioned course resources. An inference gateway abstracts the language-model provider so that changes in model quality and operating cost can be evaluated separately. Background jobs perform batch evaluation and data-retention enforcement. Structured test datasets contain expert-approved examples, borderline cases, language variants and intentionally invalid requests. This prototype is achievable without a large proprietary foundation model; the research novelty is the instructional workflow and its rigorous assessment, not a claim to invent a new general-purpose language model.</w:t>
      </w:r>
    </w:p>
    <w:p>
      <w:r>
        <w:t>A secure architecture executes student submissions inside resource-limited sandboxes with restricted network and file access. Static analysis can flag obvious issues; tests can identify counterexamples; and the language model can translate machine feedback into explanations at an appropriate level. Crucially, the tutor should recognize multiple valid implementations instead of penalizing students for not matching a reference solution. The interface can ask the learner to predict the output of their program, explain a test failure, or propose an invariant before requesting a patch. These prompts turn debugging into an opportunity for assessment.</w:t>
      </w:r>
    </w:p>
    <w:p>
      <w:pPr>
        <w:pStyle w:val="Heading1"/>
      </w:pPr>
      <w:r>
        <w:t>4. Evaluation, Discussion and Conclusion</w:t>
      </w:r>
    </w:p>
    <w:p>
      <w:r>
        <w:t>A defensible experimental plan begins with co-design interviews and a retrospective validation dataset, followed by a pilot and a controlled comparison. The pilot checks whether the interface is usable, whether explanations are understandable and whether interventions interrupt normal teaching. In the main evaluation, participants should be allocated by student or classroom according to contamination risk; if cluster allocation is used, the analysis must account for shared teacher and school effects. Conditions should include the normal instructional workflow, an appropriately constrained comparator and the proposed design. All groups receive the same curriculum objectives and comparable learning time. Outcome assessors should be blinded when feasible. Record a baseline pretest, an immediate posttest and a delayed unaided test after the tool is withdrawn. The last measure is essential: students must demonstrate what they can do without machine assistance.</w:t>
      </w:r>
    </w:p>
    <w:p>
      <w:r>
        <w:t>A randomized trial could compare standard IDE error messages, an unrestricted programming chatbot and the test-grounded tutor. Outcomes include debugging time, unaided transfer to a new bug pattern, code-tracing performance, instructor workload and security. A delayed examination without AI is essential. Researchers should inspect process traces to determine whether students tested hypotheses, interpreted evidence and understood the source of failure.</w:t>
      </w:r>
    </w:p>
    <w:p>
      <w:r>
        <w:t>A meaningful analysis should report estimated effects and confidence intervals, not only whether a statistical threshold was crossed. Repeated measurements from students within the same classrooms require an analysis that reflects that dependence. Pre-registering outcomes and the handling of missing observations helps prevent selective reporting. Alongside the main effect, the authors should investigate whether the intervention works differently across prior achievement levels and accessibility needs, while treating underpowered subgroup analyses cautiously.</w:t>
      </w:r>
    </w:p>
    <w:p>
      <w:r>
        <w:t>Security tests should include malicious repository comments, dangerous shell commands, secret-bearing configuration files, infinite loops and prompts embedded in code. The language model should never receive production credentials or execute arbitrary tooling outside a sandbox. Pedagogical tests should include off-by-one errors, variable shadowing, edge cases and inefficient yet correct implementations. A helpful system must guide diagnosis even when no simple patch exists.</w:t>
      </w:r>
    </w:p>
    <w:p>
      <w:r>
        <w:t>Operational results need a second interpretive layer. Faster work is not necessarily higher-quality work; students who finish assignments with extensive AI help may still fail later independent tasks. A fall in teacher workload may be valuable, but only when correction effort and error consequences are counted. Satisfaction can help explain adoption yet cannot establish causality. For each metric, the study should specify the population, time horizon and failure cost. Where improvements and risks trade off, decision-makers should consider a Pareto analysis rather than collapsing everything into an opaque score. The appropriate policy may be to permit supervised use, to narrow deployment to low-stakes activities or to stop a feature until its error rate is acceptable.</w:t>
      </w:r>
    </w:p>
    <w:p>
      <w:r>
        <w:t>Educational AI handles information about people who may have limited power to refuse collection, particularly minors. The design should collect only what is necessary, maintain clear retention limits, encrypt data, separate academic support from disciplinary monitoring and offer accessible alternatives. Educators should be able to inspect, correct and override consequential outputs. Students should know when they are interacting with AI and should have a route to a human explanation. Prompt injection, data poisoning and retrieval of unauthorized materials must be treated as concrete software-security risks rather than abstract ethical concerns. Evaluation should include harms such as fabricated citations, inappropriate disclosure, bias across language varieties and confident but incorrect feedback. Governance is therefore part of system performance, not an appendix to it.</w:t>
      </w:r>
    </w:p>
    <w:p>
      <w:r>
        <w:t>The proposed work has several limitations. It is a literature-based design rather than a completed clinical-style trial, and it does not claim numerical gains. Results would not automatically generalize across age groups, languages, schools or regulatory regimes. A production deployment should be preceded by institutional review, data-protection analysis and educator training. Replication packages should specify software versions, model identifiers, prompts, curricular documents, scoring rubrics, exclusions, recruitment method, and the precise difference between treatment and comparator conditions. This reporting discipline is especially important because rapidly changing AI services can otherwise make results difficult to interpret after publication.</w:t>
      </w:r>
    </w:p>
    <w:p>
      <w:r>
        <w:t>Researchers should distinguish immediate code correctness from independent skill acquisition. Suitable outcomes include performance on unseen tasks without AI, quality of students' own debugging plans, the ability to explain generated code and time to fix a novel fault. An ablation study could compare full-code suggestions, hints-only tutoring and ordinary IDE diagnostics. The assessment policy must also be clear: students should know when code assistance is permitted and how the course attributes authorship and learning.</w:t>
      </w:r>
    </w:p>
    <w:p>
      <w:r>
        <w:t>The proposed article is a conceptual and methodological contribution, not a report of a completed experiment. Its claims can be tested through a clearly specified prototype, preregistered instructional trial and transparent error audit. The decisive question is whether AI changes what teachers and students can accomplish independently and fairly, not whether it can automate visible output. Future implementations should compare pedagogical designs rather than simply compare model brands, because a better general-purpose model may still be a worse teacher when its assistance is poorly timed or difficult to verify.</w:t>
      </w:r>
    </w:p>
    <w:p>
      <w:r>
        <w:t>For the specific area of coding, debugging, software reasoning, the study’s most consequential next step is a small, independently evaluated deployment that measures transfer and errors alongside convenience. The expected contribution is a reusable empirical account of when and why a bounded AI intervention helps—rather than an undifferentiated claim that AI improves education.</w:t>
      </w:r>
    </w:p>
    <w:p>
      <w:pPr>
        <w:pStyle w:val="Heading1"/>
        <w:spacing w:before="240"/>
      </w:pPr>
      <w:r>
        <w:t>References</w:t>
      </w:r>
    </w:p>
    <w:p>
      <w:pPr>
        <w:spacing w:after="60"/>
        <w:ind w:left="331" w:hanging="331"/>
      </w:pPr>
      <w:r>
        <w:rPr>
          <w:sz w:val="18"/>
        </w:rPr>
        <w:t>Bloom, B. S. (1984). The 2 sigma problem: The search for methods of group instruction as effective as one-to-one tutoring. Educational Researcher, 13(6), 4–16.</w:t>
      </w:r>
    </w:p>
    <w:p>
      <w:pPr>
        <w:spacing w:after="60"/>
        <w:ind w:left="331" w:hanging="331"/>
      </w:pPr>
      <w:r>
        <w:rPr>
          <w:sz w:val="18"/>
        </w:rPr>
        <w:t>Hattie, J., &amp; Timperley, H. (2007). The power of feedback. Review of Educational Research, 77(1), 81–112. https://doi.org/10.3102/003465430298487</w:t>
      </w:r>
    </w:p>
    <w:p>
      <w:pPr>
        <w:spacing w:after="60"/>
        <w:ind w:left="331" w:hanging="331"/>
      </w:pPr>
      <w:r>
        <w:rPr>
          <w:sz w:val="18"/>
        </w:rPr>
        <w:t>VanLehn, K. (2011). The relative effectiveness of human tutoring, intelligent tutoring systems, and other tutoring systems. Educational Psychologist, 46(4), 197–221. https://doi.org/10.1080/00461520.2011.611369</w:t>
      </w:r>
    </w:p>
    <w:p>
      <w:pPr>
        <w:spacing w:after="60"/>
        <w:ind w:left="331" w:hanging="331"/>
      </w:pPr>
      <w:r>
        <w:rPr>
          <w:sz w:val="18"/>
        </w:rPr>
        <w:t>Miao, F., &amp; Holmes, W. (2023). Guidance for generative AI in education and research. UNESCO. https://www.unesco.org/en/articles/guidance-generative-ai-education-and-research</w:t>
      </w:r>
    </w:p>
    <w:p>
      <w:pPr>
        <w:spacing w:after="60"/>
        <w:ind w:left="331" w:hanging="331"/>
      </w:pPr>
      <w:r>
        <w:rPr>
          <w:sz w:val="18"/>
        </w:rPr>
        <w:t>OECD. (2026). OECD Digital Education Outlook 2026: Exploring effective uses of generative AI in education. OECD Publishing. https://doi.org/10.1787/062a7394-en</w:t>
      </w:r>
    </w:p>
    <w:p>
      <w:pPr>
        <w:spacing w:after="60"/>
        <w:ind w:left="331" w:hanging="331"/>
      </w:pPr>
      <w:r>
        <w:rPr>
          <w:sz w:val="18"/>
        </w:rPr>
        <w:t>Unraveling the mechanisms and effectiveness of AI-assisted feedback in education: A systematic literature review. (2025). Computers and Education Open, 9, 100284. https://doi.org/10.1016/j.caeo.2025.100284</w:t>
      </w:r>
    </w:p>
    <w:p>
      <w:pPr>
        <w:spacing w:after="60"/>
        <w:ind w:left="331" w:hanging="331"/>
      </w:pPr>
      <w:r>
        <w:rPr>
          <w:sz w:val="18"/>
        </w:rPr>
        <w:t>Mar​​​zano, D. (2025). Generative artificial intelligence (GAI) in teaching and learning processes at the K–12 level: A systematic review. Technology, Knowledge and Learning. https://doi.org/10.1007/s10758-025-09853-7</w:t>
      </w:r>
    </w:p>
    <w:p>
      <w:pPr>
        <w:spacing w:after="60"/>
        <w:ind w:left="331" w:hanging="331"/>
      </w:pPr>
      <w:r>
        <w:rPr>
          <w:sz w:val="18"/>
        </w:rPr>
        <w:t>Manorat, P., Tuarob, S., &amp; Pongpaichet, S. (2025). Artificial intelligence in computer programming education: A systematic literature review. Computers and Education: Artificial Intelligence, 100403. https://doi.org/10.1016/j.caeai.2025.100403</w:t>
      </w:r>
    </w:p>
    <w:p>
      <w:pPr>
        <w:spacing w:after="60"/>
        <w:ind w:left="331" w:hanging="331"/>
      </w:pPr>
      <w:r>
        <w:rPr>
          <w:sz w:val="18"/>
        </w:rPr>
        <w:t>Generative AI in higher education: A systematic review of empirical uses, outcomes, and risks. (2026). Computers and Education: Artificial Intelligence. https://www.sciencedirect.com/science/article/pii/S2666374026000130</w:t>
      </w:r>
    </w:p>
    <w:p>
      <w:pPr>
        <w:spacing w:after="60"/>
        <w:ind w:left="331" w:hanging="331"/>
      </w:pPr>
      <w:r>
        <w:rPr>
          <w:sz w:val="18"/>
        </w:rPr>
        <w:t>Zimmerman, B. J. (2002). Becoming a self-regulated learner: An overview. Theory Into Practice, 41(2), 64–70. https://doi.org/10.1207/s15430421tip4102_2</w:t>
      </w:r>
    </w:p>
    <w:sectPr w:rsidR="00FC693F" w:rsidRPr="0006063C" w:rsidSect="00034616">
      <w:footerReference w:type="default" r:id="rId9"/>
      <w:pgSz w:w="12240" w:h="15840"/>
      <w:pgMar w:top="1123" w:right="1296" w:bottom="109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Research article • Conceptual study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10" w:lineRule="auto"/>
    </w:pPr>
    <w:rPr>
      <w:rFonts w:ascii="Cambria" w:hAnsi="Cambr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mbria" w:hAnsi="Cambria"/>
      <w:b/>
      <w:bCs/>
      <w:color w:val="365F91" w:themeColor="accent1" w:themeShade="BF"/>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