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mbria" w:hAnsi="Cambria"/>
          <w:b/>
          <w:sz w:val="30"/>
        </w:rPr>
        <w:t>Inclusive Multimodal AI and Universal Design for Accessible Learning</w:t>
      </w:r>
    </w:p>
    <w:p>
      <w:pPr>
        <w:spacing w:after="120"/>
      </w:pPr>
      <w:r>
        <w:rPr>
          <w:sz w:val="19"/>
        </w:rPr>
        <w:t>Abstract. This article evaluates the opportunities and limitations of artificial intelligence for accessibility, multimodal support, universal design in contemporary education. Based on established learning theory, international policy guidance, and recent research reviews, it develops a specific, human-supervised technology design and a falsifiable evaluation plan. The study argues that automation should be judged by durable learning and accountable practice rather than apparent task completion. A design-centered synthesis identifies the instructional problem, evaluates competing approaches, details a modular system, and specifies outcomes, robustness tests, and ethical safeguards. No experimental results are fabricated: effectiveness remains a proposition to be tested with participants and independent assessments.</w:t>
      </w:r>
    </w:p>
    <w:p>
      <w:pPr>
        <w:spacing w:after="120"/>
      </w:pPr>
      <w:r>
        <w:t>Keywords: artificial intelligence in education; accessibility, multimodal support, universal design; human–AI collaboration; learning outcomes; responsible AI</w:t>
      </w:r>
    </w:p>
    <w:p>
      <w:pPr>
        <w:pStyle w:val="Heading1"/>
      </w:pPr>
      <w:r>
        <w:t>1. Introduction</w:t>
      </w:r>
    </w:p>
    <w:p>
      <w:r>
        <w:t>Generative artificial intelligence has shifted educational technology from relatively narrow prediction and classification tasks toward dialogue, content production, semantic search and software-mediated action. That shift does not by itself establish educational benefit. An assistant may produce an impressive answer while depriving a learner of the cognitive work required to retain and transfer knowledge. Conversely, a limited system that gives well-timed feedback, invites explanation and withholds complete solutions may improve learning even when its language model is less capable. The appropriate unit of investigation is therefore the whole instructional intervention: the learner, learning objective, educator, model, workflow, assessment and institutional setting. The OECD Digital Education Outlook 2026 explicitly distinguishes the productivity of generative tools from their contribution to learning, and UNESCO's guidance emphasizes human-centered governance rather than deployment for its own sake (OECD, 2026; Miao and Holmes, 2023).</w:t>
      </w:r>
    </w:p>
    <w:p>
      <w:r>
        <w:t>Accessibility in education is often framed as a problem of transforming content into a different format. In practice, learners need choice among interaction modes, control over complexity, reliable alternatives and freedom from forced disclosure of a disability. Multimodal AI offers captioning, image description, reading adaptation and conversational navigation, but errors can disproportionately burden the very students those tools are intended to support. This article proposes a universal-design-oriented platform evaluated through accessibility task completion and learner agency rather than generic satisfaction alone.</w:t>
      </w:r>
    </w:p>
    <w:p>
      <w:r>
        <w:t>The immediate challenge is to specify an intervention tightly enough to be evaluated while recognizing that educational practice is heterogeneous. The unit of analysis adopted here is a recurring educational task performed by a student or educator within a documented curriculum. A successful prototype should not be defined by how many AI functions are available. It should instead meet a small set of measurable claims concerning correctness, teacher oversight, learner autonomy and equitable access. This scope also allows comparison with established instructional practice, where human judgment and limited resources already shape what is possible.</w:t>
      </w:r>
    </w:p>
    <w:p>
      <w:pPr>
        <w:pStyle w:val="Heading1"/>
      </w:pPr>
      <w:r>
        <w:t>2. Related Research and Critical Review</w:t>
      </w:r>
    </w:p>
    <w:p>
      <w:r>
        <w:t>The literature on intelligent tutoring predates large language models. Bloom's account of the two-sigma problem framed individualized feedback as an important educational ambition, while subsequent work examined whether automated tutors could approximate some of the benefits of sustained support (Bloom, 1984; VanLehn, 2011). Formative-feedback theory provides an equally important corrective: useful feedback identifies a goal, shows evidence of current performance and indicates a feasible next action, instead of merely announcing correctness (Hattie and Timperley, 2007). Modern generative systems greatly widen the possible interface for this feedback, but the pedagogical mechanism should still be stated explicitly. An intervention may support retrieval practice, worked-example fading, self-explanation, metacognition or instructor decision-making. Claims of impact must specify which mechanism is expected to operate and when.</w:t>
      </w:r>
    </w:p>
    <w:p>
      <w:r>
        <w:t>Traditional assistive technology has established important principles of interoperability, predictability and user control. Generative systems can supplement those tools but should not replace screen readers, accurate structured documents or professional accommodations. A produced image description can miss a critical value on a laboratory graph; simplified language can remove a qualification necessary to understand a scientific claim. Therefore accessibility quality is multidimensional: correctness, completeness, navigability, personal preference and safe failure behavior all matter.</w:t>
      </w:r>
    </w:p>
    <w:p>
      <w:r>
        <w:t>A recurring limitation across the evidence is the mismatch between attractive demonstrations and robust causal evaluation. Many studies measure satisfaction, perceived usefulness or immediate task completion. Those measures are informative for usability, but they are not substitutes for delayed independent achievement. Classrooms differ in prior knowledge, teacher practice, access to devices and language. A promising tool tested with motivated university volunteers may behave differently in a mandatory school course. Furthermore, model versions, prompts, curriculum resources and safety policies change continuously. Reproducible evaluation requires recording these components and distinguishing a change in the AI service from a change in the instructional design. Recent reviews of AI-assisted feedback and generative AI in higher education likewise emphasize conditional rather than universal gains (“Unraveling the mechanisms,” 2025; “Generative AI in higher education,” 2026).</w:t>
      </w:r>
    </w:p>
    <w:p>
      <w:r>
        <w:t>A literature review for a design-oriented thesis should separate three kinds of evidence. First, foundational educational research explains why feedback, practice, explanation and self-regulation might change learning. Second, technical research shows which AI functions can be implemented, such as retrieval, classification, speech recognition, optimization or program verification. Third, controlled educational studies test what happens when those functions are placed into actual courses. Evidence of technical capability cannot be promoted to evidence of learning efficacy. Similarly, evidence from a broad review should not be interpreted as a guaranteed effect in the narrow setting proposed here. This paper uses the recent international and review literature to justify a testable design, not to claim that every proposed component has already been validated.</w:t>
      </w:r>
    </w:p>
    <w:p>
      <w:r>
        <w:t>Accessibility-oriented AI should be designed around learner choice rather than a single model of disability. A student with low vision may benefit from detailed image descriptions; a student with hearing loss may need accurate transcripts and speaker identification; a student with dyslexia may want adjustable reading support without simplified subject matter. These are different tasks requiring distinct validation. The system should offer multiple equivalent representations of course material while leaving learners in control of which adaptation, if any, they use.</w:t>
      </w:r>
    </w:p>
    <w:p>
      <w:pPr>
        <w:pStyle w:val="Heading1"/>
      </w:pPr>
      <w:r>
        <w:t>3. Proposed Approach and Educational Implications</w:t>
      </w:r>
    </w:p>
    <w:p>
      <w:r>
        <w:t>The system is organized as a course-aware service rather than a generic chatbot. The interaction begins with a role and consent check, followed by retrieval from a versioned set of educator-approved resources. A task controller selects a bounded workflow, such as diagnosing an attempt, proposing a next exercise or preparing a draft that requires teacher approval. An inference adapter may use a locally hosted or external model. The result passes through structured validation, domain checks and a risk classifier before reaching a student or teacher. Each displayed response identifies the lesson context and its evidentiary basis where appropriate. Only minimal event metadata are retained for quality measurement; personal content is excluded from diagnostic logs unless the educational purpose and permissions require it. This separation lets researchers replace models without silently changing curricular rules or accountability.</w:t>
      </w:r>
    </w:p>
    <w:p>
      <w:r>
        <w:t>The proposed architecture accepts accessible document markup, speech and permitted visual content. It preserves source structure—headings, tables, equation labels and alt-text—before generating alternative forms. Each transformation is linked back to the original segment so that a student can compare content rather than trust an opaque summary. The interface exposes adjustable reading level, audio pacing, language and layout preferences without requiring users to disclose diagnostic categories. Automated checks verify that numerical facts, negations and safety-relevant instructions are not silently altered.</w:t>
      </w:r>
    </w:p>
    <w:p>
      <w:r>
        <w:t>A mathematical equation presents a useful boundary case. Reading an expression aloud requires structure rather than mere character order, while a generated paraphrase may fail to preserve grouping or operators. Similarly, charts require faithful description of axes, units, ranges and outliers. The prototype should fall back to a structured representation or request human-authored alternatives when confidence is low. Accessibility features must remain available in low-bandwidth settings; local caching and keyboard-only use should be assessed as first-class capabilities.</w:t>
      </w:r>
    </w:p>
    <w:p>
      <w:r>
        <w:t>Implementation can begin with a role-aware web frontend, an API service, PostgreSQL metadata storage, encrypted content storage and a retrieval index containing only permissioned course resources. An inference gateway abstracts the language-model provider so that changes in model quality and operating cost can be evaluated separately. Background jobs perform batch evaluation and data-retention enforcement. Structured test datasets contain expert-approved examples, borderline cases, language variants and intentionally invalid requests. This prototype is achievable without a large proprietary foundation model; the research novelty is the instructional workflow and its rigorous assessment, not a claim to invent a new general-purpose language model.</w:t>
      </w:r>
    </w:p>
    <w:p>
      <w:r>
        <w:t>Multimodal models introduce particularly serious risks when they confidently describe charts, laboratory images or equations incorrectly. A generated caption that omits an axis, legend or safety warning can make a lesson less accessible than the original. Educational institutions therefore need workflows in which teachers or accessibility specialists verify high-impact descriptions and maintain approved alternative text for reusable materials. Automated translation and text simplification also require checks that discipline-specific vocabulary and important qualifications survive the transformation.</w:t>
      </w:r>
    </w:p>
    <w:p>
      <w:pPr>
        <w:pStyle w:val="Heading1"/>
      </w:pPr>
      <w:r>
        <w:t>4. Evaluation, Discussion and Conclusion</w:t>
      </w:r>
    </w:p>
    <w:p>
      <w:r>
        <w:t>A defensible experimental plan begins with co-design interviews and a retrospective validation dataset, followed by a pilot and a controlled comparison. The pilot checks whether the interface is usable, whether explanations are understandable and whether interventions interrupt normal teaching. In the main evaluation, participants should be allocated by student or classroom according to contamination risk; if cluster allocation is used, the analysis must account for shared teacher and school effects. Conditions should include the normal instructional workflow, an appropriately constrained comparator and the proposed design. All groups receive the same curriculum objectives and comparable learning time. Outcome assessors should be blinded when feasible. Record a baseline pretest, an immediate posttest and a delayed unaided test after the tool is withdrawn. The last measure is essential: students must demonstrate what they can do without machine assistance.</w:t>
      </w:r>
    </w:p>
    <w:p>
      <w:r>
        <w:t>The proposed user study should partner with students who use different access technologies throughout design, not only in final testing. Representative tasks include finding a reference in a long PDF, interpreting an educational chart, following a video lesson and answering questions from a complex table. Measure success, completion time, error severity, mental effort and the ability to correct an AI transformation. Report outcomes by access mode without treating a heterogeneous disability group as homogeneous.</w:t>
      </w:r>
    </w:p>
    <w:p>
      <w:r>
        <w:t>A meaningful analysis should report estimated effects and confidence intervals, not only whether a statistical threshold was crossed. Repeated measurements from students within the same classrooms require an analysis that reflects that dependence. Pre-registering outcomes and the handling of missing observations helps prevent selective reporting. Alongside the main effect, the authors should investigate whether the intervention works differently across prior achievement levels and accessibility needs, while treating underpowered subgroup analyses cautiously.</w:t>
      </w:r>
    </w:p>
    <w:p>
      <w:r>
        <w:t>Important risks include accidental revelation of sensitive preference data, bias in transcription of atypical speech, poor image descriptions and educator overconfidence in auto-generated accommodations. A student should be able to reject an adaptation and request the original form. Institutional policy should treat AI-generated adaptations as augmentations under review, not automatic evidence that accessibility obligations have been met.</w:t>
      </w:r>
    </w:p>
    <w:p>
      <w:r>
        <w:t>Operational results need a second interpretive layer. Faster work is not necessarily higher-quality work; students who finish assignments with extensive AI help may still fail later independent tasks. A fall in teacher workload may be valuable, but only when correction effort and error consequences are counted. Satisfaction can help explain adoption yet cannot establish causality. For each metric, the study should specify the population, time horizon and failure cost. Where improvements and risks trade off, decision-makers should consider a Pareto analysis rather than collapsing everything into an opaque score. The appropriate policy may be to permit supervised use, to narrow deployment to low-stakes activities or to stop a feature until its error rate is acceptable.</w:t>
      </w:r>
    </w:p>
    <w:p>
      <w:r>
        <w:t>Educational AI handles information about people who may have limited power to refuse collection, particularly minors. The design should collect only what is necessary, maintain clear retention limits, encrypt data, separate academic support from disciplinary monitoring and offer accessible alternatives. Educators should be able to inspect, correct and override consequential outputs. Students should know when they are interacting with AI and should have a route to a human explanation. Prompt injection, data poisoning and retrieval of unauthorized materials must be treated as concrete software-security risks rather than abstract ethical concerns. Evaluation should include harms such as fabricated citations, inappropriate disclosure, bias across language varieties and confident but incorrect feedback. Governance is therefore part of system performance, not an appendix to it.</w:t>
      </w:r>
    </w:p>
    <w:p>
      <w:r>
        <w:t>The proposed work has several limitations. It is a literature-based design rather than a completed clinical-style trial, and it does not claim numerical gains. Results would not automatically generalize across age groups, languages, schools or regulatory regimes. A production deployment should be preceded by institutional review, data-protection analysis and educator training. Replication packages should specify software versions, model identifiers, prompts, curricular documents, scoring rubrics, exclusions, recruitment method, and the precise difference between treatment and comparator conditions. This reporting discipline is especially important because rapidly changing AI services can otherwise make results difficult to interpret after publication.</w:t>
      </w:r>
    </w:p>
    <w:p>
      <w:r>
        <w:t>A participatory evaluation should include disabled learners as co-designers and paid reviewers, not merely as subjects in a usability test. Alongside task completion time and comprehension, researchers should measure autonomy, satisfaction with the available choices, compatibility with assistive technologies and instances where the system creates a new barrier. Reporting average improvements alone may hide severe failures for a small group. Accessible defaults, the ability to switch modes and a non-AI alternative are essential parts of the design.</w:t>
      </w:r>
    </w:p>
    <w:p>
      <w:r>
        <w:t>The proposed article is a conceptual and methodological contribution, not a report of a completed experiment. Its claims can be tested through a clearly specified prototype, preregistered instructional trial and transparent error audit. The decisive question is whether AI changes what teachers and students can accomplish independently and fairly, not whether it can automate visible output. Future implementations should compare pedagogical designs rather than simply compare model brands, because a better general-purpose model may still be a worse teacher when its assistance is poorly timed or difficult to verify.</w:t>
      </w:r>
    </w:p>
    <w:p>
      <w:r>
        <w:t>For the specific area of accessibility, multimodal support, universal design, the study’s most consequential next step is a small, independently evaluated deployment that measures transfer and errors alongside convenience. The expected contribution is a reusable empirical account of when and why a bounded AI intervention helps—rather than an undifferentiated claim that AI improves education.</w:t>
      </w:r>
    </w:p>
    <w:p>
      <w:pPr>
        <w:pStyle w:val="Heading1"/>
        <w:spacing w:before="240"/>
      </w:pPr>
      <w:r>
        <w:t>References</w:t>
      </w:r>
    </w:p>
    <w:p>
      <w:pPr>
        <w:spacing w:after="60"/>
        <w:ind w:left="331" w:hanging="331"/>
      </w:pPr>
      <w:r>
        <w:rPr>
          <w:sz w:val="18"/>
        </w:rPr>
        <w:t>Bloom, B. S. (1984). The 2 sigma problem: The search for methods of group instruction as effective as one-to-one tutoring. Educational Researcher, 13(6), 4–16.</w:t>
      </w:r>
    </w:p>
    <w:p>
      <w:pPr>
        <w:spacing w:after="60"/>
        <w:ind w:left="331" w:hanging="331"/>
      </w:pPr>
      <w:r>
        <w:rPr>
          <w:sz w:val="18"/>
        </w:rPr>
        <w:t>Hattie, J., &amp; Timperley, H. (2007). The power of feedback. Review of Educational Research, 77(1), 81–112. https://doi.org/10.3102/003465430298487</w:t>
      </w:r>
    </w:p>
    <w:p>
      <w:pPr>
        <w:spacing w:after="60"/>
        <w:ind w:left="331" w:hanging="331"/>
      </w:pPr>
      <w:r>
        <w:rPr>
          <w:sz w:val="18"/>
        </w:rPr>
        <w:t>VanLehn, K. (2011). The relative effectiveness of human tutoring, intelligent tutoring systems, and other tutoring systems. Educational Psychologist, 46(4), 197–221. https://doi.org/10.1080/00461520.2011.611369</w:t>
      </w:r>
    </w:p>
    <w:p>
      <w:pPr>
        <w:spacing w:after="60"/>
        <w:ind w:left="331" w:hanging="331"/>
      </w:pPr>
      <w:r>
        <w:rPr>
          <w:sz w:val="18"/>
        </w:rPr>
        <w:t>Miao, F., &amp; Holmes, W. (2023). Guidance for generative AI in education and research. UNESCO. https://www.unesco.org/en/articles/guidance-generative-ai-education-and-research</w:t>
      </w:r>
    </w:p>
    <w:p>
      <w:pPr>
        <w:spacing w:after="60"/>
        <w:ind w:left="331" w:hanging="331"/>
      </w:pPr>
      <w:r>
        <w:rPr>
          <w:sz w:val="18"/>
        </w:rPr>
        <w:t>OECD. (2026). OECD Digital Education Outlook 2026: Exploring effective uses of generative AI in education. OECD Publishing. https://doi.org/10.1787/062a7394-en</w:t>
      </w:r>
    </w:p>
    <w:p>
      <w:pPr>
        <w:spacing w:after="60"/>
        <w:ind w:left="331" w:hanging="331"/>
      </w:pPr>
      <w:r>
        <w:rPr>
          <w:sz w:val="18"/>
        </w:rPr>
        <w:t>Unraveling the mechanisms and effectiveness of AI-assisted feedback in education: A systematic literature review. (2025). Computers and Education Open, 9, 100284. https://doi.org/10.1016/j.caeo.2025.100284</w:t>
      </w:r>
    </w:p>
    <w:p>
      <w:pPr>
        <w:spacing w:after="60"/>
        <w:ind w:left="331" w:hanging="331"/>
      </w:pPr>
      <w:r>
        <w:rPr>
          <w:sz w:val="18"/>
        </w:rPr>
        <w:t>Mar​​​zano, D. (2025). Generative artificial intelligence (GAI) in teaching and learning processes at the K–12 level: A systematic review. Technology, Knowledge and Learning. https://doi.org/10.1007/s10758-025-09853-7</w:t>
      </w:r>
    </w:p>
    <w:p>
      <w:pPr>
        <w:spacing w:after="60"/>
        <w:ind w:left="331" w:hanging="331"/>
      </w:pPr>
      <w:r>
        <w:rPr>
          <w:sz w:val="18"/>
        </w:rPr>
        <w:t>Manorat, P., Tuarob, S., &amp; Pongpaichet, S. (2025). Artificial intelligence in computer programming education: A systematic literature review. Computers and Education: Artificial Intelligence, 100403. https://doi.org/10.1016/j.caeai.2025.100403</w:t>
      </w:r>
    </w:p>
    <w:p>
      <w:pPr>
        <w:spacing w:after="60"/>
        <w:ind w:left="331" w:hanging="331"/>
      </w:pPr>
      <w:r>
        <w:rPr>
          <w:sz w:val="18"/>
        </w:rPr>
        <w:t>Generative AI in higher education: A systematic review of empirical uses, outcomes, and risks. (2026). Computers and Education: Artificial Intelligence. https://www.sciencedirect.com/science/article/pii/S2666374026000130</w:t>
      </w:r>
    </w:p>
    <w:p>
      <w:pPr>
        <w:spacing w:after="60"/>
        <w:ind w:left="331" w:hanging="331"/>
      </w:pPr>
      <w:r>
        <w:rPr>
          <w:sz w:val="18"/>
        </w:rPr>
        <w:t>Zimmerman, B. J. (2002). Becoming a self-regulated learner: An overview. Theory Into Practice, 41(2), 64–70. https://doi.org/10.1207/s15430421tip4102_2</w:t>
      </w:r>
    </w:p>
    <w:sectPr w:rsidR="00FC693F" w:rsidRPr="0006063C" w:rsidSect="00034616">
      <w:footerReference w:type="default" r:id="rId9"/>
      <w:pgSz w:w="12240" w:h="15840"/>
      <w:pgMar w:top="1123" w:right="1296" w:bottom="109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article • Conceptual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0" w:lineRule="auto"/>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mbria" w:hAnsi="Cambria"/>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