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Governed AI Agents for Coordinating Educational Workflows</w:t>
      </w:r>
    </w:p>
    <w:p>
      <w:pPr>
        <w:spacing w:after="120"/>
      </w:pPr>
      <w:r>
        <w:rPr>
          <w:sz w:val="19"/>
        </w:rPr>
        <w:t>Abstract. This article evaluates the opportunities and limitations of artificial intelligence for agentic AI, tool use, governance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agentic AI, tool use, governance;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The newest educational AI systems increasingly promise to complete multistep tasks rather than merely answer questions. An agent might locate course readings, draft a practice quiz, reserve a tutoring session, prepare feedback and update a study plan. These actions cross boundaries between information generation and changes to institutional records. The thesis of this article is that educational agent usefulness must be balanced against authorization, verifiability and reversible action. Its research question is whether a policy-governed tool-using architecture improves workflow completion without producing unacceptable side effects.</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A chat assistant's hallucinated suggestion may be inconvenient; an agent's hallucinated calendar action, grade modification or email can have durable consequences. Educational research must therefore examine the entire trajectory of tool use, not only the linguistic quality of the final response. The OECD's 2026 outlook situates generative AI within institutional services as well as teaching, making this governance question especially timely. Broad claims that fully autonomous agents outperform educators remain hypotheses and should not be written as observed results.</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An educational agent is distinguishable from a chatbot when it can plan and execute sequences of bounded actions: retrieve course resources, generate practice activities, schedule a revision session or prepare a draft message for teacher approval. This capability creates new failure modes. A single ambiguous instruction might lead to incorrect calendar modifications, exposure of private records or cascading mistakes across connected applications. Consequently, agency should be granted at the action level, with permissions, approval checkpoints and reliable rollback procedures rather than unrestricted authority to manage the student's academic life.</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proposed orchestration layer decomposes a request into authorized subtasks and allocates explicit capabilities. A retrieval agent can read approved curriculum sources; an assessment assistant can draft comments but not publish grades; a scheduling component can propose times but must request approval before modifying a calendar. A central policy engine records the requester, purpose, data scope, tool, arguments and approval state. A verifier checks that cited documents exist and that action results match returned tool records. Suspicious instructions embedded in retrieved content are treated as untrusted data.</w:t>
      </w:r>
    </w:p>
    <w:p>
      <w:r>
        <w:t>Human approval should be risk-proportional. Fetching public course instructions can proceed automatically; editing an educator's private materials or contacting a student should require a confirmation step; modifying grades or sensitive records may be disallowed altogether. The agent must surface a dry-run action plan and provide a clear rollback when the underlying system supports it. Permission is scoped to the immediate educational task rather than inherited from a broadly privileged administrative account.</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A useful agent architecture separates deliberation from execution. A planning component proposes steps; policy checks confirm that each step is permitted; typed tools perform narrow operations; and an auditable event log records requests, approvals, outputs and reversals. High-stakes actions, including grade changes, disclosures of student information and official communications, must require named human authorization. Retrieval should be limited to trusted curriculum and institutional policy sources, because text found in external documents can contain misleading instructions that an agent must not treat as commands.</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Evaluation requires an end-to-end benchmark of realistic multi-step requests and adversarial cases. Measure task success after external-state verification, the number of unnecessary actions, completion time, user correction burden and severity-weighted policy violations. A comparator may use a non-agentic assistant that drafts a plan for manual execution. Conduct prospective pilots only on reversible tasks before allowing real calendar or document changes. Human evaluators should judge whether each action was necessary and whether the explanation matched the actual workflow.</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Red-team scenarios should include a malicious instruction in a course PDF, an ambiguous identity, a stale document, conflicting deadlines and an instruction to email the wrong recipient. Evaluate how often the agent abstains correctly, requests approval and recovers from failure. Interoperability standards and model substitution are useful engineering features but cannot compensate for weak authorization. The main intellectual contribution is a framework for trustworthy action, not maximal automation.</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The evaluation must go beyond response quality. Researchers should construct realistic multi-step scenarios containing conflicting deadlines, revoked permissions, misleading retrieved content and interrupted network calls. Measures include task completion, incorrect actions, recovery after failure, number of human interventions and user understanding of what the system changed. Students and teachers should be able to inspect the agent's proposed action plan before accepting it. The central research question is whether limited autonomy yields enough educational benefit to justify the additional operational risk.</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agentic AI, tool use, governance,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