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Literacy and Critical Evaluation in Secondary Education</w:t>
      </w:r>
    </w:p>
    <w:p>
      <w:r>
        <w:rPr>
          <w:b/>
        </w:rPr>
        <w:t xml:space="preserve">Abstract. </w:t>
      </w:r>
      <w:r>
        <w:t>This mini-thesis investigates AI literacy as a specific problem for contemporary education. It argues that the ability to interrogate generated claims, sources, and uncertainty cannot be addressed by deploying an unconstrained language model alone. Drawing on research and institutional guidance, the paper critically examines the promise and limitations of educational generative AI, proposes source-checking laboratories, prompt comparison, and student-produced audit notes, and specifies a rigorous evaluation centered on accurate identification of unsupported claims. It also examines the consequential risk of students who use AI confidently but cannot explain its limitations. The work is a conceptual design and empirical research proposal, not a report of completed experiments. The intended contribution is an accountable model of educational AI that prioritizes independent student learning, teacher authority, and transparent evidence.</w:t>
      </w:r>
    </w:p>
    <w:p>
      <w:r>
        <w:rPr>
          <w:b/>
        </w:rPr>
        <w:t xml:space="preserve">Keywords: </w:t>
      </w:r>
      <w:r>
        <w:t>artificial intelligence; education; AI literacy; generative AI; learning evaluation; human oversight</w:t>
      </w:r>
    </w:p>
    <w:p>
      <w:pPr>
        <w:pStyle w:val="Heading1"/>
      </w:pPr>
      <w:r>
        <w:t>1. Introduction and Research Problem</w:t>
      </w:r>
    </w:p>
    <w:p>
      <w:r>
        <w:t>The rapid adoption of generative artificial intelligence in education has shifted the central policy question from whether AI belongs in learning environments to what kinds of learning activities it should mediate. In AI literacy, this shift exposes a specific problem: the ability to interrogate generated claims, sources, and uncertainty. Tools that can generate fluent responses appear useful immediately, but surface fluency cannot be equated with instructional quality. Learners may finish a task faster without acquiring the reasoning that the task was intended to develop. This mini-thesis therefore examines AI as an educational intervention rather than as a general productivity application. It asks under which conditions AI changes learner reasoning, what oversight is necessary, and how claims of value should be evaluated.</w:t>
      </w:r>
    </w:p>
    <w:p>
      <w:r>
        <w:t>The motivation is both pedagogical and institutional. Schools face heterogeneous student preparation, constrained teacher time, increasingly diverse language needs, and pressure to document outcomes. A system developed around AI literacy promises scalable assistance, but the distribution of that assistance may be unequal. Students with strong prior knowledge are better positioned to challenge confident errors, while novices can mistake generated explanations for verified facts. The design problem is thus asymmetrical: the students who could benefit most from immediate support may also be least able to detect its limitations. An effective intervention should incorporate teachable verification routines rather than assuming that natural-language interaction is intrinsically safe.</w:t>
      </w:r>
    </w:p>
    <w:p>
      <w:r>
        <w:t>The research objective is to specify a defensible model for AI-supported AI literacy, identify the gap between current tool affordances and educational requirements, and propose an evaluable implementation. Three connected questions guide the argument: What forms of AI literacy are not reliably addressed by generic conversational interfaces? Which human and technical safeguards preserve learner agency? And what evidence would demonstrate improvement in accurate identification of unsupported claims rather than mere satisfaction or task completion? The contribution of the paper is conceptual and methodological: an explicit mechanism of action, a feasible intervention, and an evaluation protocol, not a claim to have conducted an experiment.</w:t>
      </w:r>
    </w:p>
    <w:p>
      <w:r>
        <w:t>This scope matters because educational AI sits at the intersection of learning science, software engineering, and governance. Educational effectiveness is conditional on the kind of task, the learner’s prior knowledge, the intervention’s duration, teacher participation, and the incentives built into the assessment. A tool that is acceptable for brainstorming may be unsuitable for grading a final submission or making a consequential recommendation. This paper treats such distinctions as design requirements and rejects the idea of one universal interface replacing instructional judgment.</w:t>
      </w:r>
    </w:p>
    <w:p>
      <w:pPr>
        <w:pStyle w:val="Heading1"/>
      </w:pPr>
      <w:r>
        <w:t>2. Literature Review and Research Gap</w:t>
      </w:r>
    </w:p>
    <w:p>
      <w:r>
        <w:t>The current literature establishes possibilities without justifying unrestricted deployment. Kasneci et al. (2023) describe opportunities for feedback, explanation, and content production while highlighting hallucination, bias, and the need for new literacies. UNESCO (2023) argues for a human-centred approach with institutional safeguards; its 2024 competency frameworks further differentiate critical student capabilities from educators’ professional responsibilities. These are complementary rather than interchangeable contributions: technical fluency describes what a model can produce, whereas educational competence describes what a learner should understand and be able to do. In AI literacy, the distinction is especially important because students who use AI confidently but cannot explain its limitations.</w:t>
      </w:r>
    </w:p>
    <w:p>
      <w:r>
        <w:t>The OECD Digital Education Outlook 2026 examines emerging generative-AI applications and the evidence required to use them responsibly. Its synthesis reinforces a persistent methodological concern: apparent performance gains under tool-assisted conditions may not persist when assistance is withdrawn. Applied to AI literacy, short-term success could be a student accepting or polishing a generated artifact, while durable competence would require independent judgment in a new setting. Evaluations must therefore include unaided transfer tasks, delayed assessment, and behavioral evidence of reasoning instead of relying exclusively on engagement statistics or self-reported confidence.</w:t>
      </w:r>
    </w:p>
    <w:p>
      <w:r>
        <w:t>An additional limitation in much early discussion is the tendency to treat “AI use” as a uniform intervention. A teacher-supervised system that asks learners to justify competing interpretations is fundamentally different from an unconstrained answer engine. Likewise, a model whose outputs are linked to a verified curriculum or source set presents different risks from one that freely invents context. For AI literacy, the relevant unit of analysis should be the complete instructional workflow: goal definition, learner input, retrieval or generation, verification, feedback, teacher intervention, and final demonstration of competence. Describing only the model name conceals what participants actually experience.</w:t>
      </w:r>
    </w:p>
    <w:p>
      <w:r>
        <w:t>A critical review must also consider what is missing. Published case studies often rely on short implementations, convenience samples, or assessments closely aligned with the AI-supported activity. The resulting findings can be locally useful but difficult to generalize across age groups, curricula, language backgrounds, and institutional settings. The research gap targeted here is a mechanism-level account of how source-checking laboratories, prompt comparison, and student-produced audit notes could improve accurate identification of unsupported claims while preventing students who use AI confidently but cannot explain its limitations. Such an account must distinguish predictions made by the model from authoritative curricular material and record when an educator changes or rejects an AI suggestion.</w:t>
      </w:r>
    </w:p>
    <w:p>
      <w:r>
        <w:t>Privacy and fairness are not independent afterthoughts. Data minimization changes which personalized recommendations are technically possible, and human review changes the time savings a school might reasonably expect. Accessible design, multilingual support, and clear appeals processes affect who can participate in the intervention. The UNESCO and European Commission guidance documents are best understood as constraints on system architecture and organizational practice, not as evidence that any particular product is effective. Their value lies in turning abstract principles into audit questions that an evaluator can investigate.</w:t>
      </w:r>
    </w:p>
    <w:p>
      <w:pPr>
        <w:pStyle w:val="Heading1"/>
      </w:pPr>
      <w:r>
        <w:t>3. Proposed Framework and Implementation</w:t>
      </w:r>
    </w:p>
    <w:p>
      <w:r>
        <w:t>The proposed system is a constrained educational workflow organized around source-checking laboratories, prompt comparison, and student-produced audit notes. At entry, an educator specifies the learning objective, acceptable source materials, age or course level, expected student activity, and conditions under which the model must decline or refer a case to a human. The interface asks learners to articulate their initial view before obtaining assistance. This first response is saved as a learning artifact rather than treated as an error to erase. The system then produces prompts, feedback, or alternative pathways designed to elicit explanation and revision instead of simply giving final answers.</w:t>
      </w:r>
    </w:p>
    <w:p>
      <w:r>
        <w:t>The design uses three separable components. A pedagogical policy layer determines the appropriate form of help; a content layer retrieves authorized instructional material and attaches provenance; and an interaction layer presents feedback and captures learner decisions. In AI literacy, these components should not be collapsed into one opaque prompt. For example, source selection should be auditable independently of feedback phrasing, and educators should be able to override both. This division also enables systematic testing: researchers can compare fixed resources with generated explanations, and teacher-directed guidance with unrestricted assistance.</w:t>
      </w:r>
    </w:p>
    <w:p>
      <w:r>
        <w:t>A representative classroom sequence begins with an unaided task that diagnoses prior understanding. Students next receive calibrated support, initially focused on questions or hints and escalating only when they explicitly request further explanation. When the system offers a claim, it should indicate which part is sourced, which is a tentative inference, and what evidence would falsify it. At the end of the session, learners complete an independent transfer activity. The procedure makes accurate identification of unsupported claims the target rather than quantity of AI interaction, and supplies a record of which interventions preceded a particular change in performance.</w:t>
      </w:r>
    </w:p>
    <w:p>
      <w:r>
        <w:t>The teacher-facing component is designed for interpretability. It presents recurring misconceptions, examples of student reasoning, unresolved questions, and suggested next actions. It should not translate model confidence into a claim about a student’s ability. In particular, indicators that could affect placement, discipline, or progression require review by a qualified educator. For AI literacy, the dashboard can flag potential issues while making clear that these are hypotheses requiring contextual judgment. The teacher remains responsible for pedagogical decisions; the AI functions as a revisable assistant.</w:t>
      </w:r>
    </w:p>
    <w:p>
      <w:r>
        <w:t>Implementation should proceed in stages. A controlled prototype would use a small, consented dataset and a fixed instructional unit. Content experts would construct a reference set and write explicit criteria for useful responses, harmful errors, and mandatory escalation. Pilot sessions would uncover vocabulary mismatches, misleading suggestions, and accessibility barriers before deployment at classroom scale. Only after these checks would integration with a learning management system be considered. This staged approach limits the harm of premature automation and creates traceable evidence for each release.</w:t>
      </w:r>
    </w:p>
    <w:p>
      <w:r>
        <w:t>The system also requires a governance arrangement proportionate to the task. Participation must be transparent; personal data retained only for the justified educational purpose; and model output logs protected from unauthorized use. Particular attention should be paid to the failure mode of students who use AI confidently but cannot explain its limitations. A practical mitigation involves adversarial test prompts, educator inspection of sampled interactions, student reporting channels, and versioned records of model or prompt changes. A school needs the ability to suspend features when the observed pattern of errors makes the claimed instructional benefit doubtful.</w:t>
      </w:r>
    </w:p>
    <w:p>
      <w:pPr>
        <w:pStyle w:val="Heading1"/>
      </w:pPr>
      <w:r>
        <w:t>4. Evaluation, Discussion, and Conclusion</w:t>
      </w:r>
    </w:p>
    <w:p>
      <w:r>
        <w:t>The evaluation design compares the proposed intervention with an appropriate non-AI teaching condition and, where feasible, with ordinary unconstrained AI assistance. Participants should be allocated by class or learner in a way that reduces spillover; baseline subject knowledge, prior AI familiarity, language proficiency, and access conditions should be recorded. The primary outcome is accurate identification of unsupported claims, measured independently of the AI platform. Secondary outcomes include time required, learner agency, teacher workload, reported trust, and the frequency of verifiable errors. Any gains should be interpreted in light of the resources needed to obtain them.</w:t>
      </w:r>
    </w:p>
    <w:p>
      <w:r>
        <w:t>Measurement is central to construct validity. For AI literacy, evaluators should triangulate student reflections, verification logs, and independent fact-checking tasks rather than relying on a single end-of-course satisfaction survey. An outcome rubric should be written before data collection, and raters assessing learner work should ideally be unaware of assignment conditions. Reporting should include the proportion of participants who withdrew, missing data, subgroup differences, and examples of failure, not just average improvements. Qualitative interviews can clarify why an intervention worked for some students and obstructed others.</w:t>
      </w:r>
    </w:p>
    <w:p>
      <w:r>
        <w:t>A particularly informative test separates assisted performance from independent capability. Learners first perform during the supported unit, then complete a parallel assessment without AI, and finally a delayed task that differs in surface form. If supported performance rises while independent performance remains unchanged, the system may be a productivity aid rather than an educational intervention. This result would not make the product useless, but it would require a narrower claim. For AI literacy, sustained evidence of accurate identification of unsupported claims should be treated as the primary standard for educational success.</w:t>
      </w:r>
    </w:p>
    <w:p>
      <w:r>
        <w:t>The most significant threats to validity are instructor effects, novelty, unequal technical access, and differences in the difficulty of learning tasks. Teacher training must be documented, since a highly engaged instructor can improve outcomes independently of the AI. Similarly, the model’s version and configuration must be fixed within each study condition. Open-ended student use beyond observed sessions can contaminate comparisons. Evaluation reports should explain how these effects were monitored and which conclusions remain tentative. The proposal does not assert positive results before data exist.</w:t>
      </w:r>
    </w:p>
    <w:p>
      <w:r>
        <w:t>Future investigations should compare age groups, disciplines, resource-constrained schools, and learners with different accessibility needs. They should also test whether stronger constraints reduce harmful outputs while preserving useful flexibility. The deeper research question is institutional: whether investment in source-checking laboratories, prompt comparison, and student-produced audit notes produces educational value exceeding the costs of supervision, infrastructure, training, and governance. An ethically credible adoption decision should rest on that combined account rather than on the sophistication of the model alone.</w:t>
      </w:r>
    </w:p>
    <w:p>
      <w:r>
        <w:t>In conclusion, the potential of AI for AI literacy rests on the design of learning relationships, not on automation as an end in itself. The proposed framework combines traceable content, calibrated guidance, human authority, and evidence of independent learning. Its central claim is a hypothesis open to testing: an intervention explicitly designed to address the ability to interrogate generated claims, sources, and uncertainty may improve accurate identification of unsupported claims while limiting students who use AI confidently but cannot explain its limitations. Demonstrating that claim requires careful comparison, longitudinal assessment, and transparent reporting. This is the appropriate foundation for future empirical thesis work.</w:t>
      </w:r>
    </w:p>
    <w:p>
      <w:pPr>
        <w:pStyle w:val="Heading1"/>
      </w:pPr>
      <w:r>
        <w:t>References</w:t>
      </w:r>
    </w:p>
    <w:p>
      <w:pPr>
        <w:spacing w:after="60"/>
        <w:ind w:left="360" w:hanging="360"/>
      </w:pPr>
      <w:r>
        <w:t>UNESCO. (2023). Guidance for generative AI in education and research. https://www.unesco.org/en/articles/guidance-generative-ai-education-and-research</w:t>
      </w:r>
    </w:p>
    <w:p>
      <w:pPr>
        <w:spacing w:after="60"/>
        <w:ind w:left="360" w:hanging="360"/>
      </w:pPr>
      <w:r>
        <w:t>UNESCO. (2024). AI competency framework for teachers. https://www.unesco.org/en/articles/ai-competency-framework-teachers</w:t>
      </w:r>
    </w:p>
    <w:p>
      <w:pPr>
        <w:spacing w:after="60"/>
        <w:ind w:left="360" w:hanging="360"/>
      </w:pPr>
      <w:r>
        <w:t>UNESCO. (2024). AI competency framework for students. https://www.unesco.org/en/articles/ai-competency-framework-students</w:t>
      </w:r>
    </w:p>
    <w:p>
      <w:pPr>
        <w:spacing w:after="60"/>
        <w:ind w:left="360" w:hanging="360"/>
      </w:pPr>
      <w:r>
        <w:t>OECD. (2026). OECD Digital Education Outlook 2026. https://www.oecd.org/content/dam/oecd/en/publications/reports/2026/01/oecd-digital-education-outlook-2026_940e0dd8/062a7394-en.pdf</w:t>
      </w:r>
    </w:p>
    <w:p>
      <w:pPr>
        <w:spacing w:after="60"/>
        <w:ind w:left="360" w:hanging="360"/>
      </w:pPr>
      <w:r>
        <w:t>Kasneci, E., et al. (2023). ChatGPT for good? On opportunities and challenges of large language models for education. Learning and Individual Differences, 103, 102274. https://doi.org/10.1016/j.lindif.2023.102274</w:t>
      </w:r>
    </w:p>
    <w:p>
      <w:pPr>
        <w:spacing w:after="60"/>
        <w:ind w:left="360" w:hanging="360"/>
      </w:pPr>
      <w:r>
        <w:t>UNESCO. (2021). Recommendation on the Ethics of Artificial Intelligence. https://www.unesco.org/en/artificial-intelligence/recommendation-ethics</w:t>
      </w:r>
    </w:p>
    <w:p>
      <w:pPr>
        <w:spacing w:after="60"/>
        <w:ind w:left="360" w:hanging="360"/>
      </w:pPr>
      <w:r>
        <w:t>UNICEF. (2021). Policy guidance on AI for children. https://www.unicef.org/globalinsight/reports/policy-guidance-ai-children</w:t>
      </w:r>
    </w:p>
    <w:p>
      <w:pPr>
        <w:spacing w:after="60"/>
        <w:ind w:left="360" w:hanging="360"/>
      </w:pPr>
      <w:r>
        <w:t>European Commission. (2022). Ethical guidelines on the use of artificial intelligence and data in teaching and learning for educators. https://education.ec.europa.eu/focus-topics/digital-education/action-plan/ethical-guidelines-for-educators-on-using-ai</w:t>
      </w:r>
    </w:p>
    <w:sectPr w:rsidR="00FC693F" w:rsidRPr="0006063C" w:rsidSect="00034616">
      <w:footerReference w:type="default" r:id="rId9"/>
      <w:pgSz w:w="12240" w:h="15840"/>
      <w:pgMar w:top="1037" w:right="1238" w:bottom="979"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Research proposal • literature-based mini-thesis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6"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