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AI-Mediated Parent–School Communication</w:t>
      </w:r>
    </w:p>
    <w:p>
      <w:r>
        <w:rPr>
          <w:b/>
        </w:rPr>
        <w:t xml:space="preserve">Abstract. </w:t>
      </w:r>
      <w:r>
        <w:t>This mini-thesis investigates family–school communication as a specific problem for contemporary education. It argues that inclusive two-way communication without weakening trust cannot be addressed by deploying an unconstrained language model alone. Drawing on research and institutional guidance, the paper critically examines the promise and limitations of educational generative AI, proposes multilingual plain-language drafts with staff verification and escalation protocols, and specifies a rigorous evaluation centered on comprehension, response quality, and family trust. It also examines the consequential risk of mistranslation of sensitive behavior, welfare, or disciplinary information.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family–school communication;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family–school communication, this shift exposes a specific problem: inclusive two-way communication without weakening trust.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family–school communication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family–school communication, identify the gap between current tool affordances and educational requirements, and propose an evaluable implementation. Three connected questions guide the argument: What forms of family–school communication are not reliably addressed by generic conversational interfaces? Which human and technical safeguards preserve learner agency? And what evidence would demonstrate improvement in comprehension, response quality, and family trust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family–school communication, the distinction is especially important because mistranslation of sensitive behavior, welfare, or disciplinary information.</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family–school communication,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family–school communication,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multilingual plain-language drafts with staff verification and escalation protocols could improve comprehension, response quality, and family trust while preventing mistranslation of sensitive behavior, welfare, or disciplinary information.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multilingual plain-language drafts with staff verification and escalation protocols.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family–school communication,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comprehension, response quality, and family trust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family–school communication,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mistranslation of sensitive behavior, welfare, or disciplinary information.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comprehension, response quality, and family trust,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family–school communication, evaluators should triangulate message comprehension tests, staff error logs, and family interviews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family–school communication, sustained evidence of comprehension, response quality, and family trust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multilingual plain-language drafts with staff verification and escalation protocols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family–school communication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inclusive two-way communication without weakening trust may improve comprehension, response quality, and family trust while limiting mistranslation of sensitive behavior, welfare, or disciplinary information.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