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719C2D" w14:textId="77777777">
      <w:pPr>
        <w:pBdr/>
        <w:spacing w:after="280" w:line="360" w:lineRule="auto"/>
        <w:ind/>
        <w:jc w:val="center"/>
        <w:rPr>
          <w:rFonts w:ascii="Times New Roman" w:hAnsi="Times New Roman" w:eastAsia="Times New Roman" w:cs="Times New Roman"/>
          <w:b/>
          <w:bCs/>
        </w:rPr>
      </w:pPr>
      <w:r>
        <w:rPr>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0</wp:posOffset>
                </wp:positionV>
                <wp:extent cx="1059180" cy="706120"/>
                <wp:effectExtent l="0" t="0" r="0" b="0"/>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11"/>
                        <a:stretch/>
                      </pic:blipFill>
                      <pic:spPr bwMode="auto">
                        <a:xfrm>
                          <a:off x="0" y="0"/>
                          <a:ext cx="1059180" cy="7061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00pt;mso-position-horizontal:absolute;mso-position-vertical-relative:text;margin-top:0.00pt;mso-position-vertical:absolute;width:83.40pt;height:55.60pt;mso-wrap-distance-left:9.00pt;mso-wrap-distance-top:0.00pt;mso-wrap-distance-right:9.00pt;mso-wrap-distance-bottom:0.00pt;z-index:1;">
                <w10:wrap type="square"/>
                <v:imagedata r:id="rId11" o:title=""/>
                <o:lock v:ext="edit" rotation="t"/>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5471160</wp:posOffset>
                </wp:positionH>
                <wp:positionV relativeFrom="paragraph">
                  <wp:posOffset>129539</wp:posOffset>
                </wp:positionV>
                <wp:extent cx="708660" cy="70866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2"/>
                        <a:stretch/>
                      </pic:blipFill>
                      <pic:spPr bwMode="auto">
                        <a:xfrm>
                          <a:off x="0" y="0"/>
                          <a:ext cx="708660" cy="7086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430.80pt;mso-position-horizontal:absolute;mso-position-vertical-relative:text;margin-top:10.20pt;mso-position-vertical:absolute;width:55.80pt;height:55.80pt;mso-wrap-distance-left:9.00pt;mso-wrap-distance-top:0.00pt;mso-wrap-distance-right:9.00pt;mso-wrap-distance-bottom:0.00pt;z-index:1;">
                <w10:wrap type="square"/>
                <v:imagedata r:id="rId12" o:title=""/>
                <o:lock v:ext="edit" rotation="t"/>
              </v:shape>
            </w:pict>
          </mc:Fallback>
        </mc:AlternateContent>
      </w:r>
      <w:r>
        <w:rPr>
          <w:rFonts w:ascii="Times New Roman" w:hAnsi="Times New Roman" w:eastAsia="Times New Roman" w:cs="Times New Roman"/>
          <w:b/>
          <w:bCs/>
        </w:rPr>
      </w:r>
    </w:p>
    <w:p w14:paraId="46815186" w14:textId="77777777">
      <w:pPr>
        <w:pBdr/>
        <w:spacing/>
        <w:ind/>
        <w:jc w:val="center"/>
        <w:rPr>
          <w:rFonts w:ascii="Times New Roman" w:hAnsi="Times New Roman" w:eastAsia="Times New Roman" w:cs="Times New Roman"/>
          <w:b/>
          <w:bCs/>
        </w:rPr>
      </w:pPr>
      <w:r>
        <w:rPr>
          <w:rFonts w:ascii="Times New Roman" w:hAnsi="Times New Roman" w:eastAsia="Times New Roman" w:cs="Times New Roman"/>
          <w:b/>
          <w:bCs/>
        </w:rPr>
      </w:r>
    </w:p>
    <w:p w14:paraId="6A216016" w14:textId="77777777">
      <w:pPr>
        <w:pBdr/>
        <w:spacing/>
        <w:ind/>
        <w:jc w:val="center"/>
        <w:rPr>
          <w:rFonts w:ascii="Times New Roman" w:hAnsi="Times New Roman" w:eastAsia="Times New Roman" w:cs="Times New Roman"/>
          <w:b/>
          <w:bCs/>
        </w:rPr>
      </w:pPr>
      <w:r>
        <w:rPr>
          <w:rFonts w:ascii="Times New Roman" w:hAnsi="Times New Roman" w:eastAsia="Times New Roman" w:cs="Times New Roman"/>
          <w:b/>
          <w:bCs/>
        </w:rPr>
      </w:r>
    </w:p>
    <w:p w14:paraId="1D70271A" w14:textId="77777777">
      <w:pPr>
        <w:pBdr/>
        <w:spacing/>
        <w:ind/>
        <w:jc w:val="center"/>
        <w:rPr>
          <w:rFonts w:ascii="Times New Roman" w:hAnsi="Times New Roman" w:eastAsia="Times New Roman" w:cs="Times New Roman"/>
          <w:b/>
          <w:bCs/>
        </w:rPr>
      </w:pPr>
      <w:r>
        <w:rPr>
          <w:rFonts w:ascii="Times New Roman" w:hAnsi="Times New Roman" w:eastAsia="Times New Roman" w:cs="Times New Roman"/>
          <w:b/>
          <w:bCs/>
        </w:rPr>
      </w:r>
    </w:p>
    <w:p w14:paraId="7298D4A1" w14:textId="3B282E3B">
      <w:pPr>
        <w:pBdr/>
        <w:spacing/>
        <w:ind/>
        <w:jc w:val="center"/>
        <w:rPr>
          <w:rFonts w:ascii="Times New Roman" w:hAnsi="Times New Roman" w:eastAsia="Times New Roman" w:cs="Times New Roman"/>
          <w:b/>
          <w:bCs/>
        </w:rPr>
      </w:pPr>
      <w:r>
        <w:rPr>
          <w:rFonts w:ascii="Times New Roman" w:hAnsi="Times New Roman" w:eastAsia="Times New Roman" w:cs="Times New Roman"/>
          <w:b/>
          <w:bCs/>
        </w:rPr>
        <w:t xml:space="preserve">TECHNICAL DESIGN</w:t>
      </w:r>
    </w:p>
    <w:p w14:paraId="0F825F8F" w14:textId="24A3C56F">
      <w:pPr>
        <w:pBdr/>
        <w:spacing/>
        <w:ind/>
        <w:jc w:val="center"/>
        <w:rPr>
          <w:rFonts w:ascii="Times New Roman" w:hAnsi="Times New Roman" w:eastAsia="Times New Roman" w:cs="Times New Roman"/>
        </w:rPr>
      </w:pPr>
      <w:r>
        <w:rPr>
          <w:rFonts w:ascii="Times New Roman" w:hAnsi="Times New Roman" w:eastAsia="Times New Roman" w:cs="Times New Roman"/>
          <w:b/>
          <w:bCs/>
        </w:rPr>
        <w:t xml:space="preserve">FOR</w:t>
      </w:r>
      <w:r>
        <w:rPr>
          <w:rFonts w:ascii="Times New Roman" w:hAnsi="Times New Roman" w:eastAsia="Times New Roman" w:cs="Times New Roman"/>
        </w:rPr>
      </w:r>
    </w:p>
    <w:p w14:paraId="6C220990" w14:textId="72156398">
      <w:pPr>
        <w:pBdr/>
        <w:spacing/>
        <w:ind/>
        <w:jc w:val="center"/>
        <w:rPr>
          <w:rFonts w:ascii="Times New Roman" w:hAnsi="Times New Roman" w:eastAsia="Times New Roman" w:cs="Times New Roman"/>
        </w:rPr>
      </w:pPr>
      <w:r>
        <w:rPr>
          <w:rFonts w:ascii="Times New Roman" w:hAnsi="Times New Roman" w:eastAsia="Times New Roman" w:cs="Times New Roman"/>
          <w:b/>
          <w:bCs/>
        </w:rPr>
        <w:t xml:space="preserve">PRACTICAL TRAINING UNIT (PTU) OF TVET CENTRE OF EXCELLENCE (CoE)</w:t>
      </w:r>
      <w:r>
        <w:rPr>
          <w:rFonts w:ascii="Times New Roman" w:hAnsi="Times New Roman" w:eastAsia="Times New Roman" w:cs="Times New Roman"/>
        </w:rPr>
      </w:r>
    </w:p>
    <w:p w14:paraId="70D5DADC" w14:textId="77777777">
      <w:pPr>
        <w:pBdr/>
        <w:spacing/>
        <w:ind/>
        <w:jc w:val="center"/>
        <w:rPr>
          <w:rFonts w:ascii="Times New Roman" w:hAnsi="Times New Roman" w:eastAsia="Times New Roman" w:cs="Times New Roman"/>
          <w:b/>
          <w:bCs/>
        </w:rPr>
      </w:pPr>
      <w:r>
        <w:rPr>
          <w:rFonts w:ascii="Times New Roman" w:hAnsi="Times New Roman" w:eastAsia="Times New Roman" w:cs="Times New Roman"/>
          <w:b/>
          <w:bCs/>
        </w:rPr>
      </w:r>
    </w:p>
    <w:p w14:paraId="573A2C5F" w14:textId="77777777">
      <w:pPr>
        <w:pBdr/>
        <w:spacing/>
        <w:ind/>
        <w:jc w:val="center"/>
        <w:rPr>
          <w:rFonts w:ascii="Times New Roman" w:hAnsi="Times New Roman" w:eastAsia="Times New Roman" w:cs="Times New Roman"/>
        </w:rPr>
      </w:pPr>
      <w:r>
        <w:rPr>
          <w:rFonts w:ascii="Times New Roman" w:hAnsi="Times New Roman" w:eastAsia="Times New Roman" w:cs="Times New Roman"/>
          <w:b/>
          <w:bCs/>
        </w:rPr>
        <w:t xml:space="preserve">SITES:</w:t>
      </w:r>
      <w:r>
        <w:rPr>
          <w:rFonts w:ascii="Times New Roman" w:hAnsi="Times New Roman" w:eastAsia="Times New Roman" w:cs="Times New Roman"/>
        </w:rPr>
        <w:t xml:space="preserve"> KISARO TSS (RULINDO DISTRICT) AND EFA NYAGAHANGA TSS (GATSIBO DISTRICT), RWANDA</w:t>
      </w:r>
    </w:p>
    <w:p w14:paraId="6DC51B7D" w14:textId="77777777">
      <w:pPr>
        <w:pBdr/>
        <w:spacing/>
        <w:ind/>
        <w:jc w:val="center"/>
        <w:rPr>
          <w:rFonts w:ascii="Times New Roman" w:hAnsi="Times New Roman" w:eastAsia="Times New Roman" w:cs="Times New Roman"/>
        </w:rPr>
      </w:pPr>
      <w:r>
        <w:rPr>
          <w:rFonts w:ascii="Times New Roman" w:hAnsi="Times New Roman" w:eastAsia="Times New Roman" w:cs="Times New Roman"/>
        </w:rPr>
      </w:r>
    </w:p>
    <w:p w14:paraId="3DBC8897" w14:textId="77777777">
      <w:pPr>
        <w:pBdr/>
        <w:spacing/>
        <w:ind/>
        <w:jc w:val="center"/>
        <w:rPr>
          <w:rFonts w:ascii="Times New Roman" w:hAnsi="Times New Roman" w:eastAsia="Times New Roman" w:cs="Times New Roman"/>
        </w:rPr>
      </w:pPr>
      <w:r>
        <w:rPr>
          <w:rFonts w:ascii="Times New Roman" w:hAnsi="Times New Roman" w:eastAsia="Times New Roman" w:cs="Times New Roman"/>
          <w:b/>
          <w:bCs/>
        </w:rPr>
        <w:t xml:space="preserve">SUBMITTED TO:</w:t>
      </w:r>
      <w:r>
        <w:rPr>
          <w:rFonts w:ascii="Times New Roman" w:hAnsi="Times New Roman" w:eastAsia="Times New Roman" w:cs="Times New Roman"/>
        </w:rPr>
        <w:t xml:space="preserve"> </w:t>
      </w:r>
      <w:r>
        <w:rPr>
          <w:rFonts w:ascii="Times New Roman" w:hAnsi="Times New Roman" w:eastAsia="Times New Roman" w:cs="Times New Roman"/>
          <w:b/>
          <w:bCs/>
        </w:rPr>
        <w:t xml:space="preserve">EXPERTISE FRANCE</w:t>
      </w:r>
      <w:r>
        <w:rPr>
          <w:rFonts w:ascii="Times New Roman" w:hAnsi="Times New Roman" w:eastAsia="Times New Roman" w:cs="Times New Roman"/>
        </w:rPr>
        <w:t xml:space="preserve"> TVET AGRI - UBUHINZI SKILLS+ PROJECT, RWANDA </w:t>
      </w:r>
      <w:r>
        <w:rPr>
          <w:rFonts w:ascii="Times New Roman" w:hAnsi="Times New Roman" w:eastAsia="Times New Roman" w:cs="Times New Roman"/>
          <w:i/>
          <w:iCs/>
        </w:rPr>
        <w:t xml:space="preserve">(CONTRACTING AUTHORITY: EXPERTISE FRANCE / EUROPEAN UNION)</w:t>
      </w:r>
      <w:r>
        <w:rPr>
          <w:rFonts w:ascii="Times New Roman" w:hAnsi="Times New Roman" w:eastAsia="Times New Roman" w:cs="Times New Roman"/>
        </w:rPr>
      </w:r>
    </w:p>
    <w:p w14:paraId="04D0DE34" w14:textId="77777777">
      <w:pPr>
        <w:pBdr/>
        <w:spacing/>
        <w:ind/>
        <w:rPr/>
      </w:pPr>
      <w:r/>
    </w:p>
    <w:p w14:paraId="5BE92018" w14:textId="77777777">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p>
    <w:p w14:paraId="19812332" w14:textId="77777777">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p>
    <w:p w14:paraId="0A2FECEA" w14:textId="77777777">
      <w:pPr>
        <w:pBdr/>
        <w:spacing/>
        <w:ind/>
        <w:jc w:val="center"/>
        <w:rPr>
          <w:rFonts w:ascii="Times New Roman" w:hAnsi="Times New Roman" w:eastAsia="Times New Roman" w:cs="Times New Roman"/>
        </w:rPr>
      </w:pPr>
      <w:r>
        <w:rPr>
          <w:rFonts w:ascii="Times New Roman" w:hAnsi="Times New Roman" w:eastAsia="Times New Roman" w:cs="Times New Roman"/>
          <w:b/>
          <w:bCs/>
        </w:rPr>
        <w:t xml:space="preserve">Document Information</w:t>
      </w:r>
      <w:r>
        <w:rPr>
          <w:rFonts w:ascii="Times New Roman" w:hAnsi="Times New Roman" w:eastAsia="Times New Roman" w:cs="Times New Roman"/>
        </w:rPr>
      </w:r>
    </w:p>
    <w:tbl>
      <w:tblPr>
        <w:tblStyle w:val="805"/>
        <w:tblInd w:w="1231" w:type="dxa"/>
        <w:tblW w:w="85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34"/>
        <w:gridCol w:w="5935"/>
      </w:tblGrid>
      <w:tr>
        <w:trPr/>
        <w:tc>
          <w:tcPr>
            <w:tcBorders/>
            <w:tcW w:w="2634" w:type="dxa"/>
            <w:textDirection w:val="lrTb"/>
            <w:noWrap w:val="false"/>
          </w:tcPr>
          <w:p w14:paraId="6BA085E0"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Field</w:t>
            </w:r>
          </w:p>
        </w:tc>
        <w:tc>
          <w:tcPr>
            <w:tcBorders/>
            <w:tcW w:w="5935" w:type="dxa"/>
            <w:textDirection w:val="lrTb"/>
            <w:noWrap w:val="false"/>
          </w:tcPr>
          <w:p w14:paraId="083CDD69"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Details</w:t>
            </w:r>
          </w:p>
        </w:tc>
      </w:tr>
      <w:tr>
        <w:trPr/>
        <w:tc>
          <w:tcPr>
            <w:tcBorders/>
            <w:tcW w:w="2634" w:type="dxa"/>
            <w:textDirection w:val="lrTb"/>
            <w:noWrap w:val="false"/>
          </w:tcPr>
          <w:p w14:paraId="7860EC5C"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Contract Number</w:t>
            </w:r>
            <w:r>
              <w:rPr>
                <w:rFonts w:ascii="Times New Roman" w:hAnsi="Times New Roman" w:eastAsia="Times New Roman" w:cs="Times New Roman"/>
              </w:rPr>
            </w:r>
          </w:p>
        </w:tc>
        <w:tc>
          <w:tcPr>
            <w:tcBorders/>
            <w:tcW w:w="5935" w:type="dxa"/>
            <w:textDirection w:val="lrTb"/>
            <w:noWrap w:val="false"/>
          </w:tcPr>
          <w:p w14:paraId="39587E48"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26-MR4815</w:t>
            </w:r>
          </w:p>
        </w:tc>
      </w:tr>
      <w:tr>
        <w:trPr/>
        <w:tc>
          <w:tcPr>
            <w:tcBorders/>
            <w:tcW w:w="2634" w:type="dxa"/>
            <w:textDirection w:val="lrTb"/>
            <w:noWrap w:val="false"/>
          </w:tcPr>
          <w:p w14:paraId="526AEE1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Contractor</w:t>
            </w:r>
            <w:r>
              <w:rPr>
                <w:rFonts w:ascii="Times New Roman" w:hAnsi="Times New Roman" w:eastAsia="Times New Roman" w:cs="Times New Roman"/>
              </w:rPr>
            </w:r>
          </w:p>
        </w:tc>
        <w:tc>
          <w:tcPr>
            <w:tcBorders/>
            <w:tcW w:w="5935" w:type="dxa"/>
            <w:textDirection w:val="lrTb"/>
            <w:noWrap w:val="false"/>
          </w:tcPr>
          <w:p w14:paraId="6B3C8DBE" w14:textId="4059E3DE">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MUCYO SERVICES AND GENERAL SUPPLY (M.S.G.S) Ltd</w:t>
            </w:r>
          </w:p>
        </w:tc>
      </w:tr>
      <w:tr>
        <w:trPr/>
        <w:tc>
          <w:tcPr>
            <w:tcBorders/>
            <w:tcW w:w="2634" w:type="dxa"/>
            <w:textDirection w:val="lrTb"/>
            <w:noWrap w:val="false"/>
          </w:tcPr>
          <w:p w14:paraId="38AC64D1"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Team Leader</w:t>
            </w:r>
            <w:r>
              <w:rPr>
                <w:rFonts w:ascii="Times New Roman" w:hAnsi="Times New Roman" w:eastAsia="Times New Roman" w:cs="Times New Roman"/>
              </w:rPr>
            </w:r>
          </w:p>
        </w:tc>
        <w:tc>
          <w:tcPr>
            <w:tcBorders/>
            <w:tcW w:w="5935" w:type="dxa"/>
            <w:textDirection w:val="lrTb"/>
            <w:noWrap w:val="false"/>
          </w:tcPr>
          <w:p w14:paraId="48A4886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Dr. Marc Antoine NDISANZE (PhD)</w:t>
            </w:r>
          </w:p>
        </w:tc>
      </w:tr>
      <w:tr>
        <w:trPr/>
        <w:tc>
          <w:tcPr>
            <w:tcBorders/>
            <w:tcW w:w="2634" w:type="dxa"/>
            <w:textDirection w:val="lrTb"/>
            <w:noWrap w:val="false"/>
          </w:tcPr>
          <w:p w14:paraId="022E233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Report Version</w:t>
            </w:r>
            <w:r>
              <w:rPr>
                <w:rFonts w:ascii="Times New Roman" w:hAnsi="Times New Roman" w:eastAsia="Times New Roman" w:cs="Times New Roman"/>
              </w:rPr>
            </w:r>
          </w:p>
        </w:tc>
        <w:tc>
          <w:tcPr>
            <w:tcBorders/>
            <w:tcW w:w="5935" w:type="dxa"/>
            <w:textDirection w:val="lrTb"/>
            <w:noWrap w:val="false"/>
          </w:tcPr>
          <w:p w14:paraId="3F08E1BF"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Version 1.0 - Draft for Expertise France Review</w:t>
            </w:r>
          </w:p>
        </w:tc>
      </w:tr>
      <w:tr>
        <w:trPr/>
        <w:tc>
          <w:tcPr>
            <w:tcBorders/>
            <w:tcW w:w="2634" w:type="dxa"/>
            <w:textDirection w:val="lrTb"/>
            <w:noWrap w:val="false"/>
          </w:tcPr>
          <w:p w14:paraId="0CA252B4"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Period Covered</w:t>
            </w:r>
            <w:r>
              <w:rPr>
                <w:rFonts w:ascii="Times New Roman" w:hAnsi="Times New Roman" w:eastAsia="Times New Roman" w:cs="Times New Roman"/>
              </w:rPr>
            </w:r>
          </w:p>
        </w:tc>
        <w:tc>
          <w:tcPr>
            <w:tcBorders/>
            <w:tcW w:w="5935" w:type="dxa"/>
            <w:textDirection w:val="lrTb"/>
            <w:noWrap w:val="false"/>
          </w:tcPr>
          <w:p w14:paraId="4A4B8C7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Phase 2 - Weeks 4 to 6 (June-July 2026)</w:t>
            </w:r>
          </w:p>
        </w:tc>
      </w:tr>
      <w:tr>
        <w:trPr/>
        <w:tc>
          <w:tcPr>
            <w:tcBorders/>
            <w:tcW w:w="2634" w:type="dxa"/>
            <w:textDirection w:val="lrTb"/>
            <w:noWrap w:val="false"/>
          </w:tcPr>
          <w:p w14:paraId="76AFE7B0"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Submission Deadline</w:t>
            </w:r>
            <w:r>
              <w:rPr>
                <w:rFonts w:ascii="Times New Roman" w:hAnsi="Times New Roman" w:eastAsia="Times New Roman" w:cs="Times New Roman"/>
              </w:rPr>
            </w:r>
          </w:p>
        </w:tc>
        <w:tc>
          <w:tcPr>
            <w:tcBorders/>
            <w:tcW w:w="5935" w:type="dxa"/>
            <w:textDirection w:val="lrTb"/>
            <w:noWrap w:val="false"/>
          </w:tcPr>
          <w:p w14:paraId="5558385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End of Week 6 - as per approved work plan</w:t>
            </w:r>
          </w:p>
        </w:tc>
      </w:tr>
    </w:tbl>
    <w:p w14:paraId="402D05C2" w14:textId="77777777">
      <w:pPr>
        <w:pBdr/>
        <w:spacing/>
        <w:ind/>
        <w:rPr/>
      </w:pPr>
      <w:r/>
    </w:p>
    <w:p w14:paraId="3B8D8D42" w14:textId="77777777">
      <w:pPr>
        <w:pBdr/>
        <w:spacing/>
        <w:ind/>
        <w:rPr/>
      </w:pPr>
      <w:r/>
    </w:p>
    <w:sdt>
      <w:sdtPr>
        <w15:appearance w15:val="boundingBox"/>
        <w:id w:val="621350570"/>
        <w:docPartObj>
          <w:docPartGallery w:val="Table of Contents"/>
          <w:docPartUnique w:val="true"/>
        </w:docPartObj>
        <w:rPr>
          <w:rFonts w:ascii="Times New Roman" w:hAnsi="Times New Roman" w:eastAsia="Calibri" w:cs="Times New Roman"/>
          <w:color w:val="000000" w:themeColor="text1"/>
          <w:sz w:val="24"/>
          <w:szCs w:val="24"/>
          <w:lang w:val="en"/>
        </w:rPr>
      </w:sdtPr>
      <w:sdtContent>
        <w:p w14:paraId="637CB482" w14:textId="43EAF5C4">
          <w:pPr>
            <w:pStyle w:val="829"/>
            <w:pBdr/>
            <w:spacing/>
            <w:in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OF CONTENTS</w:t>
          </w:r>
        </w:p>
        <w:p w14:paraId="16431901" w14:textId="4A7DAA55">
          <w:pPr>
            <w:pStyle w:val="830"/>
            <w:pBdr/>
            <w:tabs>
              <w:tab w:val="right" w:leader="dot" w:pos="9890"/>
            </w:tabs>
            <w:spacing/>
            <w:ind/>
            <w:rPr>
              <w:rFonts w:ascii="Times New Roman" w:hAnsi="Times New Roman" w:cs="Times New Roman" w:eastAsiaTheme="minorEastAsia"/>
              <w:lang w:val="en-US"/>
            </w:rPr>
          </w:pPr>
          <w:r>
            <w:rPr>
              <w:rFonts w:ascii="Times New Roman" w:hAnsi="Times New Roman" w:cs="Times New Roman"/>
            </w:rPr>
            <w:fldChar w:fldCharType="begin"/>
            <w:instrText xml:space="preserve"> TOC \o "1-3" \h \z \u </w:instrText>
            <w:fldChar w:fldCharType="separate"/>
          </w:r>
          <w:hyperlink w:tooltip="#_Toc233892401" w:anchor="_Toc233892401" w:history="1">
            <w:r>
              <w:rPr>
                <w:rStyle w:val="820"/>
                <w:rFonts w:ascii="Times New Roman" w:hAnsi="Times New Roman" w:cs="Times New Roman"/>
                <w:u w:val="none"/>
              </w:rPr>
              <w:t xml:space="preserve">1. CONCEPTUAL FRAMEWORK AND SPATIAL DESIGN</w:t>
            </w:r>
            <w:r>
              <w:rPr>
                <w:rFonts w:ascii="Times New Roman" w:hAnsi="Times New Roman" w:cs="Times New Roman"/>
              </w:rPr>
              <w:tab/>
              <w:fldChar w:fldCharType="begin"/>
              <w:instrText xml:space="preserve"> PAGEREF _Toc233892401 \h </w:instrText>
              <w:fldChar w:fldCharType="separate"/>
              <w:t xml:space="preserve">5</w:t>
              <w:fldChar w:fldCharType="end"/>
            </w:r>
          </w:hyperlink>
          <w:r/>
          <w:r>
            <w:rPr>
              <w:rFonts w:ascii="Times New Roman" w:hAnsi="Times New Roman" w:cs="Times New Roman" w:eastAsiaTheme="minorEastAsia"/>
              <w:lang w:val="en-US"/>
            </w:rPr>
          </w:r>
        </w:p>
        <w:p w14:paraId="27230864" w14:textId="5B77692A">
          <w:pPr>
            <w:pStyle w:val="831"/>
            <w:pBdr/>
            <w:tabs>
              <w:tab w:val="right" w:leader="dot" w:pos="9890"/>
            </w:tabs>
            <w:spacing/>
            <w:ind/>
            <w:rPr>
              <w:rFonts w:ascii="Times New Roman" w:hAnsi="Times New Roman" w:cs="Times New Roman" w:eastAsiaTheme="minorEastAsia"/>
              <w:lang w:val="en-US"/>
            </w:rPr>
          </w:pPr>
          <w:r/>
          <w:hyperlink w:tooltip="#_Toc233892402" w:anchor="_Toc233892402" w:history="1">
            <w:r>
              <w:rPr>
                <w:rStyle w:val="820"/>
                <w:rFonts w:ascii="Times New Roman" w:hAnsi="Times New Roman" w:cs="Times New Roman"/>
                <w:u w:val="none"/>
              </w:rPr>
              <w:t xml:space="preserve">1.1. The Pillars of the PTU Model</w:t>
            </w:r>
            <w:r>
              <w:rPr>
                <w:rFonts w:ascii="Times New Roman" w:hAnsi="Times New Roman" w:cs="Times New Roman"/>
              </w:rPr>
              <w:tab/>
              <w:fldChar w:fldCharType="begin"/>
              <w:instrText xml:space="preserve"> PAGEREF _Toc233892402 \h </w:instrText>
              <w:fldChar w:fldCharType="separate"/>
              <w:t xml:space="preserve">5</w:t>
              <w:fldChar w:fldCharType="end"/>
            </w:r>
          </w:hyperlink>
          <w:r/>
          <w:r>
            <w:rPr>
              <w:rFonts w:ascii="Times New Roman" w:hAnsi="Times New Roman" w:cs="Times New Roman" w:eastAsiaTheme="minorEastAsia"/>
              <w:lang w:val="en-US"/>
            </w:rPr>
          </w:r>
        </w:p>
        <w:p w14:paraId="0605B3AE" w14:textId="1BA0B209">
          <w:pPr>
            <w:pStyle w:val="831"/>
            <w:pBdr/>
            <w:tabs>
              <w:tab w:val="right" w:leader="dot" w:pos="9890"/>
            </w:tabs>
            <w:spacing/>
            <w:ind/>
            <w:rPr>
              <w:rFonts w:ascii="Times New Roman" w:hAnsi="Times New Roman" w:cs="Times New Roman" w:eastAsiaTheme="minorEastAsia"/>
              <w:lang w:val="en-US"/>
            </w:rPr>
          </w:pPr>
          <w:r/>
          <w:hyperlink w:tooltip="#_Toc233892403" w:anchor="_Toc233892403" w:history="1">
            <w:r>
              <w:rPr>
                <w:rStyle w:val="820"/>
                <w:rFonts w:ascii="Times New Roman" w:hAnsi="Times New Roman" w:cs="Times New Roman"/>
                <w:u w:val="none"/>
              </w:rPr>
              <w:t xml:space="preserve">1.2. Spatial Design</w:t>
            </w:r>
            <w:r>
              <w:rPr>
                <w:rFonts w:ascii="Times New Roman" w:hAnsi="Times New Roman" w:cs="Times New Roman"/>
              </w:rPr>
              <w:tab/>
              <w:fldChar w:fldCharType="begin"/>
              <w:instrText xml:space="preserve"> PAGEREF _Toc233892403 \h </w:instrText>
              <w:fldChar w:fldCharType="separate"/>
              <w:t xml:space="preserve">5</w:t>
              <w:fldChar w:fldCharType="end"/>
            </w:r>
          </w:hyperlink>
          <w:r/>
          <w:r>
            <w:rPr>
              <w:rFonts w:ascii="Times New Roman" w:hAnsi="Times New Roman" w:cs="Times New Roman" w:eastAsiaTheme="minorEastAsia"/>
              <w:lang w:val="en-US"/>
            </w:rPr>
          </w:r>
        </w:p>
        <w:p w14:paraId="23CADB67" w14:textId="2C4A7964">
          <w:pPr>
            <w:pStyle w:val="830"/>
            <w:pBdr/>
            <w:tabs>
              <w:tab w:val="right" w:leader="dot" w:pos="9890"/>
            </w:tabs>
            <w:spacing/>
            <w:ind/>
            <w:rPr>
              <w:rFonts w:ascii="Times New Roman" w:hAnsi="Times New Roman" w:cs="Times New Roman" w:eastAsiaTheme="minorEastAsia"/>
              <w:lang w:val="en-US"/>
            </w:rPr>
          </w:pPr>
          <w:r/>
          <w:hyperlink w:tooltip="#_Toc233892404" w:anchor="_Toc233892404" w:history="1">
            <w:r>
              <w:rPr>
                <w:rStyle w:val="820"/>
                <w:rFonts w:ascii="Times New Roman" w:hAnsi="Times New Roman" w:cs="Times New Roman"/>
                <w:u w:val="none"/>
              </w:rPr>
              <w:t xml:space="preserve">2. ZONING AND MATERIALS ALLOCATIONS</w:t>
            </w:r>
            <w:r>
              <w:rPr>
                <w:rFonts w:ascii="Times New Roman" w:hAnsi="Times New Roman" w:cs="Times New Roman"/>
              </w:rPr>
              <w:tab/>
              <w:fldChar w:fldCharType="begin"/>
              <w:instrText xml:space="preserve"> PAGEREF _Toc233892404 \h </w:instrText>
              <w:fldChar w:fldCharType="separate"/>
              <w:t xml:space="preserve">6</w:t>
              <w:fldChar w:fldCharType="end"/>
            </w:r>
          </w:hyperlink>
          <w:r/>
          <w:r>
            <w:rPr>
              <w:rFonts w:ascii="Times New Roman" w:hAnsi="Times New Roman" w:cs="Times New Roman" w:eastAsiaTheme="minorEastAsia"/>
              <w:lang w:val="en-US"/>
            </w:rPr>
          </w:r>
        </w:p>
        <w:p w14:paraId="384FB2F2" w14:textId="1B5DE95A">
          <w:pPr>
            <w:pStyle w:val="831"/>
            <w:pBdr/>
            <w:tabs>
              <w:tab w:val="right" w:leader="dot" w:pos="9890"/>
            </w:tabs>
            <w:spacing/>
            <w:ind/>
            <w:rPr>
              <w:rFonts w:ascii="Times New Roman" w:hAnsi="Times New Roman" w:cs="Times New Roman" w:eastAsiaTheme="minorEastAsia"/>
              <w:lang w:val="en-US"/>
            </w:rPr>
          </w:pPr>
          <w:r/>
          <w:hyperlink w:tooltip="#_Toc233892405" w:anchor="_Toc233892405" w:history="1">
            <w:r>
              <w:rPr>
                <w:rStyle w:val="820"/>
                <w:rFonts w:ascii="Times New Roman" w:hAnsi="Times New Roman" w:cs="Times New Roman"/>
                <w:u w:val="none"/>
              </w:rPr>
              <w:t xml:space="preserve">2.1. Crop Production sub-unit Zoning and Materials</w:t>
            </w:r>
            <w:r>
              <w:rPr>
                <w:rFonts w:ascii="Times New Roman" w:hAnsi="Times New Roman" w:cs="Times New Roman"/>
              </w:rPr>
              <w:tab/>
              <w:fldChar w:fldCharType="begin"/>
              <w:instrText xml:space="preserve"> PAGEREF _Toc233892405 \h </w:instrText>
              <w:fldChar w:fldCharType="separate"/>
              <w:t xml:space="preserve">6</w:t>
              <w:fldChar w:fldCharType="end"/>
            </w:r>
          </w:hyperlink>
          <w:r/>
          <w:r>
            <w:rPr>
              <w:rFonts w:ascii="Times New Roman" w:hAnsi="Times New Roman" w:cs="Times New Roman" w:eastAsiaTheme="minorEastAsia"/>
              <w:lang w:val="en-US"/>
            </w:rPr>
          </w:r>
        </w:p>
        <w:p w14:paraId="6490AE0D" w14:textId="01F02E35">
          <w:pPr>
            <w:pStyle w:val="831"/>
            <w:pBdr/>
            <w:tabs>
              <w:tab w:val="right" w:leader="dot" w:pos="9890"/>
            </w:tabs>
            <w:spacing/>
            <w:ind/>
            <w:rPr>
              <w:rFonts w:ascii="Times New Roman" w:hAnsi="Times New Roman" w:cs="Times New Roman" w:eastAsiaTheme="minorEastAsia"/>
              <w:lang w:val="en-US"/>
            </w:rPr>
          </w:pPr>
          <w:r/>
          <w:hyperlink w:tooltip="#_Toc233892406" w:anchor="_Toc233892406" w:history="1">
            <w:r>
              <w:rPr>
                <w:rStyle w:val="820"/>
                <w:rFonts w:ascii="Times New Roman" w:hAnsi="Times New Roman" w:cs="Times New Roman"/>
                <w:u w:val="none"/>
              </w:rPr>
              <w:t xml:space="preserve">2.2. Food Processing sub-unit and Materials</w:t>
            </w:r>
            <w:r>
              <w:rPr>
                <w:rFonts w:ascii="Times New Roman" w:hAnsi="Times New Roman" w:cs="Times New Roman"/>
              </w:rPr>
              <w:tab/>
              <w:fldChar w:fldCharType="begin"/>
              <w:instrText xml:space="preserve"> PAGEREF _Toc233892406 \h </w:instrText>
              <w:fldChar w:fldCharType="separate"/>
              <w:t xml:space="preserve">12</w:t>
              <w:fldChar w:fldCharType="end"/>
            </w:r>
          </w:hyperlink>
          <w:r/>
          <w:r>
            <w:rPr>
              <w:rFonts w:ascii="Times New Roman" w:hAnsi="Times New Roman" w:cs="Times New Roman" w:eastAsiaTheme="minorEastAsia"/>
              <w:lang w:val="en-US"/>
            </w:rPr>
          </w:r>
        </w:p>
        <w:p w14:paraId="1D721525" w14:textId="2D9B71D0">
          <w:pPr>
            <w:pStyle w:val="831"/>
            <w:pBdr/>
            <w:tabs>
              <w:tab w:val="right" w:leader="dot" w:pos="9890"/>
            </w:tabs>
            <w:spacing/>
            <w:ind/>
            <w:rPr>
              <w:rFonts w:ascii="Times New Roman" w:hAnsi="Times New Roman" w:cs="Times New Roman" w:eastAsiaTheme="minorEastAsia"/>
              <w:lang w:val="en-US"/>
            </w:rPr>
          </w:pPr>
          <w:r/>
          <w:hyperlink w:tooltip="#_Toc233892407" w:anchor="_Toc233892407" w:history="1">
            <w:r>
              <w:rPr>
                <w:rStyle w:val="820"/>
                <w:rFonts w:ascii="Times New Roman" w:hAnsi="Times New Roman" w:cs="Times New Roman"/>
                <w:u w:val="none"/>
              </w:rPr>
              <w:t xml:space="preserve">2.3. Animal health sub unit and its Materials</w:t>
            </w:r>
            <w:r>
              <w:rPr>
                <w:rFonts w:ascii="Times New Roman" w:hAnsi="Times New Roman" w:cs="Times New Roman"/>
              </w:rPr>
              <w:tab/>
              <w:fldChar w:fldCharType="begin"/>
              <w:instrText xml:space="preserve"> PAGEREF _Toc233892407 \h </w:instrText>
              <w:fldChar w:fldCharType="separate"/>
              <w:t xml:space="preserve">18</w:t>
              <w:fldChar w:fldCharType="end"/>
            </w:r>
          </w:hyperlink>
          <w:r/>
          <w:r>
            <w:rPr>
              <w:rFonts w:ascii="Times New Roman" w:hAnsi="Times New Roman" w:cs="Times New Roman" w:eastAsiaTheme="minorEastAsia"/>
              <w:lang w:val="en-US"/>
            </w:rPr>
          </w:r>
        </w:p>
        <w:p w14:paraId="3CA1FFE9" w14:textId="624E16BA">
          <w:pPr>
            <w:pStyle w:val="831"/>
            <w:pBdr/>
            <w:tabs>
              <w:tab w:val="right" w:leader="dot" w:pos="9890"/>
            </w:tabs>
            <w:spacing/>
            <w:ind/>
            <w:rPr>
              <w:rFonts w:ascii="Times New Roman" w:hAnsi="Times New Roman" w:cs="Times New Roman" w:eastAsiaTheme="minorEastAsia"/>
              <w:lang w:val="en-US"/>
            </w:rPr>
          </w:pPr>
          <w:r/>
          <w:hyperlink w:tooltip="#_Toc233892408" w:anchor="_Toc233892408" w:history="1">
            <w:r>
              <w:rPr>
                <w:rStyle w:val="820"/>
                <w:rFonts w:ascii="Times New Roman" w:hAnsi="Times New Roman" w:cs="Times New Roman"/>
                <w:u w:val="none"/>
              </w:rPr>
              <w:t xml:space="preserve">2.4. Water and irrigation component and its materials</w:t>
            </w:r>
            <w:r>
              <w:rPr>
                <w:rFonts w:ascii="Times New Roman" w:hAnsi="Times New Roman" w:cs="Times New Roman"/>
              </w:rPr>
              <w:tab/>
              <w:fldChar w:fldCharType="begin"/>
              <w:instrText xml:space="preserve"> PAGEREF _Toc233892408 \h </w:instrText>
              <w:fldChar w:fldCharType="separate"/>
              <w:t xml:space="preserve">22</w:t>
              <w:fldChar w:fldCharType="end"/>
            </w:r>
          </w:hyperlink>
          <w:r/>
          <w:r>
            <w:rPr>
              <w:rFonts w:ascii="Times New Roman" w:hAnsi="Times New Roman" w:cs="Times New Roman" w:eastAsiaTheme="minorEastAsia"/>
              <w:lang w:val="en-US"/>
            </w:rPr>
          </w:r>
        </w:p>
        <w:p w14:paraId="2DE374D2" w14:textId="47B0DD5D">
          <w:pPr>
            <w:pStyle w:val="831"/>
            <w:pBdr/>
            <w:tabs>
              <w:tab w:val="right" w:leader="dot" w:pos="9890"/>
            </w:tabs>
            <w:spacing/>
            <w:ind/>
            <w:rPr>
              <w:rFonts w:ascii="Times New Roman" w:hAnsi="Times New Roman" w:cs="Times New Roman" w:eastAsiaTheme="minorEastAsia"/>
              <w:lang w:val="en-US"/>
            </w:rPr>
          </w:pPr>
          <w:r/>
          <w:hyperlink w:tooltip="#_Toc233892409" w:anchor="_Toc233892409" w:history="1">
            <w:r>
              <w:rPr>
                <w:rStyle w:val="820"/>
                <w:rFonts w:ascii="Times New Roman" w:hAnsi="Times New Roman" w:cs="Times New Roman"/>
                <w:u w:val="none"/>
              </w:rPr>
              <w:t xml:space="preserve">2.5. Adult Learning &amp; RPL Sub Unit.</w:t>
            </w:r>
            <w:r>
              <w:rPr>
                <w:rFonts w:ascii="Times New Roman" w:hAnsi="Times New Roman" w:cs="Times New Roman"/>
              </w:rPr>
              <w:tab/>
              <w:fldChar w:fldCharType="begin"/>
              <w:instrText xml:space="preserve"> PAGEREF _Toc233892409 \h </w:instrText>
              <w:fldChar w:fldCharType="separate"/>
              <w:t xml:space="preserve">26</w:t>
              <w:fldChar w:fldCharType="end"/>
            </w:r>
          </w:hyperlink>
          <w:r/>
          <w:r>
            <w:rPr>
              <w:rFonts w:ascii="Times New Roman" w:hAnsi="Times New Roman" w:cs="Times New Roman" w:eastAsiaTheme="minorEastAsia"/>
              <w:lang w:val="en-US"/>
            </w:rPr>
          </w:r>
        </w:p>
        <w:p w14:paraId="0A057AB4" w14:textId="2D211CC8">
          <w:pPr>
            <w:pStyle w:val="832"/>
            <w:pBdr/>
            <w:tabs>
              <w:tab w:val="right" w:leader="dot" w:pos="9890"/>
            </w:tabs>
            <w:spacing/>
            <w:ind/>
            <w:rPr>
              <w:rFonts w:ascii="Times New Roman" w:hAnsi="Times New Roman" w:cs="Times New Roman" w:eastAsiaTheme="minorEastAsia"/>
              <w:lang w:val="en-US"/>
            </w:rPr>
          </w:pPr>
          <w:r/>
          <w:hyperlink w:tooltip="#_Toc233892410" w:anchor="_Toc233892410" w:history="1">
            <w:r>
              <w:rPr>
                <w:rStyle w:val="820"/>
                <w:rFonts w:ascii="Times New Roman" w:hAnsi="Times New Roman" w:cs="Times New Roman"/>
                <w:u w:val="none"/>
                <w:lang w:val="en-US"/>
              </w:rPr>
              <w:t xml:space="preserve">2.5.1. Core Infrastructure and Modules</w:t>
            </w:r>
            <w:r>
              <w:rPr>
                <w:rFonts w:ascii="Times New Roman" w:hAnsi="Times New Roman" w:cs="Times New Roman"/>
              </w:rPr>
              <w:tab/>
              <w:fldChar w:fldCharType="begin"/>
              <w:instrText xml:space="preserve"> PAGEREF _Toc233892410 \h </w:instrText>
              <w:fldChar w:fldCharType="separate"/>
              <w:t xml:space="preserve">27</w:t>
              <w:fldChar w:fldCharType="end"/>
            </w:r>
          </w:hyperlink>
          <w:r/>
          <w:r>
            <w:rPr>
              <w:rFonts w:ascii="Times New Roman" w:hAnsi="Times New Roman" w:cs="Times New Roman" w:eastAsiaTheme="minorEastAsia"/>
              <w:lang w:val="en-US"/>
            </w:rPr>
          </w:r>
        </w:p>
        <w:p w14:paraId="0F40F9C6" w14:textId="184EADC7">
          <w:pPr>
            <w:pStyle w:val="832"/>
            <w:pBdr/>
            <w:tabs>
              <w:tab w:val="right" w:leader="dot" w:pos="9890"/>
            </w:tabs>
            <w:spacing/>
            <w:ind/>
            <w:rPr>
              <w:rFonts w:ascii="Times New Roman" w:hAnsi="Times New Roman" w:cs="Times New Roman" w:eastAsiaTheme="minorEastAsia"/>
              <w:lang w:val="en-US"/>
            </w:rPr>
          </w:pPr>
          <w:r/>
          <w:hyperlink w:tooltip="#_Toc233892411" w:anchor="_Toc233892411" w:history="1">
            <w:r>
              <w:rPr>
                <w:rStyle w:val="820"/>
                <w:rFonts w:ascii="Times New Roman" w:hAnsi="Times New Roman" w:cs="Times New Roman"/>
                <w:u w:val="none"/>
                <w:lang w:val="en-US"/>
              </w:rPr>
              <w:t xml:space="preserve">2.5.2. Key Functions and Pedagogical Approach</w:t>
            </w:r>
            <w:r>
              <w:rPr>
                <w:rFonts w:ascii="Times New Roman" w:hAnsi="Times New Roman" w:cs="Times New Roman"/>
              </w:rPr>
              <w:tab/>
              <w:fldChar w:fldCharType="begin"/>
              <w:instrText xml:space="preserve"> PAGEREF _Toc233892411 \h </w:instrText>
              <w:fldChar w:fldCharType="separate"/>
              <w:t xml:space="preserve">27</w:t>
              <w:fldChar w:fldCharType="end"/>
            </w:r>
          </w:hyperlink>
          <w:r/>
          <w:r>
            <w:rPr>
              <w:rFonts w:ascii="Times New Roman" w:hAnsi="Times New Roman" w:cs="Times New Roman" w:eastAsiaTheme="minorEastAsia"/>
              <w:lang w:val="en-US"/>
            </w:rPr>
          </w:r>
        </w:p>
        <w:p w14:paraId="4ABAE51D" w14:textId="0B3D962F">
          <w:pPr>
            <w:pStyle w:val="832"/>
            <w:pBdr/>
            <w:tabs>
              <w:tab w:val="right" w:leader="dot" w:pos="9890"/>
            </w:tabs>
            <w:spacing/>
            <w:ind/>
            <w:rPr>
              <w:rFonts w:ascii="Times New Roman" w:hAnsi="Times New Roman" w:cs="Times New Roman" w:eastAsiaTheme="minorEastAsia"/>
              <w:lang w:val="en-US"/>
            </w:rPr>
          </w:pPr>
          <w:r/>
          <w:hyperlink w:tooltip="#_Toc233892412" w:anchor="_Toc233892412" w:history="1">
            <w:r>
              <w:rPr>
                <w:rStyle w:val="820"/>
                <w:rFonts w:ascii="Times New Roman" w:hAnsi="Times New Roman" w:cs="Times New Roman"/>
                <w:u w:val="none"/>
                <w:lang w:val="en-US"/>
              </w:rPr>
              <w:t xml:space="preserve">2.5.3. Operational Synergies</w:t>
            </w:r>
            <w:r>
              <w:rPr>
                <w:rFonts w:ascii="Times New Roman" w:hAnsi="Times New Roman" w:cs="Times New Roman"/>
              </w:rPr>
              <w:tab/>
              <w:fldChar w:fldCharType="begin"/>
              <w:instrText xml:space="preserve"> PAGEREF _Toc233892412 \h </w:instrText>
              <w:fldChar w:fldCharType="separate"/>
              <w:t xml:space="preserve">27</w:t>
              <w:fldChar w:fldCharType="end"/>
            </w:r>
          </w:hyperlink>
          <w:r/>
          <w:r>
            <w:rPr>
              <w:rFonts w:ascii="Times New Roman" w:hAnsi="Times New Roman" w:cs="Times New Roman" w:eastAsiaTheme="minorEastAsia"/>
              <w:lang w:val="en-US"/>
            </w:rPr>
          </w:r>
        </w:p>
        <w:p w14:paraId="7EF46E9C" w14:textId="17BF9AB0">
          <w:pPr>
            <w:pStyle w:val="831"/>
            <w:pBdr/>
            <w:tabs>
              <w:tab w:val="right" w:leader="dot" w:pos="9890"/>
            </w:tabs>
            <w:spacing/>
            <w:ind/>
            <w:rPr>
              <w:rFonts w:ascii="Times New Roman" w:hAnsi="Times New Roman" w:cs="Times New Roman" w:eastAsiaTheme="minorEastAsia"/>
              <w:lang w:val="en-US"/>
            </w:rPr>
          </w:pPr>
          <w:r/>
          <w:hyperlink w:tooltip="#_Toc233892413" w:anchor="_Toc233892413" w:history="1">
            <w:r>
              <w:rPr>
                <w:rStyle w:val="820"/>
                <w:rFonts w:ascii="Times New Roman" w:hAnsi="Times New Roman" w:cs="Times New Roman"/>
                <w:u w:val="none"/>
              </w:rPr>
              <w:t xml:space="preserve">2.4. Specialized Training and Support Facilities</w:t>
            </w:r>
            <w:r>
              <w:rPr>
                <w:rFonts w:ascii="Times New Roman" w:hAnsi="Times New Roman" w:cs="Times New Roman"/>
              </w:rPr>
              <w:tab/>
              <w:fldChar w:fldCharType="begin"/>
              <w:instrText xml:space="preserve"> PAGEREF _Toc233892413 \h </w:instrText>
              <w:fldChar w:fldCharType="separate"/>
              <w:t xml:space="preserve">31</w:t>
              <w:fldChar w:fldCharType="end"/>
            </w:r>
          </w:hyperlink>
          <w:r/>
          <w:r>
            <w:rPr>
              <w:rFonts w:ascii="Times New Roman" w:hAnsi="Times New Roman" w:cs="Times New Roman" w:eastAsiaTheme="minorEastAsia"/>
              <w:lang w:val="en-US"/>
            </w:rPr>
          </w:r>
        </w:p>
        <w:p w14:paraId="02445827" w14:textId="44BE4B21">
          <w:pPr>
            <w:pStyle w:val="832"/>
            <w:pBdr/>
            <w:tabs>
              <w:tab w:val="right" w:leader="dot" w:pos="9890"/>
            </w:tabs>
            <w:spacing/>
            <w:ind/>
            <w:rPr>
              <w:rFonts w:ascii="Times New Roman" w:hAnsi="Times New Roman" w:cs="Times New Roman" w:eastAsiaTheme="minorEastAsia"/>
              <w:lang w:val="en-US"/>
            </w:rPr>
          </w:pPr>
          <w:r/>
          <w:hyperlink w:tooltip="#_Toc233892414" w:anchor="_Toc233892414" w:history="1">
            <w:r>
              <w:rPr>
                <w:rStyle w:val="820"/>
                <w:rFonts w:ascii="Times New Roman" w:hAnsi="Times New Roman" w:cs="Times New Roman"/>
                <w:u w:val="none"/>
              </w:rPr>
              <w:t xml:space="preserve">2.4.1 Adult Learning and Recognition of Prior Learning (RPL) Center</w:t>
            </w:r>
            <w:r>
              <w:rPr>
                <w:rFonts w:ascii="Times New Roman" w:hAnsi="Times New Roman" w:cs="Times New Roman"/>
              </w:rPr>
              <w:tab/>
              <w:fldChar w:fldCharType="begin"/>
              <w:instrText xml:space="preserve"> PAGEREF _Toc233892414 \h </w:instrText>
              <w:fldChar w:fldCharType="separate"/>
              <w:t xml:space="preserve">31</w:t>
              <w:fldChar w:fldCharType="end"/>
            </w:r>
          </w:hyperlink>
          <w:r/>
          <w:r>
            <w:rPr>
              <w:rFonts w:ascii="Times New Roman" w:hAnsi="Times New Roman" w:cs="Times New Roman" w:eastAsiaTheme="minorEastAsia"/>
              <w:lang w:val="en-US"/>
            </w:rPr>
          </w:r>
        </w:p>
        <w:p w14:paraId="12F67EDA" w14:textId="0025BD59">
          <w:pPr>
            <w:pStyle w:val="832"/>
            <w:pBdr/>
            <w:tabs>
              <w:tab w:val="right" w:leader="dot" w:pos="9890"/>
            </w:tabs>
            <w:spacing/>
            <w:ind/>
            <w:rPr>
              <w:rFonts w:ascii="Times New Roman" w:hAnsi="Times New Roman" w:cs="Times New Roman" w:eastAsiaTheme="minorEastAsia"/>
              <w:lang w:val="en-US"/>
            </w:rPr>
          </w:pPr>
          <w:r/>
          <w:hyperlink w:tooltip="#_Toc233892415" w:anchor="_Toc233892415" w:history="1">
            <w:r>
              <w:rPr>
                <w:rStyle w:val="820"/>
                <w:rFonts w:ascii="Times New Roman" w:hAnsi="Times New Roman" w:cs="Times New Roman"/>
                <w:u w:val="none"/>
              </w:rPr>
              <w:t xml:space="preserve">2.4.2 Waste Management and Circular Energy Zone</w:t>
            </w:r>
            <w:r>
              <w:rPr>
                <w:rFonts w:ascii="Times New Roman" w:hAnsi="Times New Roman" w:cs="Times New Roman"/>
              </w:rPr>
              <w:tab/>
              <w:fldChar w:fldCharType="begin"/>
              <w:instrText xml:space="preserve"> PAGEREF _Toc233892415 \h </w:instrText>
              <w:fldChar w:fldCharType="separate"/>
              <w:t xml:space="preserve">32</w:t>
              <w:fldChar w:fldCharType="end"/>
            </w:r>
          </w:hyperlink>
          <w:r/>
          <w:r>
            <w:rPr>
              <w:rFonts w:ascii="Times New Roman" w:hAnsi="Times New Roman" w:cs="Times New Roman" w:eastAsiaTheme="minorEastAsia"/>
              <w:lang w:val="en-US"/>
            </w:rPr>
          </w:r>
        </w:p>
        <w:p w14:paraId="156D2AE5" w14:textId="4D4CCA71">
          <w:pPr>
            <w:pStyle w:val="832"/>
            <w:pBdr/>
            <w:tabs>
              <w:tab w:val="right" w:leader="dot" w:pos="9890"/>
            </w:tabs>
            <w:spacing/>
            <w:ind/>
            <w:rPr>
              <w:rFonts w:ascii="Times New Roman" w:hAnsi="Times New Roman" w:cs="Times New Roman" w:eastAsiaTheme="minorEastAsia"/>
              <w:lang w:val="en-US"/>
            </w:rPr>
          </w:pPr>
          <w:r/>
          <w:hyperlink w:tooltip="#_Toc233892416" w:anchor="_Toc233892416" w:history="1">
            <w:r>
              <w:rPr>
                <w:rStyle w:val="820"/>
                <w:rFonts w:ascii="Times New Roman" w:hAnsi="Times New Roman" w:cs="Times New Roman"/>
                <w:u w:val="none"/>
              </w:rPr>
              <w:t xml:space="preserve">2.4.3 Composting and Biofertilizer Production</w:t>
            </w:r>
            <w:r>
              <w:rPr>
                <w:rFonts w:ascii="Times New Roman" w:hAnsi="Times New Roman" w:cs="Times New Roman"/>
              </w:rPr>
              <w:tab/>
              <w:fldChar w:fldCharType="begin"/>
              <w:instrText xml:space="preserve"> PAGEREF _Toc233892416 \h </w:instrText>
              <w:fldChar w:fldCharType="separate"/>
              <w:t xml:space="preserve">32</w:t>
              <w:fldChar w:fldCharType="end"/>
            </w:r>
          </w:hyperlink>
          <w:r/>
          <w:r>
            <w:rPr>
              <w:rFonts w:ascii="Times New Roman" w:hAnsi="Times New Roman" w:cs="Times New Roman" w:eastAsiaTheme="minorEastAsia"/>
              <w:lang w:val="en-US"/>
            </w:rPr>
          </w:r>
        </w:p>
        <w:p w14:paraId="1813586E" w14:textId="7AE929CE">
          <w:pPr>
            <w:pStyle w:val="832"/>
            <w:pBdr/>
            <w:tabs>
              <w:tab w:val="right" w:leader="dot" w:pos="9890"/>
            </w:tabs>
            <w:spacing/>
            <w:ind/>
            <w:rPr>
              <w:rFonts w:ascii="Times New Roman" w:hAnsi="Times New Roman" w:cs="Times New Roman" w:eastAsiaTheme="minorEastAsia"/>
              <w:lang w:val="en-US"/>
            </w:rPr>
          </w:pPr>
          <w:r/>
          <w:hyperlink w:tooltip="#_Toc233892417" w:anchor="_Toc233892417" w:history="1">
            <w:r>
              <w:rPr>
                <w:rStyle w:val="820"/>
                <w:rFonts w:ascii="Times New Roman" w:hAnsi="Times New Roman" w:cs="Times New Roman"/>
                <w:u w:val="none"/>
              </w:rPr>
              <w:t xml:space="preserve">2.4.4 Biogas and Waste-to-Energy System</w:t>
            </w:r>
            <w:r>
              <w:rPr>
                <w:rFonts w:ascii="Times New Roman" w:hAnsi="Times New Roman" w:cs="Times New Roman"/>
              </w:rPr>
              <w:tab/>
              <w:fldChar w:fldCharType="begin"/>
              <w:instrText xml:space="preserve"> PAGEREF _Toc233892417 \h </w:instrText>
              <w:fldChar w:fldCharType="separate"/>
              <w:t xml:space="preserve">32</w:t>
              <w:fldChar w:fldCharType="end"/>
            </w:r>
          </w:hyperlink>
          <w:r/>
          <w:r>
            <w:rPr>
              <w:rFonts w:ascii="Times New Roman" w:hAnsi="Times New Roman" w:cs="Times New Roman" w:eastAsiaTheme="minorEastAsia"/>
              <w:lang w:val="en-US"/>
            </w:rPr>
          </w:r>
        </w:p>
        <w:p w14:paraId="39342125" w14:textId="37495292">
          <w:pPr>
            <w:pStyle w:val="832"/>
            <w:pBdr/>
            <w:tabs>
              <w:tab w:val="right" w:leader="dot" w:pos="9890"/>
            </w:tabs>
            <w:spacing/>
            <w:ind/>
            <w:rPr>
              <w:rFonts w:ascii="Times New Roman" w:hAnsi="Times New Roman" w:cs="Times New Roman" w:eastAsiaTheme="minorEastAsia"/>
              <w:lang w:val="en-US"/>
            </w:rPr>
          </w:pPr>
          <w:r/>
          <w:hyperlink w:tooltip="#_Toc233892418" w:anchor="_Toc233892418" w:history="1">
            <w:r>
              <w:rPr>
                <w:rStyle w:val="820"/>
                <w:rFonts w:ascii="Times New Roman" w:hAnsi="Times New Roman" w:cs="Times New Roman"/>
                <w:u w:val="none"/>
              </w:rPr>
              <w:t xml:space="preserve">2.4.6 Machinery and Tool Storage: The "Mini Garage"</w:t>
            </w:r>
            <w:r>
              <w:rPr>
                <w:rFonts w:ascii="Times New Roman" w:hAnsi="Times New Roman" w:cs="Times New Roman"/>
              </w:rPr>
              <w:tab/>
              <w:fldChar w:fldCharType="begin"/>
              <w:instrText xml:space="preserve"> PAGEREF _Toc233892418 \h </w:instrText>
              <w:fldChar w:fldCharType="separate"/>
              <w:t xml:space="preserve">35</w:t>
              <w:fldChar w:fldCharType="end"/>
            </w:r>
          </w:hyperlink>
          <w:r/>
          <w:r>
            <w:rPr>
              <w:rFonts w:ascii="Times New Roman" w:hAnsi="Times New Roman" w:cs="Times New Roman" w:eastAsiaTheme="minorEastAsia"/>
              <w:lang w:val="en-US"/>
            </w:rPr>
          </w:r>
        </w:p>
        <w:p w14:paraId="1FE8503A" w14:textId="573E5501">
          <w:pPr>
            <w:pStyle w:val="830"/>
            <w:pBdr/>
            <w:tabs>
              <w:tab w:val="right" w:leader="dot" w:pos="9890"/>
            </w:tabs>
            <w:spacing/>
            <w:ind/>
            <w:rPr>
              <w:rFonts w:ascii="Times New Roman" w:hAnsi="Times New Roman" w:cs="Times New Roman" w:eastAsiaTheme="minorEastAsia"/>
              <w:lang w:val="en-US"/>
            </w:rPr>
          </w:pPr>
          <w:r/>
          <w:hyperlink w:tooltip="#_Toc233892419" w:anchor="_Toc233892419" w:history="1">
            <w:r>
              <w:rPr>
                <w:rStyle w:val="820"/>
                <w:rFonts w:ascii="Times New Roman" w:hAnsi="Times New Roman" w:cs="Times New Roman"/>
                <w:u w:val="none"/>
              </w:rPr>
              <w:t xml:space="preserve">3. SYNERGIES, FEASIBILITY AND SUSTAINABILITY</w:t>
            </w:r>
            <w:r>
              <w:rPr>
                <w:rFonts w:ascii="Times New Roman" w:hAnsi="Times New Roman" w:cs="Times New Roman"/>
              </w:rPr>
              <w:tab/>
              <w:fldChar w:fldCharType="begin"/>
              <w:instrText xml:space="preserve"> PAGEREF _Toc233892419 \h </w:instrText>
              <w:fldChar w:fldCharType="separate"/>
              <w:t xml:space="preserve">38</w:t>
              <w:fldChar w:fldCharType="end"/>
            </w:r>
          </w:hyperlink>
          <w:r/>
          <w:r>
            <w:rPr>
              <w:rFonts w:ascii="Times New Roman" w:hAnsi="Times New Roman" w:cs="Times New Roman" w:eastAsiaTheme="minorEastAsia"/>
              <w:lang w:val="en-US"/>
            </w:rPr>
          </w:r>
        </w:p>
        <w:p w14:paraId="2E5A74FF" w14:textId="4C87F92D">
          <w:pPr>
            <w:pStyle w:val="831"/>
            <w:pBdr/>
            <w:tabs>
              <w:tab w:val="right" w:leader="dot" w:pos="9890"/>
            </w:tabs>
            <w:spacing/>
            <w:ind/>
            <w:rPr>
              <w:rFonts w:ascii="Times New Roman" w:hAnsi="Times New Roman" w:cs="Times New Roman" w:eastAsiaTheme="minorEastAsia"/>
              <w:lang w:val="en-US"/>
            </w:rPr>
          </w:pPr>
          <w:r/>
          <w:hyperlink w:tooltip="#_Toc233892420" w:anchor="_Toc233892420" w:history="1">
            <w:r>
              <w:rPr>
                <w:rStyle w:val="820"/>
                <w:rFonts w:ascii="Times New Roman" w:hAnsi="Times New Roman" w:cs="Times New Roman"/>
                <w:u w:val="none"/>
              </w:rPr>
              <w:t xml:space="preserve">3.1. Technical Feasibility</w:t>
            </w:r>
            <w:r>
              <w:rPr>
                <w:rFonts w:ascii="Times New Roman" w:hAnsi="Times New Roman" w:cs="Times New Roman"/>
              </w:rPr>
              <w:tab/>
              <w:fldChar w:fldCharType="begin"/>
              <w:instrText xml:space="preserve"> PAGEREF _Toc233892420 \h </w:instrText>
              <w:fldChar w:fldCharType="separate"/>
              <w:t xml:space="preserve">39</w:t>
              <w:fldChar w:fldCharType="end"/>
            </w:r>
          </w:hyperlink>
          <w:r/>
          <w:r>
            <w:rPr>
              <w:rFonts w:ascii="Times New Roman" w:hAnsi="Times New Roman" w:cs="Times New Roman" w:eastAsiaTheme="minorEastAsia"/>
              <w:lang w:val="en-US"/>
            </w:rPr>
          </w:r>
        </w:p>
        <w:p w14:paraId="5F472FC1" w14:textId="186E323A">
          <w:pPr>
            <w:pStyle w:val="832"/>
            <w:pBdr/>
            <w:tabs>
              <w:tab w:val="right" w:leader="dot" w:pos="9890"/>
            </w:tabs>
            <w:spacing/>
            <w:ind/>
            <w:rPr>
              <w:rFonts w:ascii="Times New Roman" w:hAnsi="Times New Roman" w:cs="Times New Roman" w:eastAsiaTheme="minorEastAsia"/>
              <w:lang w:val="en-US"/>
            </w:rPr>
          </w:pPr>
          <w:r/>
          <w:hyperlink w:tooltip="#_Toc233892421" w:anchor="_Toc233892421" w:history="1">
            <w:r>
              <w:rPr>
                <w:rStyle w:val="820"/>
                <w:rFonts w:ascii="Times New Roman" w:hAnsi="Times New Roman" w:cs="Times New Roman"/>
                <w:u w:val="none"/>
                <w:lang w:val="en-US"/>
              </w:rPr>
              <w:t xml:space="preserve">3.1.1 Site-Specific Situational Analysis and Resource Mapping</w:t>
            </w:r>
            <w:r>
              <w:rPr>
                <w:rFonts w:ascii="Times New Roman" w:hAnsi="Times New Roman" w:cs="Times New Roman"/>
              </w:rPr>
              <w:tab/>
              <w:fldChar w:fldCharType="begin"/>
              <w:instrText xml:space="preserve"> PAGEREF _Toc233892421 \h </w:instrText>
              <w:fldChar w:fldCharType="separate"/>
              <w:t xml:space="preserve">39</w:t>
              <w:fldChar w:fldCharType="end"/>
            </w:r>
          </w:hyperlink>
          <w:r/>
          <w:r>
            <w:rPr>
              <w:rFonts w:ascii="Times New Roman" w:hAnsi="Times New Roman" w:cs="Times New Roman" w:eastAsiaTheme="minorEastAsia"/>
              <w:lang w:val="en-US"/>
            </w:rPr>
          </w:r>
        </w:p>
        <w:p w14:paraId="48FFE624" w14:textId="783C6ADD">
          <w:pPr>
            <w:pStyle w:val="832"/>
            <w:pBdr/>
            <w:tabs>
              <w:tab w:val="right" w:leader="dot" w:pos="9890"/>
            </w:tabs>
            <w:spacing/>
            <w:ind/>
            <w:rPr>
              <w:rFonts w:ascii="Times New Roman" w:hAnsi="Times New Roman" w:cs="Times New Roman" w:eastAsiaTheme="minorEastAsia"/>
              <w:lang w:val="en-US"/>
            </w:rPr>
          </w:pPr>
          <w:r/>
          <w:hyperlink w:tooltip="#_Toc233892422" w:anchor="_Toc233892422" w:history="1">
            <w:r>
              <w:rPr>
                <w:rStyle w:val="820"/>
                <w:rFonts w:ascii="Times New Roman" w:hAnsi="Times New Roman" w:cs="Times New Roman"/>
                <w:u w:val="none"/>
                <w:lang w:val="en-US"/>
              </w:rPr>
              <w:t xml:space="preserve">3.1.2 Integrated Spatial Zoning and Infrastructure Design</w:t>
            </w:r>
            <w:r>
              <w:rPr>
                <w:rFonts w:ascii="Times New Roman" w:hAnsi="Times New Roman" w:cs="Times New Roman"/>
              </w:rPr>
              <w:tab/>
              <w:fldChar w:fldCharType="begin"/>
              <w:instrText xml:space="preserve"> PAGEREF _Toc233892422 \h </w:instrText>
              <w:fldChar w:fldCharType="separate"/>
              <w:t xml:space="preserve">40</w:t>
              <w:fldChar w:fldCharType="end"/>
            </w:r>
          </w:hyperlink>
          <w:r/>
          <w:r>
            <w:rPr>
              <w:rFonts w:ascii="Times New Roman" w:hAnsi="Times New Roman" w:cs="Times New Roman" w:eastAsiaTheme="minorEastAsia"/>
              <w:lang w:val="en-US"/>
            </w:rPr>
          </w:r>
        </w:p>
        <w:p w14:paraId="1C2CC38E" w14:textId="672BB970">
          <w:pPr>
            <w:pStyle w:val="832"/>
            <w:pBdr/>
            <w:tabs>
              <w:tab w:val="right" w:leader="dot" w:pos="9890"/>
            </w:tabs>
            <w:spacing/>
            <w:ind/>
            <w:rPr>
              <w:rFonts w:ascii="Times New Roman" w:hAnsi="Times New Roman" w:cs="Times New Roman" w:eastAsiaTheme="minorEastAsia"/>
              <w:lang w:val="en-US"/>
            </w:rPr>
          </w:pPr>
          <w:r/>
          <w:hyperlink w:tooltip="#_Toc233892423" w:anchor="_Toc233892423" w:history="1">
            <w:r>
              <w:rPr>
                <w:rStyle w:val="820"/>
                <w:rFonts w:ascii="Times New Roman" w:hAnsi="Times New Roman" w:cs="Times New Roman"/>
                <w:u w:val="none"/>
                <w:lang w:val="en-US"/>
              </w:rPr>
              <w:t xml:space="preserve">3.1.3. Diversified Production and Circular Integration</w:t>
            </w:r>
            <w:r>
              <w:rPr>
                <w:rFonts w:ascii="Times New Roman" w:hAnsi="Times New Roman" w:cs="Times New Roman"/>
              </w:rPr>
              <w:tab/>
              <w:fldChar w:fldCharType="begin"/>
              <w:instrText xml:space="preserve"> PAGEREF _Toc233892423 \h </w:instrText>
              <w:fldChar w:fldCharType="separate"/>
              <w:t xml:space="preserve">40</w:t>
              <w:fldChar w:fldCharType="end"/>
            </w:r>
          </w:hyperlink>
          <w:r/>
          <w:r>
            <w:rPr>
              <w:rFonts w:ascii="Times New Roman" w:hAnsi="Times New Roman" w:cs="Times New Roman" w:eastAsiaTheme="minorEastAsia"/>
              <w:lang w:val="en-US"/>
            </w:rPr>
          </w:r>
        </w:p>
        <w:p w14:paraId="7C56D535" w14:textId="2FA5907E">
          <w:pPr>
            <w:pStyle w:val="832"/>
            <w:pBdr/>
            <w:tabs>
              <w:tab w:val="right" w:leader="dot" w:pos="9890"/>
            </w:tabs>
            <w:spacing/>
            <w:ind/>
            <w:rPr>
              <w:rFonts w:ascii="Times New Roman" w:hAnsi="Times New Roman" w:cs="Times New Roman" w:eastAsiaTheme="minorEastAsia"/>
              <w:lang w:val="en-US"/>
            </w:rPr>
          </w:pPr>
          <w:r/>
          <w:hyperlink w:tooltip="#_Toc233892424" w:anchor="_Toc233892424" w:history="1">
            <w:r>
              <w:rPr>
                <w:rStyle w:val="820"/>
                <w:rFonts w:ascii="Times New Roman" w:hAnsi="Times New Roman" w:cs="Times New Roman"/>
                <w:u w:val="none"/>
                <w:lang w:val="en-US"/>
              </w:rPr>
              <w:t xml:space="preserve">3.1.4. Climate-Smart Water and Irrigation Infrastructure</w:t>
            </w:r>
            <w:r>
              <w:rPr>
                <w:rFonts w:ascii="Times New Roman" w:hAnsi="Times New Roman" w:cs="Times New Roman"/>
              </w:rPr>
              <w:tab/>
              <w:fldChar w:fldCharType="begin"/>
              <w:instrText xml:space="preserve"> PAGEREF _Toc233892424 \h </w:instrText>
              <w:fldChar w:fldCharType="separate"/>
              <w:t xml:space="preserve">40</w:t>
              <w:fldChar w:fldCharType="end"/>
            </w:r>
          </w:hyperlink>
          <w:r/>
          <w:r>
            <w:rPr>
              <w:rFonts w:ascii="Times New Roman" w:hAnsi="Times New Roman" w:cs="Times New Roman" w:eastAsiaTheme="minorEastAsia"/>
              <w:lang w:val="en-US"/>
            </w:rPr>
          </w:r>
        </w:p>
        <w:p w14:paraId="2A3E3C0E" w14:textId="406AAFD2">
          <w:pPr>
            <w:pStyle w:val="832"/>
            <w:pBdr/>
            <w:tabs>
              <w:tab w:val="right" w:leader="dot" w:pos="9890"/>
            </w:tabs>
            <w:spacing/>
            <w:ind/>
            <w:rPr>
              <w:rFonts w:ascii="Times New Roman" w:hAnsi="Times New Roman" w:cs="Times New Roman" w:eastAsiaTheme="minorEastAsia"/>
              <w:lang w:val="en-US"/>
            </w:rPr>
          </w:pPr>
          <w:r/>
          <w:hyperlink w:tooltip="#_Toc233892425" w:anchor="_Toc233892425" w:history="1">
            <w:r>
              <w:rPr>
                <w:rStyle w:val="820"/>
                <w:rFonts w:ascii="Times New Roman" w:hAnsi="Times New Roman" w:cs="Times New Roman"/>
                <w:u w:val="none"/>
                <w:lang w:val="en-US"/>
              </w:rPr>
              <w:t xml:space="preserve">3.1.5. Advanced Value-Addition and Food Safety Hubs</w:t>
            </w:r>
            <w:r>
              <w:rPr>
                <w:rFonts w:ascii="Times New Roman" w:hAnsi="Times New Roman" w:cs="Times New Roman"/>
              </w:rPr>
              <w:tab/>
              <w:fldChar w:fldCharType="begin"/>
              <w:instrText xml:space="preserve"> PAGEREF _Toc233892425 \h </w:instrText>
              <w:fldChar w:fldCharType="separate"/>
              <w:t xml:space="preserve">40</w:t>
              <w:fldChar w:fldCharType="end"/>
            </w:r>
          </w:hyperlink>
          <w:r/>
          <w:r>
            <w:rPr>
              <w:rFonts w:ascii="Times New Roman" w:hAnsi="Times New Roman" w:cs="Times New Roman" w:eastAsiaTheme="minorEastAsia"/>
              <w:lang w:val="en-US"/>
            </w:rPr>
          </w:r>
        </w:p>
        <w:p w14:paraId="3092AAD8" w14:textId="731219E7">
          <w:pPr>
            <w:pStyle w:val="832"/>
            <w:pBdr/>
            <w:tabs>
              <w:tab w:val="right" w:leader="dot" w:pos="9890"/>
            </w:tabs>
            <w:spacing/>
            <w:ind/>
            <w:rPr>
              <w:rFonts w:ascii="Times New Roman" w:hAnsi="Times New Roman" w:cs="Times New Roman" w:eastAsiaTheme="minorEastAsia"/>
              <w:lang w:val="en-US"/>
            </w:rPr>
          </w:pPr>
          <w:r/>
          <w:hyperlink w:tooltip="#_Toc233892426" w:anchor="_Toc233892426" w:history="1">
            <w:r>
              <w:rPr>
                <w:rStyle w:val="820"/>
                <w:rFonts w:ascii="Times New Roman" w:hAnsi="Times New Roman" w:cs="Times New Roman"/>
                <w:u w:val="none"/>
                <w:lang w:val="en-US"/>
              </w:rPr>
              <w:t xml:space="preserve">3.1.6. Renewable Energy and the "Mini Garage"</w:t>
            </w:r>
            <w:r>
              <w:rPr>
                <w:rFonts w:ascii="Times New Roman" w:hAnsi="Times New Roman" w:cs="Times New Roman"/>
              </w:rPr>
              <w:tab/>
              <w:fldChar w:fldCharType="begin"/>
              <w:instrText xml:space="preserve"> PAGEREF _Toc233892426 \h </w:instrText>
              <w:fldChar w:fldCharType="separate"/>
              <w:t xml:space="preserve">41</w:t>
              <w:fldChar w:fldCharType="end"/>
            </w:r>
          </w:hyperlink>
          <w:r/>
          <w:r>
            <w:rPr>
              <w:rFonts w:ascii="Times New Roman" w:hAnsi="Times New Roman" w:cs="Times New Roman" w:eastAsiaTheme="minorEastAsia"/>
              <w:lang w:val="en-US"/>
            </w:rPr>
          </w:r>
        </w:p>
        <w:p w14:paraId="05B0FE6F" w14:textId="690F42EC">
          <w:pPr>
            <w:pStyle w:val="831"/>
            <w:pBdr/>
            <w:tabs>
              <w:tab w:val="right" w:leader="dot" w:pos="9890"/>
            </w:tabs>
            <w:spacing/>
            <w:ind/>
            <w:rPr>
              <w:rFonts w:ascii="Times New Roman" w:hAnsi="Times New Roman" w:cs="Times New Roman" w:eastAsiaTheme="minorEastAsia"/>
              <w:lang w:val="en-US"/>
            </w:rPr>
          </w:pPr>
          <w:r/>
          <w:hyperlink w:tooltip="#_Toc233892427" w:anchor="_Toc233892427" w:history="1">
            <w:r>
              <w:rPr>
                <w:rStyle w:val="820"/>
                <w:rFonts w:ascii="Times New Roman" w:hAnsi="Times New Roman" w:cs="Times New Roman"/>
                <w:u w:val="none"/>
              </w:rPr>
              <w:t xml:space="preserve">3.2. Operational Feasibility</w:t>
            </w:r>
            <w:r>
              <w:rPr>
                <w:rFonts w:ascii="Times New Roman" w:hAnsi="Times New Roman" w:cs="Times New Roman"/>
              </w:rPr>
              <w:tab/>
              <w:fldChar w:fldCharType="begin"/>
              <w:instrText xml:space="preserve"> PAGEREF _Toc233892427 \h </w:instrText>
              <w:fldChar w:fldCharType="separate"/>
              <w:t xml:space="preserve">41</w:t>
              <w:fldChar w:fldCharType="end"/>
            </w:r>
          </w:hyperlink>
          <w:r/>
          <w:r>
            <w:rPr>
              <w:rFonts w:ascii="Times New Roman" w:hAnsi="Times New Roman" w:cs="Times New Roman" w:eastAsiaTheme="minorEastAsia"/>
              <w:lang w:val="en-US"/>
            </w:rPr>
          </w:r>
        </w:p>
        <w:p w14:paraId="721D9341" w14:textId="23F87565">
          <w:pPr>
            <w:pStyle w:val="832"/>
            <w:pBdr/>
            <w:tabs>
              <w:tab w:val="right" w:leader="dot" w:pos="9890"/>
            </w:tabs>
            <w:spacing/>
            <w:ind/>
            <w:rPr>
              <w:rFonts w:ascii="Times New Roman" w:hAnsi="Times New Roman" w:cs="Times New Roman" w:eastAsiaTheme="minorEastAsia"/>
              <w:lang w:val="en-US"/>
            </w:rPr>
          </w:pPr>
          <w:r/>
          <w:hyperlink w:tooltip="#_Toc233892428" w:anchor="_Toc233892428" w:history="1">
            <w:r>
              <w:rPr>
                <w:rStyle w:val="820"/>
                <w:rFonts w:ascii="Times New Roman" w:hAnsi="Times New Roman" w:cs="Times New Roman"/>
                <w:u w:val="none"/>
              </w:rPr>
              <w:t xml:space="preserve">3.2.</w:t>
            </w:r>
            <w:r>
              <w:rPr>
                <w:rStyle w:val="820"/>
                <w:rFonts w:ascii="Times New Roman" w:hAnsi="Times New Roman" w:cs="Times New Roman"/>
                <w:u w:val="none"/>
                <w:lang w:val="en-US"/>
              </w:rPr>
              <w:t xml:space="preserve">1 Organizational Structure and Strategic Governance</w:t>
            </w:r>
            <w:r>
              <w:rPr>
                <w:rFonts w:ascii="Times New Roman" w:hAnsi="Times New Roman" w:cs="Times New Roman"/>
              </w:rPr>
              <w:tab/>
              <w:fldChar w:fldCharType="begin"/>
              <w:instrText xml:space="preserve"> PAGEREF _Toc233892428 \h </w:instrText>
              <w:fldChar w:fldCharType="separate"/>
              <w:t xml:space="preserve">41</w:t>
              <w:fldChar w:fldCharType="end"/>
            </w:r>
          </w:hyperlink>
          <w:r/>
          <w:r>
            <w:rPr>
              <w:rFonts w:ascii="Times New Roman" w:hAnsi="Times New Roman" w:cs="Times New Roman" w:eastAsiaTheme="minorEastAsia"/>
              <w:lang w:val="en-US"/>
            </w:rPr>
          </w:r>
        </w:p>
        <w:p w14:paraId="73A727E3" w14:textId="0E2975A2">
          <w:pPr>
            <w:pStyle w:val="832"/>
            <w:pBdr/>
            <w:tabs>
              <w:tab w:val="right" w:leader="dot" w:pos="9890"/>
            </w:tabs>
            <w:spacing/>
            <w:ind/>
            <w:rPr>
              <w:rFonts w:ascii="Times New Roman" w:hAnsi="Times New Roman" w:cs="Times New Roman" w:eastAsiaTheme="minorEastAsia"/>
              <w:lang w:val="en-US"/>
            </w:rPr>
          </w:pPr>
          <w:r/>
          <w:hyperlink w:tooltip="#_Toc233892429" w:anchor="_Toc233892429" w:history="1">
            <w:r>
              <w:rPr>
                <w:rStyle w:val="820"/>
                <w:rFonts w:ascii="Times New Roman" w:hAnsi="Times New Roman" w:cs="Times New Roman"/>
                <w:u w:val="none"/>
              </w:rPr>
              <w:t xml:space="preserve">3.2.</w:t>
            </w:r>
            <w:r>
              <w:rPr>
                <w:rStyle w:val="820"/>
                <w:rFonts w:ascii="Times New Roman" w:hAnsi="Times New Roman" w:cs="Times New Roman"/>
                <w:u w:val="none"/>
                <w:lang w:val="en-US"/>
              </w:rPr>
              <w:t xml:space="preserve">2. Staffing Roles and the Dual Accountability Model</w:t>
            </w:r>
            <w:r>
              <w:rPr>
                <w:rFonts w:ascii="Times New Roman" w:hAnsi="Times New Roman" w:cs="Times New Roman"/>
              </w:rPr>
              <w:tab/>
              <w:fldChar w:fldCharType="begin"/>
              <w:instrText xml:space="preserve"> PAGEREF _Toc233892429 \h </w:instrText>
              <w:fldChar w:fldCharType="separate"/>
              <w:t xml:space="preserve">42</w:t>
              <w:fldChar w:fldCharType="end"/>
            </w:r>
          </w:hyperlink>
          <w:r/>
          <w:r>
            <w:rPr>
              <w:rFonts w:ascii="Times New Roman" w:hAnsi="Times New Roman" w:cs="Times New Roman" w:eastAsiaTheme="minorEastAsia"/>
              <w:lang w:val="en-US"/>
            </w:rPr>
          </w:r>
        </w:p>
        <w:p w14:paraId="6EB2124B" w14:textId="785E8506">
          <w:pPr>
            <w:pStyle w:val="832"/>
            <w:pBdr/>
            <w:tabs>
              <w:tab w:val="right" w:leader="dot" w:pos="9890"/>
            </w:tabs>
            <w:spacing/>
            <w:ind/>
            <w:rPr>
              <w:rFonts w:ascii="Times New Roman" w:hAnsi="Times New Roman" w:cs="Times New Roman" w:eastAsiaTheme="minorEastAsia"/>
              <w:lang w:val="en-US"/>
            </w:rPr>
          </w:pPr>
          <w:r/>
          <w:hyperlink w:tooltip="#_Toc233892430" w:anchor="_Toc233892430" w:history="1">
            <w:r>
              <w:rPr>
                <w:rStyle w:val="820"/>
                <w:rFonts w:ascii="Times New Roman" w:hAnsi="Times New Roman" w:cs="Times New Roman"/>
                <w:u w:val="none"/>
              </w:rPr>
              <w:t xml:space="preserve">3.2.</w:t>
            </w:r>
            <w:r>
              <w:rPr>
                <w:rStyle w:val="820"/>
                <w:rFonts w:ascii="Times New Roman" w:hAnsi="Times New Roman" w:cs="Times New Roman"/>
                <w:u w:val="none"/>
                <w:lang w:val="en-US"/>
              </w:rPr>
              <w:t xml:space="preserve">3. Standard Operating Procedures (SOPs) and Quality Assurance</w:t>
            </w:r>
            <w:r>
              <w:rPr>
                <w:rFonts w:ascii="Times New Roman" w:hAnsi="Times New Roman" w:cs="Times New Roman"/>
              </w:rPr>
              <w:tab/>
              <w:fldChar w:fldCharType="begin"/>
              <w:instrText xml:space="preserve"> PAGEREF _Toc233892430 \h </w:instrText>
              <w:fldChar w:fldCharType="separate"/>
              <w:t xml:space="preserve">42</w:t>
              <w:fldChar w:fldCharType="end"/>
            </w:r>
          </w:hyperlink>
          <w:r/>
          <w:r>
            <w:rPr>
              <w:rFonts w:ascii="Times New Roman" w:hAnsi="Times New Roman" w:cs="Times New Roman" w:eastAsiaTheme="minorEastAsia"/>
              <w:lang w:val="en-US"/>
            </w:rPr>
          </w:r>
        </w:p>
        <w:p w14:paraId="4074B790" w14:textId="01B9BEB3">
          <w:pPr>
            <w:pStyle w:val="832"/>
            <w:pBdr/>
            <w:tabs>
              <w:tab w:val="right" w:leader="dot" w:pos="9890"/>
            </w:tabs>
            <w:spacing/>
            <w:ind/>
            <w:rPr>
              <w:rFonts w:ascii="Times New Roman" w:hAnsi="Times New Roman" w:cs="Times New Roman" w:eastAsiaTheme="minorEastAsia"/>
              <w:lang w:val="en-US"/>
            </w:rPr>
          </w:pPr>
          <w:r/>
          <w:hyperlink w:tooltip="#_Toc233892431" w:anchor="_Toc233892431" w:history="1">
            <w:r>
              <w:rPr>
                <w:rStyle w:val="820"/>
                <w:rFonts w:ascii="Times New Roman" w:hAnsi="Times New Roman" w:cs="Times New Roman"/>
                <w:u w:val="none"/>
              </w:rPr>
              <w:t xml:space="preserve">3.2.</w:t>
            </w:r>
            <w:r>
              <w:rPr>
                <w:rStyle w:val="820"/>
                <w:rFonts w:ascii="Times New Roman" w:hAnsi="Times New Roman" w:cs="Times New Roman"/>
                <w:u w:val="none"/>
                <w:lang w:val="en-US"/>
              </w:rPr>
              <w:t xml:space="preserve">4. Integrated Calendars and Student Rotation Systems</w:t>
            </w:r>
            <w:r>
              <w:rPr>
                <w:rFonts w:ascii="Times New Roman" w:hAnsi="Times New Roman" w:cs="Times New Roman"/>
              </w:rPr>
              <w:tab/>
              <w:fldChar w:fldCharType="begin"/>
              <w:instrText xml:space="preserve"> PAGEREF _Toc233892431 \h </w:instrText>
              <w:fldChar w:fldCharType="separate"/>
              <w:t xml:space="preserve">43</w:t>
              <w:fldChar w:fldCharType="end"/>
            </w:r>
          </w:hyperlink>
          <w:r/>
          <w:r>
            <w:rPr>
              <w:rFonts w:ascii="Times New Roman" w:hAnsi="Times New Roman" w:cs="Times New Roman" w:eastAsiaTheme="minorEastAsia"/>
              <w:lang w:val="en-US"/>
            </w:rPr>
          </w:r>
        </w:p>
        <w:p w14:paraId="58B2F3F1" w14:textId="1370AE91">
          <w:pPr>
            <w:pStyle w:val="832"/>
            <w:pBdr/>
            <w:tabs>
              <w:tab w:val="right" w:leader="dot" w:pos="9890"/>
            </w:tabs>
            <w:spacing/>
            <w:ind/>
            <w:rPr>
              <w:rFonts w:ascii="Times New Roman" w:hAnsi="Times New Roman" w:cs="Times New Roman" w:eastAsiaTheme="minorEastAsia"/>
              <w:lang w:val="en-US"/>
            </w:rPr>
          </w:pPr>
          <w:r/>
          <w:hyperlink w:tooltip="#_Toc233892432" w:anchor="_Toc233892432" w:history="1">
            <w:r>
              <w:rPr>
                <w:rStyle w:val="820"/>
                <w:rFonts w:ascii="Times New Roman" w:hAnsi="Times New Roman" w:cs="Times New Roman"/>
                <w:u w:val="none"/>
              </w:rPr>
              <w:t xml:space="preserve">3.2.</w:t>
            </w:r>
            <w:r>
              <w:rPr>
                <w:rStyle w:val="820"/>
                <w:rFonts w:ascii="Times New Roman" w:hAnsi="Times New Roman" w:cs="Times New Roman"/>
                <w:u w:val="none"/>
                <w:lang w:val="en-US"/>
              </w:rPr>
              <w:t xml:space="preserve">5. Health, Safety, and Biosecurity Protocols</w:t>
            </w:r>
            <w:r>
              <w:rPr>
                <w:rFonts w:ascii="Times New Roman" w:hAnsi="Times New Roman" w:cs="Times New Roman"/>
              </w:rPr>
              <w:tab/>
              <w:fldChar w:fldCharType="begin"/>
              <w:instrText xml:space="preserve"> PAGEREF _Toc233892432 \h </w:instrText>
              <w:fldChar w:fldCharType="separate"/>
              <w:t xml:space="preserve">43</w:t>
              <w:fldChar w:fldCharType="end"/>
            </w:r>
          </w:hyperlink>
          <w:r/>
          <w:r>
            <w:rPr>
              <w:rFonts w:ascii="Times New Roman" w:hAnsi="Times New Roman" w:cs="Times New Roman" w:eastAsiaTheme="minorEastAsia"/>
              <w:lang w:val="en-US"/>
            </w:rPr>
          </w:r>
        </w:p>
        <w:p w14:paraId="64453C37" w14:textId="5C2A178F">
          <w:pPr>
            <w:pStyle w:val="832"/>
            <w:pBdr/>
            <w:tabs>
              <w:tab w:val="right" w:leader="dot" w:pos="9890"/>
            </w:tabs>
            <w:spacing/>
            <w:ind/>
            <w:rPr>
              <w:rFonts w:ascii="Times New Roman" w:hAnsi="Times New Roman" w:cs="Times New Roman" w:eastAsiaTheme="minorEastAsia"/>
              <w:lang w:val="en-US"/>
            </w:rPr>
          </w:pPr>
          <w:r/>
          <w:hyperlink w:tooltip="#_Toc233892433" w:anchor="_Toc233892433" w:history="1">
            <w:r>
              <w:rPr>
                <w:rStyle w:val="820"/>
                <w:rFonts w:ascii="Times New Roman" w:hAnsi="Times New Roman" w:cs="Times New Roman"/>
                <w:u w:val="none"/>
                <w:lang w:val="en-US"/>
              </w:rPr>
              <w:t xml:space="preserve">3.2.6. Record-Keeping and Evidence-Based Management</w:t>
            </w:r>
            <w:r>
              <w:rPr>
                <w:rFonts w:ascii="Times New Roman" w:hAnsi="Times New Roman" w:cs="Times New Roman"/>
              </w:rPr>
              <w:tab/>
              <w:fldChar w:fldCharType="begin"/>
              <w:instrText xml:space="preserve"> PAGEREF _Toc233892433 \h </w:instrText>
              <w:fldChar w:fldCharType="separate"/>
              <w:t xml:space="preserve">43</w:t>
              <w:fldChar w:fldCharType="end"/>
            </w:r>
          </w:hyperlink>
          <w:r/>
          <w:r>
            <w:rPr>
              <w:rFonts w:ascii="Times New Roman" w:hAnsi="Times New Roman" w:cs="Times New Roman" w:eastAsiaTheme="minorEastAsia"/>
              <w:lang w:val="en-US"/>
            </w:rPr>
          </w:r>
        </w:p>
        <w:p w14:paraId="4F23F7C0" w14:textId="2749A462">
          <w:pPr>
            <w:pStyle w:val="831"/>
            <w:pBdr/>
            <w:tabs>
              <w:tab w:val="right" w:leader="dot" w:pos="9890"/>
            </w:tabs>
            <w:spacing/>
            <w:ind/>
            <w:rPr>
              <w:rFonts w:ascii="Times New Roman" w:hAnsi="Times New Roman" w:cs="Times New Roman" w:eastAsiaTheme="minorEastAsia"/>
              <w:lang w:val="en-US"/>
            </w:rPr>
          </w:pPr>
          <w:r/>
          <w:hyperlink w:tooltip="#_Toc233892434" w:anchor="_Toc233892434" w:history="1">
            <w:r>
              <w:rPr>
                <w:rStyle w:val="820"/>
                <w:rFonts w:ascii="Times New Roman" w:hAnsi="Times New Roman" w:cs="Times New Roman"/>
                <w:u w:val="none"/>
              </w:rPr>
              <w:t xml:space="preserve">3.3. Financial feasibility</w:t>
            </w:r>
            <w:r>
              <w:rPr>
                <w:rFonts w:ascii="Times New Roman" w:hAnsi="Times New Roman" w:cs="Times New Roman"/>
              </w:rPr>
              <w:tab/>
              <w:fldChar w:fldCharType="begin"/>
              <w:instrText xml:space="preserve"> PAGEREF _Toc233892434 \h </w:instrText>
              <w:fldChar w:fldCharType="separate"/>
              <w:t xml:space="preserve">43</w:t>
              <w:fldChar w:fldCharType="end"/>
            </w:r>
          </w:hyperlink>
          <w:r/>
          <w:r>
            <w:rPr>
              <w:rFonts w:ascii="Times New Roman" w:hAnsi="Times New Roman" w:cs="Times New Roman" w:eastAsiaTheme="minorEastAsia"/>
              <w:lang w:val="en-US"/>
            </w:rPr>
          </w:r>
        </w:p>
        <w:p w14:paraId="31E45E90" w14:textId="1A40ED6B">
          <w:pPr>
            <w:pStyle w:val="832"/>
            <w:pBdr/>
            <w:tabs>
              <w:tab w:val="right" w:leader="dot" w:pos="9890"/>
            </w:tabs>
            <w:spacing/>
            <w:ind/>
            <w:rPr>
              <w:rFonts w:ascii="Times New Roman" w:hAnsi="Times New Roman" w:cs="Times New Roman" w:eastAsiaTheme="minorEastAsia"/>
              <w:lang w:val="en-US"/>
            </w:rPr>
          </w:pPr>
          <w:r/>
          <w:hyperlink w:tooltip="#_Toc233892435" w:anchor="_Toc233892435"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1. Integrated Business Model and Commercial Strategy</w:t>
            </w:r>
            <w:r>
              <w:rPr>
                <w:rFonts w:ascii="Times New Roman" w:hAnsi="Times New Roman" w:cs="Times New Roman"/>
              </w:rPr>
              <w:tab/>
              <w:fldChar w:fldCharType="begin"/>
              <w:instrText xml:space="preserve"> PAGEREF _Toc233892435 \h </w:instrText>
              <w:fldChar w:fldCharType="separate"/>
              <w:t xml:space="preserve">44</w:t>
              <w:fldChar w:fldCharType="end"/>
            </w:r>
          </w:hyperlink>
          <w:r/>
          <w:r>
            <w:rPr>
              <w:rFonts w:ascii="Times New Roman" w:hAnsi="Times New Roman" w:cs="Times New Roman" w:eastAsiaTheme="minorEastAsia"/>
              <w:lang w:val="en-US"/>
            </w:rPr>
          </w:r>
        </w:p>
        <w:p w14:paraId="210C7DAD" w14:textId="1B0E9ED9">
          <w:pPr>
            <w:pStyle w:val="832"/>
            <w:pBdr/>
            <w:tabs>
              <w:tab w:val="right" w:leader="dot" w:pos="9890"/>
            </w:tabs>
            <w:spacing/>
            <w:ind/>
            <w:rPr>
              <w:rFonts w:ascii="Times New Roman" w:hAnsi="Times New Roman" w:cs="Times New Roman" w:eastAsiaTheme="minorEastAsia"/>
              <w:lang w:val="en-US"/>
            </w:rPr>
          </w:pPr>
          <w:r/>
          <w:hyperlink w:tooltip="#_Toc233892436" w:anchor="_Toc233892436"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2. Diversified Revenue Generation and Income Streams</w:t>
            </w:r>
            <w:r>
              <w:rPr>
                <w:rFonts w:ascii="Times New Roman" w:hAnsi="Times New Roman" w:cs="Times New Roman"/>
              </w:rPr>
              <w:tab/>
              <w:fldChar w:fldCharType="begin"/>
              <w:instrText xml:space="preserve"> PAGEREF _Toc233892436 \h </w:instrText>
              <w:fldChar w:fldCharType="separate"/>
              <w:t xml:space="preserve">44</w:t>
              <w:fldChar w:fldCharType="end"/>
            </w:r>
          </w:hyperlink>
          <w:r/>
          <w:r>
            <w:rPr>
              <w:rFonts w:ascii="Times New Roman" w:hAnsi="Times New Roman" w:cs="Times New Roman" w:eastAsiaTheme="minorEastAsia"/>
              <w:lang w:val="en-US"/>
            </w:rPr>
          </w:r>
        </w:p>
        <w:p w14:paraId="773E14A2" w14:textId="1BC81071">
          <w:pPr>
            <w:pStyle w:val="832"/>
            <w:pBdr/>
            <w:tabs>
              <w:tab w:val="right" w:leader="dot" w:pos="9890"/>
            </w:tabs>
            <w:spacing/>
            <w:ind/>
            <w:rPr>
              <w:rFonts w:ascii="Times New Roman" w:hAnsi="Times New Roman" w:cs="Times New Roman" w:eastAsiaTheme="minorEastAsia"/>
              <w:lang w:val="en-US"/>
            </w:rPr>
          </w:pPr>
          <w:r/>
          <w:hyperlink w:tooltip="#_Toc233892437" w:anchor="_Toc233892437"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3. Cost-Recovery Mechanisms and Pricing Strategies</w:t>
            </w:r>
            <w:r>
              <w:rPr>
                <w:rFonts w:ascii="Times New Roman" w:hAnsi="Times New Roman" w:cs="Times New Roman"/>
              </w:rPr>
              <w:tab/>
              <w:fldChar w:fldCharType="begin"/>
              <w:instrText xml:space="preserve"> PAGEREF _Toc233892437 \h </w:instrText>
              <w:fldChar w:fldCharType="separate"/>
              <w:t xml:space="preserve">44</w:t>
              <w:fldChar w:fldCharType="end"/>
            </w:r>
          </w:hyperlink>
          <w:r/>
          <w:r>
            <w:rPr>
              <w:rFonts w:ascii="Times New Roman" w:hAnsi="Times New Roman" w:cs="Times New Roman" w:eastAsiaTheme="minorEastAsia"/>
              <w:lang w:val="en-US"/>
            </w:rPr>
          </w:r>
        </w:p>
        <w:p w14:paraId="23AA934C" w14:textId="52E607E6">
          <w:pPr>
            <w:pStyle w:val="832"/>
            <w:pBdr/>
            <w:tabs>
              <w:tab w:val="right" w:leader="dot" w:pos="9890"/>
            </w:tabs>
            <w:spacing/>
            <w:ind/>
            <w:rPr>
              <w:rFonts w:ascii="Times New Roman" w:hAnsi="Times New Roman" w:cs="Times New Roman" w:eastAsiaTheme="minorEastAsia"/>
              <w:lang w:val="en-US"/>
            </w:rPr>
          </w:pPr>
          <w:r/>
          <w:hyperlink w:tooltip="#_Toc233892438" w:anchor="_Toc233892438"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4. Phased Investment and Operational Budgeting</w:t>
            </w:r>
            <w:r>
              <w:rPr>
                <w:rFonts w:ascii="Times New Roman" w:hAnsi="Times New Roman" w:cs="Times New Roman"/>
              </w:rPr>
              <w:tab/>
              <w:fldChar w:fldCharType="begin"/>
              <w:instrText xml:space="preserve"> PAGEREF _Toc233892438 \h </w:instrText>
              <w:fldChar w:fldCharType="separate"/>
              <w:t xml:space="preserve">45</w:t>
              <w:fldChar w:fldCharType="end"/>
            </w:r>
          </w:hyperlink>
          <w:r/>
          <w:r>
            <w:rPr>
              <w:rFonts w:ascii="Times New Roman" w:hAnsi="Times New Roman" w:cs="Times New Roman" w:eastAsiaTheme="minorEastAsia"/>
              <w:lang w:val="en-US"/>
            </w:rPr>
          </w:r>
        </w:p>
        <w:p w14:paraId="61E19B9B" w14:textId="24AE59A4">
          <w:pPr>
            <w:pStyle w:val="832"/>
            <w:pBdr/>
            <w:tabs>
              <w:tab w:val="right" w:leader="dot" w:pos="9890"/>
            </w:tabs>
            <w:spacing/>
            <w:ind/>
            <w:rPr>
              <w:rFonts w:ascii="Times New Roman" w:hAnsi="Times New Roman" w:cs="Times New Roman" w:eastAsiaTheme="minorEastAsia"/>
              <w:lang w:val="en-US"/>
            </w:rPr>
          </w:pPr>
          <w:r/>
          <w:hyperlink w:tooltip="#_Toc233892439" w:anchor="_Toc233892439"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5. Financial Management, Accountability, and Transparency</w:t>
            </w:r>
            <w:r>
              <w:rPr>
                <w:rFonts w:ascii="Times New Roman" w:hAnsi="Times New Roman" w:cs="Times New Roman"/>
              </w:rPr>
              <w:tab/>
              <w:fldChar w:fldCharType="begin"/>
              <w:instrText xml:space="preserve"> PAGEREF _Toc233892439 \h </w:instrText>
              <w:fldChar w:fldCharType="separate"/>
              <w:t xml:space="preserve">45</w:t>
              <w:fldChar w:fldCharType="end"/>
            </w:r>
          </w:hyperlink>
          <w:r/>
          <w:r>
            <w:rPr>
              <w:rFonts w:ascii="Times New Roman" w:hAnsi="Times New Roman" w:cs="Times New Roman" w:eastAsiaTheme="minorEastAsia"/>
              <w:lang w:val="en-US"/>
            </w:rPr>
          </w:r>
        </w:p>
        <w:p w14:paraId="271B70B6" w14:textId="6E0CBC1D">
          <w:pPr>
            <w:pStyle w:val="832"/>
            <w:pBdr/>
            <w:tabs>
              <w:tab w:val="right" w:leader="dot" w:pos="9890"/>
            </w:tabs>
            <w:spacing/>
            <w:ind/>
            <w:rPr>
              <w:rFonts w:ascii="Times New Roman" w:hAnsi="Times New Roman" w:cs="Times New Roman" w:eastAsiaTheme="minorEastAsia"/>
              <w:lang w:val="en-US"/>
            </w:rPr>
          </w:pPr>
          <w:r/>
          <w:hyperlink w:tooltip="#_Toc233892440" w:anchor="_Toc233892440" w:history="1">
            <w:r>
              <w:rPr>
                <w:rStyle w:val="820"/>
                <w:rFonts w:ascii="Times New Roman" w:hAnsi="Times New Roman" w:cs="Times New Roman"/>
                <w:u w:val="none"/>
              </w:rPr>
              <w:t xml:space="preserve">3.3.</w:t>
            </w:r>
            <w:r>
              <w:rPr>
                <w:rStyle w:val="820"/>
                <w:rFonts w:ascii="Times New Roman" w:hAnsi="Times New Roman" w:cs="Times New Roman"/>
                <w:u w:val="none"/>
                <w:lang w:val="en-US"/>
              </w:rPr>
              <w:t xml:space="preserve">6. Reinvestment and Asset Sustainability</w:t>
            </w:r>
            <w:r>
              <w:rPr>
                <w:rFonts w:ascii="Times New Roman" w:hAnsi="Times New Roman" w:cs="Times New Roman"/>
              </w:rPr>
              <w:tab/>
              <w:fldChar w:fldCharType="begin"/>
              <w:instrText xml:space="preserve"> PAGEREF _Toc233892440 \h </w:instrText>
              <w:fldChar w:fldCharType="separate"/>
              <w:t xml:space="preserve">45</w:t>
              <w:fldChar w:fldCharType="end"/>
            </w:r>
          </w:hyperlink>
          <w:r/>
          <w:r>
            <w:rPr>
              <w:rFonts w:ascii="Times New Roman" w:hAnsi="Times New Roman" w:cs="Times New Roman" w:eastAsiaTheme="minorEastAsia"/>
              <w:lang w:val="en-US"/>
            </w:rPr>
          </w:r>
        </w:p>
        <w:p w14:paraId="62BFC311" w14:textId="1582C1B9">
          <w:pPr>
            <w:pStyle w:val="830"/>
            <w:pBdr/>
            <w:tabs>
              <w:tab w:val="right" w:leader="dot" w:pos="9890"/>
            </w:tabs>
            <w:spacing/>
            <w:ind/>
            <w:rPr>
              <w:rFonts w:ascii="Times New Roman" w:hAnsi="Times New Roman" w:cs="Times New Roman" w:eastAsiaTheme="minorEastAsia"/>
              <w:lang w:val="en-US"/>
            </w:rPr>
          </w:pPr>
          <w:r/>
          <w:hyperlink w:tooltip="#_Toc233892441" w:anchor="_Toc233892441" w:history="1">
            <w:r>
              <w:rPr>
                <w:rStyle w:val="820"/>
                <w:rFonts w:ascii="Times New Roman" w:hAnsi="Times New Roman" w:cs="Times New Roman"/>
                <w:u w:val="none"/>
              </w:rPr>
              <w:t xml:space="preserve">4. CROSS-CUTTING FRAMEWORKS</w:t>
            </w:r>
            <w:r>
              <w:rPr>
                <w:rFonts w:ascii="Times New Roman" w:hAnsi="Times New Roman" w:cs="Times New Roman"/>
              </w:rPr>
              <w:tab/>
              <w:fldChar w:fldCharType="begin"/>
              <w:instrText xml:space="preserve"> PAGEREF _Toc233892441 \h </w:instrText>
              <w:fldChar w:fldCharType="separate"/>
              <w:t xml:space="preserve">45</w:t>
              <w:fldChar w:fldCharType="end"/>
            </w:r>
          </w:hyperlink>
          <w:r/>
          <w:r>
            <w:rPr>
              <w:rFonts w:ascii="Times New Roman" w:hAnsi="Times New Roman" w:cs="Times New Roman" w:eastAsiaTheme="minorEastAsia"/>
              <w:lang w:val="en-US"/>
            </w:rPr>
          </w:r>
        </w:p>
        <w:p w14:paraId="71AB51EB" w14:textId="637AD674">
          <w:pPr>
            <w:pStyle w:val="831"/>
            <w:pBdr/>
            <w:tabs>
              <w:tab w:val="right" w:leader="dot" w:pos="9890"/>
            </w:tabs>
            <w:spacing/>
            <w:ind/>
            <w:rPr>
              <w:rFonts w:ascii="Times New Roman" w:hAnsi="Times New Roman" w:cs="Times New Roman" w:eastAsiaTheme="minorEastAsia"/>
              <w:lang w:val="en-US"/>
            </w:rPr>
          </w:pPr>
          <w:r/>
          <w:hyperlink w:tooltip="#_Toc233892442" w:anchor="_Toc233892442" w:history="1">
            <w:r>
              <w:rPr>
                <w:rStyle w:val="820"/>
                <w:rFonts w:ascii="Times New Roman" w:hAnsi="Times New Roman" w:cs="Times New Roman"/>
                <w:u w:val="none"/>
              </w:rPr>
              <w:t xml:space="preserve">4.1 Climate-Smart Strategy</w:t>
            </w:r>
            <w:r>
              <w:rPr>
                <w:rFonts w:ascii="Times New Roman" w:hAnsi="Times New Roman" w:cs="Times New Roman"/>
              </w:rPr>
              <w:tab/>
              <w:fldChar w:fldCharType="begin"/>
              <w:instrText xml:space="preserve"> PAGEREF _Toc233892442 \h </w:instrText>
              <w:fldChar w:fldCharType="separate"/>
              <w:t xml:space="preserve">45</w:t>
              <w:fldChar w:fldCharType="end"/>
            </w:r>
          </w:hyperlink>
          <w:r/>
          <w:r>
            <w:rPr>
              <w:rFonts w:ascii="Times New Roman" w:hAnsi="Times New Roman" w:cs="Times New Roman" w:eastAsiaTheme="minorEastAsia"/>
              <w:lang w:val="en-US"/>
            </w:rPr>
          </w:r>
        </w:p>
        <w:p w14:paraId="5472900B" w14:textId="68349A48">
          <w:pPr>
            <w:pStyle w:val="831"/>
            <w:pBdr/>
            <w:tabs>
              <w:tab w:val="right" w:leader="dot" w:pos="9890"/>
            </w:tabs>
            <w:spacing/>
            <w:ind/>
            <w:rPr>
              <w:rFonts w:ascii="Times New Roman" w:hAnsi="Times New Roman" w:cs="Times New Roman" w:eastAsiaTheme="minorEastAsia"/>
              <w:lang w:val="en-US"/>
            </w:rPr>
          </w:pPr>
          <w:r/>
          <w:hyperlink w:tooltip="#_Toc233892443" w:anchor="_Toc233892443" w:history="1">
            <w:r>
              <w:rPr>
                <w:rStyle w:val="820"/>
                <w:rFonts w:ascii="Times New Roman" w:hAnsi="Times New Roman" w:cs="Times New Roman"/>
                <w:u w:val="none"/>
              </w:rPr>
              <w:t xml:space="preserve">4.2 Gender and Social Inclusivity Framework</w:t>
            </w:r>
            <w:r>
              <w:rPr>
                <w:rFonts w:ascii="Times New Roman" w:hAnsi="Times New Roman" w:cs="Times New Roman"/>
              </w:rPr>
              <w:tab/>
              <w:fldChar w:fldCharType="begin"/>
              <w:instrText xml:space="preserve"> PAGEREF _Toc233892443 \h </w:instrText>
              <w:fldChar w:fldCharType="separate"/>
              <w:t xml:space="preserve">47</w:t>
              <w:fldChar w:fldCharType="end"/>
            </w:r>
          </w:hyperlink>
          <w:r/>
          <w:r>
            <w:rPr>
              <w:rFonts w:ascii="Times New Roman" w:hAnsi="Times New Roman" w:cs="Times New Roman" w:eastAsiaTheme="minorEastAsia"/>
              <w:lang w:val="en-US"/>
            </w:rPr>
          </w:r>
        </w:p>
        <w:p w14:paraId="4A0CD096" w14:textId="07F36483">
          <w:pPr>
            <w:pStyle w:val="831"/>
            <w:pBdr/>
            <w:tabs>
              <w:tab w:val="right" w:leader="dot" w:pos="9890"/>
            </w:tabs>
            <w:spacing/>
            <w:ind/>
            <w:rPr>
              <w:rFonts w:ascii="Times New Roman" w:hAnsi="Times New Roman" w:cs="Times New Roman" w:eastAsiaTheme="minorEastAsia"/>
              <w:lang w:val="en-US"/>
            </w:rPr>
          </w:pPr>
          <w:r/>
          <w:hyperlink w:tooltip="#_Toc233892444" w:anchor="_Toc233892444" w:history="1">
            <w:r>
              <w:rPr>
                <w:rStyle w:val="820"/>
                <w:rFonts w:ascii="Times New Roman" w:hAnsi="Times New Roman" w:cs="Times New Roman"/>
                <w:u w:val="none"/>
              </w:rPr>
              <w:t xml:space="preserve">4.3. Pedagogical Integration Plan</w:t>
            </w:r>
            <w:r>
              <w:rPr>
                <w:rFonts w:ascii="Times New Roman" w:hAnsi="Times New Roman" w:cs="Times New Roman"/>
              </w:rPr>
              <w:tab/>
              <w:fldChar w:fldCharType="begin"/>
              <w:instrText xml:space="preserve"> PAGEREF _Toc233892444 \h </w:instrText>
              <w:fldChar w:fldCharType="separate"/>
              <w:t xml:space="preserve">47</w:t>
              <w:fldChar w:fldCharType="end"/>
            </w:r>
          </w:hyperlink>
          <w:r/>
          <w:r>
            <w:rPr>
              <w:rFonts w:ascii="Times New Roman" w:hAnsi="Times New Roman" w:cs="Times New Roman" w:eastAsiaTheme="minorEastAsia"/>
              <w:lang w:val="en-US"/>
            </w:rPr>
          </w:r>
        </w:p>
        <w:p w14:paraId="68AAD51E" w14:textId="4C6E0D74">
          <w:pPr>
            <w:pStyle w:val="832"/>
            <w:pBdr/>
            <w:tabs>
              <w:tab w:val="right" w:leader="dot" w:pos="9890"/>
            </w:tabs>
            <w:spacing/>
            <w:ind/>
            <w:rPr>
              <w:rFonts w:ascii="Times New Roman" w:hAnsi="Times New Roman" w:cs="Times New Roman" w:eastAsiaTheme="minorEastAsia"/>
              <w:lang w:val="en-US"/>
            </w:rPr>
          </w:pPr>
          <w:r/>
          <w:hyperlink w:tooltip="#_Toc233892445" w:anchor="_Toc233892445" w:history="1">
            <w:r>
              <w:rPr>
                <w:rStyle w:val="820"/>
                <w:rFonts w:ascii="Times New Roman" w:hAnsi="Times New Roman" w:cs="Times New Roman"/>
                <w:u w:val="none"/>
              </w:rPr>
              <w:t xml:space="preserve">4.3.1. Alignment with National TVET Standards</w:t>
            </w:r>
            <w:r>
              <w:rPr>
                <w:rFonts w:ascii="Times New Roman" w:hAnsi="Times New Roman" w:cs="Times New Roman"/>
              </w:rPr>
              <w:tab/>
              <w:fldChar w:fldCharType="begin"/>
              <w:instrText xml:space="preserve"> PAGEREF _Toc233892445 \h </w:instrText>
              <w:fldChar w:fldCharType="separate"/>
              <w:t xml:space="preserve">47</w:t>
              <w:fldChar w:fldCharType="end"/>
            </w:r>
          </w:hyperlink>
          <w:r/>
          <w:r>
            <w:rPr>
              <w:rFonts w:ascii="Times New Roman" w:hAnsi="Times New Roman" w:cs="Times New Roman" w:eastAsiaTheme="minorEastAsia"/>
              <w:lang w:val="en-US"/>
            </w:rPr>
          </w:r>
        </w:p>
        <w:p w14:paraId="7CBEDCCD" w14:textId="65C6204E">
          <w:pPr>
            <w:pStyle w:val="832"/>
            <w:pBdr/>
            <w:tabs>
              <w:tab w:val="right" w:leader="dot" w:pos="9890"/>
            </w:tabs>
            <w:spacing/>
            <w:ind/>
            <w:rPr>
              <w:rFonts w:ascii="Times New Roman" w:hAnsi="Times New Roman" w:cs="Times New Roman" w:eastAsiaTheme="minorEastAsia"/>
              <w:lang w:val="en-US"/>
            </w:rPr>
          </w:pPr>
          <w:r/>
          <w:hyperlink w:tooltip="#_Toc233892446" w:anchor="_Toc233892446" w:history="1">
            <w:r>
              <w:rPr>
                <w:rStyle w:val="820"/>
                <w:rFonts w:ascii="Times New Roman" w:hAnsi="Times New Roman" w:cs="Times New Roman"/>
                <w:u w:val="none"/>
              </w:rPr>
              <w:t xml:space="preserve">4.3.2. The "Learn by Doing" Operational Model</w:t>
            </w:r>
            <w:r>
              <w:rPr>
                <w:rFonts w:ascii="Times New Roman" w:hAnsi="Times New Roman" w:cs="Times New Roman"/>
              </w:rPr>
              <w:tab/>
              <w:fldChar w:fldCharType="begin"/>
              <w:instrText xml:space="preserve"> PAGEREF _Toc233892446 \h </w:instrText>
              <w:fldChar w:fldCharType="separate"/>
              <w:t xml:space="preserve">48</w:t>
              <w:fldChar w:fldCharType="end"/>
            </w:r>
          </w:hyperlink>
          <w:r/>
          <w:r>
            <w:rPr>
              <w:rFonts w:ascii="Times New Roman" w:hAnsi="Times New Roman" w:cs="Times New Roman" w:eastAsiaTheme="minorEastAsia"/>
              <w:lang w:val="en-US"/>
            </w:rPr>
          </w:r>
        </w:p>
        <w:p w14:paraId="41299CCF" w14:textId="2694876B">
          <w:pPr>
            <w:pStyle w:val="832"/>
            <w:pBdr/>
            <w:tabs>
              <w:tab w:val="right" w:leader="dot" w:pos="9890"/>
            </w:tabs>
            <w:spacing/>
            <w:ind/>
            <w:rPr>
              <w:rFonts w:ascii="Times New Roman" w:hAnsi="Times New Roman" w:cs="Times New Roman" w:eastAsiaTheme="minorEastAsia"/>
              <w:lang w:val="en-US"/>
            </w:rPr>
          </w:pPr>
          <w:r/>
          <w:hyperlink w:tooltip="#_Toc233892447" w:anchor="_Toc233892447" w:history="1">
            <w:r>
              <w:rPr>
                <w:rStyle w:val="820"/>
                <w:rFonts w:ascii="Times New Roman" w:hAnsi="Times New Roman" w:cs="Times New Roman"/>
                <w:u w:val="none"/>
              </w:rPr>
              <w:t xml:space="preserve">4.3.3. Agribusiness and Value Chain Competencies</w:t>
            </w:r>
            <w:r>
              <w:rPr>
                <w:rFonts w:ascii="Times New Roman" w:hAnsi="Times New Roman" w:cs="Times New Roman"/>
              </w:rPr>
              <w:tab/>
              <w:fldChar w:fldCharType="begin"/>
              <w:instrText xml:space="preserve"> PAGEREF _Toc233892447 \h </w:instrText>
              <w:fldChar w:fldCharType="separate"/>
              <w:t xml:space="preserve">48</w:t>
              <w:fldChar w:fldCharType="end"/>
            </w:r>
          </w:hyperlink>
          <w:r/>
          <w:r>
            <w:rPr>
              <w:rFonts w:ascii="Times New Roman" w:hAnsi="Times New Roman" w:cs="Times New Roman" w:eastAsiaTheme="minorEastAsia"/>
              <w:lang w:val="en-US"/>
            </w:rPr>
          </w:r>
        </w:p>
        <w:p w14:paraId="7471803F" w14:textId="64C3E71B">
          <w:pPr>
            <w:pStyle w:val="830"/>
            <w:pBdr/>
            <w:tabs>
              <w:tab w:val="right" w:leader="dot" w:pos="9890"/>
            </w:tabs>
            <w:spacing/>
            <w:ind/>
            <w:rPr>
              <w:rFonts w:ascii="Times New Roman" w:hAnsi="Times New Roman" w:cs="Times New Roman" w:eastAsiaTheme="minorEastAsia"/>
              <w:lang w:val="en-US"/>
            </w:rPr>
          </w:pPr>
          <w:r/>
          <w:hyperlink w:tooltip="#_Toc233892448" w:anchor="_Toc233892448" w:history="1">
            <w:r>
              <w:rPr>
                <w:rStyle w:val="820"/>
                <w:rFonts w:ascii="Times New Roman" w:hAnsi="Times New Roman" w:cs="Times New Roman"/>
                <w:u w:val="none"/>
              </w:rPr>
              <w:t xml:space="preserve">5. PEDAGOGICAL TOOLS AND ASSESSMENT</w:t>
            </w:r>
            <w:r>
              <w:rPr>
                <w:rFonts w:ascii="Times New Roman" w:hAnsi="Times New Roman" w:cs="Times New Roman"/>
              </w:rPr>
              <w:tab/>
              <w:fldChar w:fldCharType="begin"/>
              <w:instrText xml:space="preserve"> PAGEREF _Toc233892448 \h </w:instrText>
              <w:fldChar w:fldCharType="separate"/>
              <w:t xml:space="preserve">49</w:t>
              <w:fldChar w:fldCharType="end"/>
            </w:r>
          </w:hyperlink>
          <w:r/>
          <w:r>
            <w:rPr>
              <w:rFonts w:ascii="Times New Roman" w:hAnsi="Times New Roman" w:cs="Times New Roman" w:eastAsiaTheme="minorEastAsia"/>
              <w:lang w:val="en-US"/>
            </w:rPr>
          </w:r>
        </w:p>
        <w:p w14:paraId="4151E2EE" w14:textId="0B3D7AFF">
          <w:pPr>
            <w:pStyle w:val="831"/>
            <w:pBdr/>
            <w:tabs>
              <w:tab w:val="right" w:leader="dot" w:pos="9890"/>
            </w:tabs>
            <w:spacing/>
            <w:ind/>
            <w:rPr>
              <w:rFonts w:ascii="Times New Roman" w:hAnsi="Times New Roman" w:cs="Times New Roman" w:eastAsiaTheme="minorEastAsia"/>
              <w:lang w:val="en-US"/>
            </w:rPr>
          </w:pPr>
          <w:r/>
          <w:hyperlink w:tooltip="#_Toc233892449" w:anchor="_Toc233892449" w:history="1">
            <w:r>
              <w:rPr>
                <w:rStyle w:val="820"/>
                <w:rFonts w:ascii="Times New Roman" w:hAnsi="Times New Roman" w:cs="Times New Roman"/>
                <w:u w:val="none"/>
              </w:rPr>
              <w:t xml:space="preserve">5.1. Trainer Capacity and Instructional Shift</w:t>
            </w:r>
            <w:r>
              <w:rPr>
                <w:rFonts w:ascii="Times New Roman" w:hAnsi="Times New Roman" w:cs="Times New Roman"/>
              </w:rPr>
              <w:tab/>
              <w:fldChar w:fldCharType="begin"/>
              <w:instrText xml:space="preserve"> PAGEREF _Toc233892449 \h </w:instrText>
              <w:fldChar w:fldCharType="separate"/>
              <w:t xml:space="preserve">49</w:t>
              <w:fldChar w:fldCharType="end"/>
            </w:r>
          </w:hyperlink>
          <w:r/>
          <w:r>
            <w:rPr>
              <w:rFonts w:ascii="Times New Roman" w:hAnsi="Times New Roman" w:cs="Times New Roman" w:eastAsiaTheme="minorEastAsia"/>
              <w:lang w:val="en-US"/>
            </w:rPr>
          </w:r>
        </w:p>
        <w:p w14:paraId="7D7B899E" w14:textId="48B6E9CB">
          <w:pPr>
            <w:pStyle w:val="830"/>
            <w:pBdr/>
            <w:tabs>
              <w:tab w:val="right" w:leader="dot" w:pos="9890"/>
            </w:tabs>
            <w:spacing/>
            <w:ind/>
            <w:rPr>
              <w:rFonts w:ascii="Times New Roman" w:hAnsi="Times New Roman" w:cs="Times New Roman" w:eastAsiaTheme="minorEastAsia"/>
              <w:lang w:val="en-US"/>
            </w:rPr>
          </w:pPr>
          <w:r/>
          <w:hyperlink w:tooltip="#_Toc233892450" w:anchor="_Toc233892450" w:history="1">
            <w:r>
              <w:rPr>
                <w:rStyle w:val="820"/>
                <w:rFonts w:ascii="Times New Roman" w:hAnsi="Times New Roman" w:cs="Times New Roman"/>
                <w:u w:val="none"/>
              </w:rPr>
              <w:t xml:space="preserve">6. TECHNICAL DRAWINGS AND SPECIFICATIONS</w:t>
            </w:r>
            <w:r>
              <w:rPr>
                <w:rFonts w:ascii="Times New Roman" w:hAnsi="Times New Roman" w:cs="Times New Roman"/>
              </w:rPr>
              <w:tab/>
              <w:fldChar w:fldCharType="begin"/>
              <w:instrText xml:space="preserve"> PAGEREF _Toc233892450 \h </w:instrText>
              <w:fldChar w:fldCharType="separate"/>
              <w:t xml:space="preserve">50</w:t>
              <w:fldChar w:fldCharType="end"/>
            </w:r>
          </w:hyperlink>
          <w:r/>
          <w:r>
            <w:rPr>
              <w:rFonts w:ascii="Times New Roman" w:hAnsi="Times New Roman" w:cs="Times New Roman" w:eastAsiaTheme="minorEastAsia"/>
              <w:lang w:val="en-US"/>
            </w:rPr>
          </w:r>
        </w:p>
        <w:p w14:paraId="4225BD56" w14:textId="5D335B51">
          <w:pPr>
            <w:pBdr/>
            <w:spacing/>
            <w:ind/>
            <w:rPr/>
          </w:pPr>
          <w:r>
            <w:rPr>
              <w:rFonts w:ascii="Times New Roman" w:hAnsi="Times New Roman" w:cs="Times New Roman"/>
              <w:bCs/>
            </w:rPr>
            <w:fldChar w:fldCharType="end"/>
          </w:r>
          <w:r/>
        </w:p>
      </w:sdtContent>
    </w:sdt>
    <w:p w14:paraId="0961ABC3" w14:textId="77777777">
      <w:pPr>
        <w:pBdr/>
        <w:spacing/>
        <w:ind/>
        <w:rPr/>
      </w:pPr>
      <w:r/>
    </w:p>
    <w:p w14:paraId="56A3FAE2" w14:textId="77777777">
      <w:pPr>
        <w:pBdr/>
        <w:spacing/>
        <w:ind/>
        <w:rPr/>
      </w:pPr>
      <w:r/>
    </w:p>
    <w:p w14:paraId="57E98012" w14:textId="3A3AFE99">
      <w:pPr>
        <w:pBdr/>
        <w:spacing/>
        <w:ind/>
        <w:rPr>
          <w:rFonts w:ascii="Times New Roman" w:hAnsi="Times New Roman" w:eastAsia="Times New Roman" w:cs="Times New Roman"/>
          <w:b/>
          <w:bCs/>
        </w:rPr>
      </w:pPr>
      <w:r>
        <w:br w:type="page" w:clear="all"/>
      </w:r>
      <w:r>
        <w:rPr>
          <w:rFonts w:ascii="Times New Roman" w:hAnsi="Times New Roman" w:eastAsia="Times New Roman" w:cs="Times New Roman"/>
          <w:b/>
          <w:bCs/>
        </w:rPr>
        <w:t xml:space="preserve">LIST OF TABLES</w:t>
      </w:r>
    </w:p>
    <w:p w14:paraId="35557E48" w14:textId="262740A3">
      <w:pPr>
        <w:pStyle w:val="833"/>
        <w:pBdr/>
        <w:tabs>
          <w:tab w:val="right" w:leader="dot" w:pos="9890"/>
        </w:tabs>
        <w:spacing/>
        <w:ind/>
        <w:rPr>
          <w:rFonts w:ascii="Times New Roman" w:hAnsi="Times New Roman" w:cs="Times New Roman"/>
        </w:rPr>
      </w:pPr>
      <w:r>
        <w:rPr>
          <w:rFonts w:ascii="Times New Roman" w:hAnsi="Times New Roman" w:eastAsia="Times New Roman" w:cs="Times New Roman"/>
          <w:bCs/>
        </w:rPr>
        <w:fldChar w:fldCharType="begin"/>
        <w:instrText xml:space="preserve"> TOC \h \z \c "Table" </w:instrText>
        <w:fldChar w:fldCharType="separate"/>
      </w:r>
      <w:hyperlink w:tooltip="#_Toc233888965" w:anchor="_Toc233888965" w:history="1">
        <w:r>
          <w:rPr>
            <w:rStyle w:val="820"/>
            <w:rFonts w:ascii="Times New Roman" w:hAnsi="Times New Roman" w:cs="Times New Roman"/>
          </w:rPr>
          <w:t xml:space="preserve">Table 1: </w:t>
        </w:r>
        <w:r>
          <w:rPr>
            <w:rStyle w:val="820"/>
            <w:rFonts w:ascii="Times New Roman" w:hAnsi="Times New Roman" w:eastAsia="Times New Roman" w:cs="Times New Roman"/>
            <w:bCs/>
          </w:rPr>
          <w:t xml:space="preserve">Integrated PTU Crop Production Sub-Unit: Size, Modules, and Machinery</w:t>
        </w:r>
        <w:r>
          <w:rPr>
            <w:rFonts w:ascii="Times New Roman" w:hAnsi="Times New Roman" w:cs="Times New Roman"/>
          </w:rPr>
          <w:tab/>
          <w:fldChar w:fldCharType="begin"/>
          <w:instrText xml:space="preserve"> PAGEREF _Toc233888965 \h </w:instrText>
          <w:fldChar w:fldCharType="separate"/>
          <w:t xml:space="preserve">6</w:t>
          <w:fldChar w:fldCharType="end"/>
        </w:r>
      </w:hyperlink>
      <w:r/>
      <w:r>
        <w:rPr>
          <w:rFonts w:ascii="Times New Roman" w:hAnsi="Times New Roman" w:cs="Times New Roman"/>
        </w:rPr>
      </w:r>
    </w:p>
    <w:p w14:paraId="2BDA4DAD" w14:textId="2B5B021E">
      <w:pPr>
        <w:pStyle w:val="833"/>
        <w:pBdr/>
        <w:tabs>
          <w:tab w:val="right" w:leader="dot" w:pos="9890"/>
        </w:tabs>
        <w:spacing/>
        <w:ind/>
        <w:rPr>
          <w:rFonts w:ascii="Times New Roman" w:hAnsi="Times New Roman" w:cs="Times New Roman"/>
        </w:rPr>
      </w:pPr>
      <w:r/>
      <w:hyperlink w:tooltip="#_Toc233888966" w:anchor="_Toc233888966" w:history="1">
        <w:r>
          <w:rPr>
            <w:rStyle w:val="820"/>
            <w:rFonts w:ascii="Times New Roman" w:hAnsi="Times New Roman" w:cs="Times New Roman"/>
          </w:rPr>
          <w:t xml:space="preserve">Table 2: </w:t>
        </w:r>
        <w:r>
          <w:rPr>
            <w:rStyle w:val="820"/>
            <w:rFonts w:ascii="Times New Roman" w:hAnsi="Times New Roman" w:eastAsia="Times New Roman" w:cs="Times New Roman"/>
            <w:bCs/>
          </w:rPr>
          <w:t xml:space="preserve">Crop production sub-unit equipment and their specifications</w:t>
        </w:r>
        <w:r>
          <w:rPr>
            <w:rFonts w:ascii="Times New Roman" w:hAnsi="Times New Roman" w:cs="Times New Roman"/>
          </w:rPr>
          <w:tab/>
          <w:fldChar w:fldCharType="begin"/>
          <w:instrText xml:space="preserve"> PAGEREF _Toc233888966 \h </w:instrText>
          <w:fldChar w:fldCharType="separate"/>
          <w:t xml:space="preserve">9</w:t>
          <w:fldChar w:fldCharType="end"/>
        </w:r>
      </w:hyperlink>
      <w:r/>
      <w:r>
        <w:rPr>
          <w:rFonts w:ascii="Times New Roman" w:hAnsi="Times New Roman" w:cs="Times New Roman"/>
        </w:rPr>
      </w:r>
    </w:p>
    <w:p w14:paraId="70E29E31" w14:textId="3B805953">
      <w:pPr>
        <w:pStyle w:val="833"/>
        <w:pBdr/>
        <w:tabs>
          <w:tab w:val="right" w:leader="dot" w:pos="9890"/>
        </w:tabs>
        <w:spacing/>
        <w:ind/>
        <w:rPr>
          <w:rFonts w:ascii="Times New Roman" w:hAnsi="Times New Roman" w:cs="Times New Roman"/>
        </w:rPr>
      </w:pPr>
      <w:r/>
      <w:hyperlink w:tooltip="#_Toc233888967" w:anchor="_Toc233888967" w:history="1">
        <w:r>
          <w:rPr>
            <w:rStyle w:val="820"/>
            <w:rFonts w:ascii="Times New Roman" w:hAnsi="Times New Roman" w:cs="Times New Roman"/>
          </w:rPr>
          <w:t xml:space="preserve">Table 3: </w:t>
        </w:r>
        <w:r>
          <w:rPr>
            <w:rStyle w:val="820"/>
            <w:rFonts w:ascii="Times New Roman" w:hAnsi="Times New Roman" w:eastAsia="Times New Roman" w:cs="Times New Roman"/>
            <w:bCs/>
          </w:rPr>
          <w:t xml:space="preserve"> Integrated PTU Food Processing Units: Size, Modules, and Machinery</w:t>
        </w:r>
        <w:r>
          <w:rPr>
            <w:rFonts w:ascii="Times New Roman" w:hAnsi="Times New Roman" w:cs="Times New Roman"/>
          </w:rPr>
          <w:tab/>
          <w:fldChar w:fldCharType="begin"/>
          <w:instrText xml:space="preserve"> PAGEREF _Toc233888967 \h </w:instrText>
          <w:fldChar w:fldCharType="separate"/>
          <w:t xml:space="preserve">14</w:t>
          <w:fldChar w:fldCharType="end"/>
        </w:r>
      </w:hyperlink>
      <w:r/>
      <w:r>
        <w:rPr>
          <w:rFonts w:ascii="Times New Roman" w:hAnsi="Times New Roman" w:cs="Times New Roman"/>
        </w:rPr>
      </w:r>
    </w:p>
    <w:p w14:paraId="40DBAE6B" w14:textId="1562A00F">
      <w:pPr>
        <w:pStyle w:val="833"/>
        <w:pBdr/>
        <w:tabs>
          <w:tab w:val="right" w:leader="dot" w:pos="9890"/>
        </w:tabs>
        <w:spacing/>
        <w:ind/>
        <w:rPr>
          <w:rFonts w:ascii="Times New Roman" w:hAnsi="Times New Roman" w:cs="Times New Roman"/>
        </w:rPr>
      </w:pPr>
      <w:r/>
      <w:hyperlink w:tooltip="#_Toc233888968" w:anchor="_Toc233888968" w:history="1">
        <w:r>
          <w:rPr>
            <w:rStyle w:val="820"/>
            <w:rFonts w:ascii="Times New Roman" w:hAnsi="Times New Roman" w:cs="Times New Roman"/>
          </w:rPr>
          <w:t xml:space="preserve">Table 4: </w:t>
        </w:r>
        <w:r>
          <w:rPr>
            <w:rStyle w:val="820"/>
            <w:rFonts w:ascii="Times New Roman" w:hAnsi="Times New Roman" w:eastAsia="Times New Roman" w:cs="Times New Roman"/>
            <w:bCs/>
          </w:rPr>
          <w:t xml:space="preserve">Food Processing Equipment &amp; Tools Specifications</w:t>
        </w:r>
        <w:r>
          <w:rPr>
            <w:rFonts w:ascii="Times New Roman" w:hAnsi="Times New Roman" w:cs="Times New Roman"/>
          </w:rPr>
          <w:tab/>
          <w:fldChar w:fldCharType="begin"/>
          <w:instrText xml:space="preserve"> PAGEREF _Toc233888968 \h </w:instrText>
          <w:fldChar w:fldCharType="separate"/>
          <w:t xml:space="preserve">16</w:t>
          <w:fldChar w:fldCharType="end"/>
        </w:r>
      </w:hyperlink>
      <w:r/>
      <w:r>
        <w:rPr>
          <w:rFonts w:ascii="Times New Roman" w:hAnsi="Times New Roman" w:cs="Times New Roman"/>
        </w:rPr>
      </w:r>
    </w:p>
    <w:p w14:paraId="46BF1902" w14:textId="249AE2EF">
      <w:pPr>
        <w:pStyle w:val="833"/>
        <w:pBdr/>
        <w:tabs>
          <w:tab w:val="right" w:leader="dot" w:pos="9890"/>
        </w:tabs>
        <w:spacing/>
        <w:ind/>
        <w:rPr>
          <w:rFonts w:ascii="Times New Roman" w:hAnsi="Times New Roman" w:cs="Times New Roman"/>
        </w:rPr>
      </w:pPr>
      <w:r/>
      <w:hyperlink w:tooltip="#_Toc233888969" w:anchor="_Toc233888969" w:history="1">
        <w:r>
          <w:rPr>
            <w:rStyle w:val="820"/>
            <w:rFonts w:ascii="Times New Roman" w:hAnsi="Times New Roman" w:cs="Times New Roman"/>
          </w:rPr>
          <w:t xml:space="preserve">Table 5: </w:t>
        </w:r>
        <w:r>
          <w:rPr>
            <w:rStyle w:val="820"/>
            <w:rFonts w:ascii="Times New Roman" w:hAnsi="Times New Roman" w:eastAsia="Times New Roman" w:cs="Times New Roman"/>
            <w:bCs/>
          </w:rPr>
          <w:t xml:space="preserve">Integrated PTU Animal Health Sub-Units: Size, Modules, and Machinery</w:t>
        </w:r>
        <w:r>
          <w:rPr>
            <w:rFonts w:ascii="Times New Roman" w:hAnsi="Times New Roman" w:cs="Times New Roman"/>
          </w:rPr>
          <w:tab/>
          <w:fldChar w:fldCharType="begin"/>
          <w:instrText xml:space="preserve"> PAGEREF _Toc233888969 \h </w:instrText>
          <w:fldChar w:fldCharType="separate"/>
          <w:t xml:space="preserve">18</w:t>
          <w:fldChar w:fldCharType="end"/>
        </w:r>
      </w:hyperlink>
      <w:r/>
      <w:r>
        <w:rPr>
          <w:rFonts w:ascii="Times New Roman" w:hAnsi="Times New Roman" w:cs="Times New Roman"/>
        </w:rPr>
      </w:r>
    </w:p>
    <w:p w14:paraId="2C2F4F46" w14:textId="63F69F72">
      <w:pPr>
        <w:pStyle w:val="833"/>
        <w:pBdr/>
        <w:tabs>
          <w:tab w:val="right" w:leader="dot" w:pos="9890"/>
        </w:tabs>
        <w:spacing/>
        <w:ind/>
        <w:rPr>
          <w:rFonts w:ascii="Times New Roman" w:hAnsi="Times New Roman" w:cs="Times New Roman"/>
        </w:rPr>
      </w:pPr>
      <w:r/>
      <w:hyperlink w:tooltip="#_Toc233888970" w:anchor="_Toc233888970" w:history="1">
        <w:r>
          <w:rPr>
            <w:rStyle w:val="820"/>
            <w:rFonts w:ascii="Times New Roman" w:hAnsi="Times New Roman" w:cs="Times New Roman"/>
          </w:rPr>
          <w:t xml:space="preserve">Table 6: </w:t>
        </w:r>
        <w:r>
          <w:rPr>
            <w:rStyle w:val="820"/>
            <w:rFonts w:ascii="Times New Roman" w:hAnsi="Times New Roman" w:eastAsia="Times New Roman" w:cs="Times New Roman"/>
            <w:bCs/>
            <w:lang w:val="en-US"/>
          </w:rPr>
          <w:t xml:space="preserve">Animal Health Sub-Units – Equipment &amp; Tools Specifications (for 25 Students)</w:t>
        </w:r>
        <w:r>
          <w:rPr>
            <w:rFonts w:ascii="Times New Roman" w:hAnsi="Times New Roman" w:cs="Times New Roman"/>
          </w:rPr>
          <w:tab/>
          <w:fldChar w:fldCharType="begin"/>
          <w:instrText xml:space="preserve"> PAGEREF _Toc233888970 \h </w:instrText>
          <w:fldChar w:fldCharType="separate"/>
          <w:t xml:space="preserve">21</w:t>
          <w:fldChar w:fldCharType="end"/>
        </w:r>
      </w:hyperlink>
      <w:r/>
      <w:r>
        <w:rPr>
          <w:rFonts w:ascii="Times New Roman" w:hAnsi="Times New Roman" w:cs="Times New Roman"/>
        </w:rPr>
      </w:r>
    </w:p>
    <w:p w14:paraId="2E00F956" w14:textId="1864CE8E">
      <w:pPr>
        <w:pStyle w:val="833"/>
        <w:pBdr/>
        <w:tabs>
          <w:tab w:val="right" w:leader="dot" w:pos="9890"/>
        </w:tabs>
        <w:spacing/>
        <w:ind/>
        <w:rPr>
          <w:rFonts w:ascii="Times New Roman" w:hAnsi="Times New Roman" w:cs="Times New Roman"/>
        </w:rPr>
      </w:pPr>
      <w:r/>
      <w:hyperlink w:tooltip="#_Toc233888971" w:anchor="_Toc233888971" w:history="1">
        <w:r>
          <w:rPr>
            <w:rStyle w:val="820"/>
            <w:rFonts w:ascii="Times New Roman" w:hAnsi="Times New Roman" w:cs="Times New Roman"/>
          </w:rPr>
          <w:t xml:space="preserve">Table 7: </w:t>
        </w:r>
        <w:r>
          <w:rPr>
            <w:rStyle w:val="820"/>
            <w:rFonts w:ascii="Times New Roman" w:hAnsi="Times New Roman" w:eastAsia="Times New Roman" w:cs="Times New Roman"/>
            <w:bCs/>
          </w:rPr>
          <w:t xml:space="preserve">Integrated PTU irrigation and water management: Size, Modules, and Equipments</w:t>
        </w:r>
        <w:r>
          <w:rPr>
            <w:rFonts w:ascii="Times New Roman" w:hAnsi="Times New Roman" w:cs="Times New Roman"/>
          </w:rPr>
          <w:tab/>
          <w:fldChar w:fldCharType="begin"/>
          <w:instrText xml:space="preserve"> PAGEREF _Toc233888971 \h </w:instrText>
          <w:fldChar w:fldCharType="separate"/>
          <w:t xml:space="preserve">23</w:t>
          <w:fldChar w:fldCharType="end"/>
        </w:r>
      </w:hyperlink>
      <w:r/>
      <w:r>
        <w:rPr>
          <w:rFonts w:ascii="Times New Roman" w:hAnsi="Times New Roman" w:cs="Times New Roman"/>
        </w:rPr>
      </w:r>
    </w:p>
    <w:p w14:paraId="766A27F7" w14:textId="474F7FB3">
      <w:pPr>
        <w:pStyle w:val="833"/>
        <w:pBdr/>
        <w:tabs>
          <w:tab w:val="right" w:leader="dot" w:pos="9890"/>
        </w:tabs>
        <w:spacing/>
        <w:ind/>
        <w:rPr>
          <w:rFonts w:ascii="Times New Roman" w:hAnsi="Times New Roman" w:cs="Times New Roman"/>
        </w:rPr>
      </w:pPr>
      <w:r/>
      <w:hyperlink w:tooltip="#_Toc233888972" w:anchor="_Toc233888972" w:history="1">
        <w:r>
          <w:rPr>
            <w:rStyle w:val="820"/>
            <w:rFonts w:ascii="Times New Roman" w:hAnsi="Times New Roman" w:cs="Times New Roman"/>
          </w:rPr>
          <w:t xml:space="preserve">Table 8: </w:t>
        </w:r>
        <w:r>
          <w:rPr>
            <w:rStyle w:val="820"/>
            <w:rFonts w:ascii="Times New Roman" w:hAnsi="Times New Roman" w:eastAsia="Times New Roman" w:cs="Times New Roman"/>
            <w:bCs/>
          </w:rPr>
          <w:t xml:space="preserve">Water management and irrigation system equipment and specifications</w:t>
        </w:r>
        <w:r>
          <w:rPr>
            <w:rFonts w:ascii="Times New Roman" w:hAnsi="Times New Roman" w:cs="Times New Roman"/>
          </w:rPr>
          <w:tab/>
          <w:fldChar w:fldCharType="begin"/>
          <w:instrText xml:space="preserve"> PAGEREF _Toc233888972 \h </w:instrText>
          <w:fldChar w:fldCharType="separate"/>
          <w:t xml:space="preserve">24</w:t>
          <w:fldChar w:fldCharType="end"/>
        </w:r>
      </w:hyperlink>
      <w:r/>
      <w:r>
        <w:rPr>
          <w:rFonts w:ascii="Times New Roman" w:hAnsi="Times New Roman" w:cs="Times New Roman"/>
        </w:rPr>
      </w:r>
    </w:p>
    <w:p w14:paraId="618C12C2" w14:textId="4B644849">
      <w:pPr>
        <w:pStyle w:val="833"/>
        <w:pBdr/>
        <w:tabs>
          <w:tab w:val="right" w:leader="dot" w:pos="9890"/>
        </w:tabs>
        <w:spacing/>
        <w:ind/>
        <w:rPr>
          <w:rFonts w:ascii="Times New Roman" w:hAnsi="Times New Roman" w:cs="Times New Roman"/>
        </w:rPr>
      </w:pPr>
      <w:r/>
      <w:hyperlink w:tooltip="#_Toc233888973" w:anchor="_Toc233888973" w:history="1">
        <w:r>
          <w:rPr>
            <w:rStyle w:val="820"/>
            <w:rFonts w:ascii="Times New Roman" w:hAnsi="Times New Roman" w:cs="Times New Roman"/>
          </w:rPr>
          <w:t xml:space="preserve">Table 9: </w:t>
        </w:r>
        <w:r>
          <w:rPr>
            <w:rStyle w:val="820"/>
            <w:rFonts w:ascii="Times New Roman" w:hAnsi="Times New Roman" w:eastAsia="Times New Roman" w:cs="Times New Roman"/>
            <w:bCs/>
          </w:rPr>
          <w:t xml:space="preserve">Needed equipment and tools for Adult Learning &amp; RPL Sub Unit.</w:t>
        </w:r>
        <w:r>
          <w:rPr>
            <w:rFonts w:ascii="Times New Roman" w:hAnsi="Times New Roman" w:cs="Times New Roman"/>
          </w:rPr>
          <w:tab/>
          <w:fldChar w:fldCharType="begin"/>
          <w:instrText xml:space="preserve"> PAGEREF _Toc233888973 \h </w:instrText>
          <w:fldChar w:fldCharType="separate"/>
          <w:t xml:space="preserve">28</w:t>
          <w:fldChar w:fldCharType="end"/>
        </w:r>
      </w:hyperlink>
      <w:r/>
      <w:r>
        <w:rPr>
          <w:rFonts w:ascii="Times New Roman" w:hAnsi="Times New Roman" w:cs="Times New Roman"/>
        </w:rPr>
      </w:r>
    </w:p>
    <w:p w14:paraId="55B88932" w14:textId="6E5D3C8E">
      <w:pPr>
        <w:pStyle w:val="833"/>
        <w:pBdr/>
        <w:tabs>
          <w:tab w:val="right" w:leader="dot" w:pos="9890"/>
        </w:tabs>
        <w:spacing/>
        <w:ind/>
        <w:rPr>
          <w:rFonts w:ascii="Times New Roman" w:hAnsi="Times New Roman" w:cs="Times New Roman"/>
        </w:rPr>
      </w:pPr>
      <w:r/>
      <w:hyperlink w:tooltip="#_Toc233888974" w:anchor="_Toc233888974" w:history="1">
        <w:r>
          <w:rPr>
            <w:rStyle w:val="820"/>
            <w:rFonts w:ascii="Times New Roman" w:hAnsi="Times New Roman" w:cs="Times New Roman"/>
          </w:rPr>
          <w:t xml:space="preserve">Table 10</w:t>
        </w:r>
        <w:r>
          <w:rPr>
            <w:rStyle w:val="820"/>
            <w:rFonts w:ascii="Times New Roman" w:hAnsi="Times New Roman" w:cs="Times New Roman"/>
            <w:bCs/>
          </w:rPr>
          <w:t xml:space="preserve">: Biogas &amp; Waste-to-Energy System – Equipment &amp; Tools Specifications</w:t>
        </w:r>
        <w:r>
          <w:rPr>
            <w:rFonts w:ascii="Times New Roman" w:hAnsi="Times New Roman" w:cs="Times New Roman"/>
          </w:rPr>
          <w:tab/>
          <w:fldChar w:fldCharType="begin"/>
          <w:instrText xml:space="preserve"> PAGEREF _Toc233888974 \h </w:instrText>
          <w:fldChar w:fldCharType="separate"/>
          <w:t xml:space="preserve">33</w:t>
          <w:fldChar w:fldCharType="end"/>
        </w:r>
      </w:hyperlink>
      <w:r/>
      <w:r>
        <w:rPr>
          <w:rFonts w:ascii="Times New Roman" w:hAnsi="Times New Roman" w:cs="Times New Roman"/>
        </w:rPr>
      </w:r>
    </w:p>
    <w:p w14:paraId="23743282" w14:textId="4D1384DB">
      <w:pPr>
        <w:pStyle w:val="833"/>
        <w:pBdr/>
        <w:tabs>
          <w:tab w:val="right" w:leader="dot" w:pos="9890"/>
        </w:tabs>
        <w:spacing/>
        <w:ind/>
        <w:rPr>
          <w:rFonts w:ascii="Times New Roman" w:hAnsi="Times New Roman" w:cs="Times New Roman"/>
        </w:rPr>
      </w:pPr>
      <w:r/>
      <w:hyperlink w:tooltip="#_Toc233888975" w:anchor="_Toc233888975" w:history="1">
        <w:r>
          <w:rPr>
            <w:rStyle w:val="820"/>
            <w:rFonts w:ascii="Times New Roman" w:hAnsi="Times New Roman" w:cs="Times New Roman"/>
          </w:rPr>
          <w:t xml:space="preserve">Table 11</w:t>
        </w:r>
        <w:r>
          <w:rPr>
            <w:rStyle w:val="820"/>
            <w:rFonts w:ascii="Times New Roman" w:hAnsi="Times New Roman" w:eastAsia="Times New Roman" w:cs="Times New Roman"/>
            <w:bCs/>
          </w:rPr>
          <w:t xml:space="preserve">: Integrated Wastewater Treatment &amp; Tool/Mini Garage – Equipment &amp; Tools Specifications</w:t>
        </w:r>
        <w:r>
          <w:rPr>
            <w:rFonts w:ascii="Times New Roman" w:hAnsi="Times New Roman" w:cs="Times New Roman"/>
          </w:rPr>
          <w:tab/>
          <w:fldChar w:fldCharType="begin"/>
          <w:instrText xml:space="preserve"> PAGEREF _Toc233888975 \h </w:instrText>
          <w:fldChar w:fldCharType="separate"/>
          <w:t xml:space="preserve">37</w:t>
          <w:fldChar w:fldCharType="end"/>
        </w:r>
      </w:hyperlink>
      <w:r/>
      <w:r>
        <w:rPr>
          <w:rFonts w:ascii="Times New Roman" w:hAnsi="Times New Roman" w:cs="Times New Roman"/>
        </w:rPr>
      </w:r>
    </w:p>
    <w:p w14:paraId="3BC27BEB" w14:textId="29748DE5">
      <w:pPr>
        <w:pStyle w:val="833"/>
        <w:pBdr/>
        <w:tabs>
          <w:tab w:val="right" w:leader="dot" w:pos="9890"/>
        </w:tabs>
        <w:spacing/>
        <w:ind/>
        <w:rPr>
          <w:rFonts w:ascii="Times New Roman" w:hAnsi="Times New Roman" w:cs="Times New Roman"/>
        </w:rPr>
      </w:pPr>
      <w:r/>
      <w:hyperlink w:tooltip="#_Toc233888976" w:anchor="_Toc233888976" w:history="1">
        <w:r>
          <w:rPr>
            <w:rStyle w:val="820"/>
            <w:rFonts w:ascii="Times New Roman" w:hAnsi="Times New Roman" w:cs="Times New Roman"/>
          </w:rPr>
          <w:t xml:space="preserve">Table 12:</w:t>
        </w:r>
        <w:r>
          <w:rPr>
            <w:rStyle w:val="820"/>
            <w:rFonts w:ascii="Times New Roman" w:hAnsi="Times New Roman" w:eastAsia="Times New Roman" w:cs="Times New Roman"/>
            <w:bCs/>
            <w:lang w:val="en-US"/>
          </w:rPr>
          <w:t xml:space="preserve"> Waste Management &amp; Environmental Tools</w:t>
        </w:r>
        <w:r>
          <w:rPr>
            <w:rFonts w:ascii="Times New Roman" w:hAnsi="Times New Roman" w:cs="Times New Roman"/>
          </w:rPr>
          <w:tab/>
          <w:fldChar w:fldCharType="begin"/>
          <w:instrText xml:space="preserve"> PAGEREF _Toc233888976 \h </w:instrText>
          <w:fldChar w:fldCharType="separate"/>
          <w:t xml:space="preserve">46</w:t>
          <w:fldChar w:fldCharType="end"/>
        </w:r>
      </w:hyperlink>
      <w:r/>
      <w:r>
        <w:rPr>
          <w:rFonts w:ascii="Times New Roman" w:hAnsi="Times New Roman" w:cs="Times New Roman"/>
        </w:rPr>
      </w:r>
    </w:p>
    <w:p w14:paraId="7BC93611" w14:textId="36346566">
      <w:pPr>
        <w:pBdr/>
        <w:spacing/>
        <w:ind/>
        <w:rPr>
          <w:rFonts w:ascii="Times New Roman" w:hAnsi="Times New Roman" w:eastAsia="Times New Roman" w:cs="Times New Roman"/>
          <w:bCs/>
        </w:rPr>
      </w:pPr>
      <w:r>
        <w:rPr>
          <w:rFonts w:ascii="Times New Roman" w:hAnsi="Times New Roman" w:eastAsia="Times New Roman" w:cs="Times New Roman"/>
          <w:bCs/>
        </w:rPr>
        <w:fldChar w:fldCharType="end"/>
      </w:r>
    </w:p>
    <w:p w14:paraId="2D95BD44" w14:textId="77777777">
      <w:pPr>
        <w:pBdr/>
        <w:spacing/>
        <w:ind/>
        <w:rPr>
          <w:rFonts w:ascii="Times New Roman" w:hAnsi="Times New Roman" w:eastAsia="Times New Roman" w:cs="Times New Roman"/>
          <w:b/>
          <w:bCs/>
          <w:highlight w:val="yellow"/>
        </w:rPr>
      </w:pPr>
      <w:r>
        <w:rPr>
          <w:rFonts w:ascii="Times New Roman" w:hAnsi="Times New Roman" w:eastAsia="Times New Roman" w:cs="Times New Roman"/>
          <w:b/>
          <w:bCs/>
          <w:highlight w:val="yellow"/>
        </w:rPr>
      </w:r>
    </w:p>
    <w:p w14:paraId="73600E95" w14:textId="77777777">
      <w:pPr>
        <w:pBdr/>
        <w:spacing/>
        <w:ind/>
        <w:rPr>
          <w:rFonts w:ascii="Times New Roman" w:hAnsi="Times New Roman" w:eastAsia="Times New Roman" w:cs="Times New Roman"/>
          <w:b/>
          <w:bCs/>
          <w:highlight w:val="yellow"/>
        </w:rPr>
      </w:pPr>
      <w:r>
        <w:rPr>
          <w:rFonts w:ascii="Times New Roman" w:hAnsi="Times New Roman" w:eastAsia="Times New Roman" w:cs="Times New Roman"/>
          <w:b/>
          <w:bCs/>
          <w:highlight w:val="yellow"/>
        </w:rPr>
      </w:r>
    </w:p>
    <w:p w14:paraId="6AF7F7FB" w14:textId="77777777">
      <w:pPr>
        <w:pBdr/>
        <w:spacing/>
        <w:ind/>
        <w:rPr>
          <w:rFonts w:ascii="Times New Roman" w:hAnsi="Times New Roman" w:eastAsia="Times New Roman" w:cs="Times New Roman"/>
          <w:b/>
          <w:bCs/>
        </w:rPr>
      </w:pPr>
      <w:r>
        <w:rPr>
          <w:rFonts w:ascii="Times New Roman" w:hAnsi="Times New Roman" w:eastAsia="Times New Roman" w:cs="Times New Roman"/>
          <w:b/>
          <w:bCs/>
        </w:rPr>
        <w:t xml:space="preserve">LIST OF FIGURES</w:t>
      </w:r>
    </w:p>
    <w:p w14:paraId="5F9FA73B" w14:textId="43D2EAC0">
      <w:pPr>
        <w:pStyle w:val="833"/>
        <w:pBdr/>
        <w:tabs>
          <w:tab w:val="right" w:leader="dot" w:pos="9890"/>
        </w:tabs>
        <w:spacing/>
        <w:ind/>
        <w:rPr>
          <w:rFonts w:asciiTheme="minorHAnsi" w:hAnsiTheme="minorHAnsi" w:eastAsiaTheme="minorEastAsia" w:cstheme="minorBidi"/>
          <w:sz w:val="22"/>
          <w:szCs w:val="22"/>
          <w:lang w:val="en-US"/>
        </w:rPr>
      </w:pPr>
      <w:r>
        <w:rPr>
          <w:rFonts w:ascii="Times New Roman" w:hAnsi="Times New Roman" w:eastAsia="Times New Roman" w:cs="Times New Roman"/>
          <w:bCs/>
        </w:rPr>
        <w:fldChar w:fldCharType="begin"/>
        <w:instrText xml:space="preserve"> TOC \h \z \c "Figure" </w:instrText>
        <w:fldChar w:fldCharType="separate"/>
      </w:r>
      <w:hyperlink w:tooltip="#_Toc233889249" w:anchor="_Toc233889249" w:history="1">
        <w:r>
          <w:rPr>
            <w:rStyle w:val="820"/>
            <w:rFonts w:ascii="Times New Roman" w:hAnsi="Times New Roman" w:cs="Times New Roman"/>
          </w:rPr>
          <w:t xml:space="preserve">Figure 1</w:t>
        </w:r>
        <w:r>
          <w:rPr>
            <w:rStyle w:val="820"/>
            <w:rFonts w:ascii="Times New Roman" w:hAnsi="Times New Roman" w:cs="Times New Roman"/>
            <w:lang w:val="en-US"/>
          </w:rPr>
          <w:t xml:space="preserve">: Organizational Structure</w:t>
        </w:r>
        <w:r>
          <w:tab/>
          <w:fldChar w:fldCharType="begin"/>
          <w:instrText xml:space="preserve"> PAGEREF _Toc233889249 \h </w:instrText>
          <w:fldChar w:fldCharType="separate"/>
          <w:t xml:space="preserve">42</w:t>
          <w:fldChar w:fldCharType="end"/>
        </w:r>
      </w:hyperlink>
      <w:r/>
      <w:r>
        <w:rPr>
          <w:rFonts w:asciiTheme="minorHAnsi" w:hAnsiTheme="minorHAnsi" w:eastAsiaTheme="minorEastAsia" w:cstheme="minorBidi"/>
          <w:sz w:val="22"/>
          <w:szCs w:val="22"/>
          <w:lang w:val="en-US"/>
        </w:rPr>
      </w:r>
    </w:p>
    <w:p w14:paraId="0ADF7CA5" w14:textId="314C9127">
      <w:pPr>
        <w:pStyle w:val="833"/>
        <w:pBdr/>
        <w:tabs>
          <w:tab w:val="right" w:leader="dot" w:pos="9890"/>
        </w:tabs>
        <w:spacing/>
        <w:ind/>
        <w:rPr>
          <w:rFonts w:asciiTheme="minorHAnsi" w:hAnsiTheme="minorHAnsi" w:eastAsiaTheme="minorEastAsia" w:cstheme="minorBidi"/>
          <w:sz w:val="22"/>
          <w:szCs w:val="22"/>
          <w:lang w:val="en-US"/>
        </w:rPr>
      </w:pPr>
      <w:r/>
      <w:hyperlink w:tooltip="#_Toc233889250" w:anchor="_Toc233889250" w:history="1">
        <w:r>
          <w:rPr>
            <w:rStyle w:val="820"/>
            <w:rFonts w:ascii="Times New Roman" w:hAnsi="Times New Roman" w:cs="Times New Roman"/>
          </w:rPr>
          <w:t xml:space="preserve">Figure 2:</w:t>
        </w:r>
        <w:r>
          <w:rPr>
            <w:rStyle w:val="820"/>
            <w:rFonts w:ascii="Times New Roman" w:hAnsi="Times New Roman" w:cs="Times New Roman"/>
            <w:lang w:val="en-US"/>
          </w:rPr>
          <w:t xml:space="preserve"> Simulation of General outline of the PTU components</w:t>
        </w:r>
        <w:r>
          <w:tab/>
          <w:fldChar w:fldCharType="begin"/>
          <w:instrText xml:space="preserve"> PAGEREF _Toc233889250 \h </w:instrText>
          <w:fldChar w:fldCharType="separate"/>
          <w:t xml:space="preserve">52</w:t>
          <w:fldChar w:fldCharType="end"/>
        </w:r>
      </w:hyperlink>
      <w:r/>
      <w:r>
        <w:rPr>
          <w:rFonts w:asciiTheme="minorHAnsi" w:hAnsiTheme="minorHAnsi" w:eastAsiaTheme="minorEastAsia" w:cstheme="minorBidi"/>
          <w:sz w:val="22"/>
          <w:szCs w:val="22"/>
          <w:lang w:val="en-US"/>
        </w:rPr>
      </w:r>
    </w:p>
    <w:p w14:paraId="32B3AB4D" w14:textId="792A1CCC">
      <w:pPr>
        <w:pBdr/>
        <w:spacing/>
        <w:ind/>
        <w:rPr>
          <w:rFonts w:ascii="Times New Roman" w:hAnsi="Times New Roman" w:eastAsia="Times New Roman" w:cs="Times New Roman"/>
          <w:bCs/>
        </w:rPr>
      </w:pPr>
      <w:r>
        <w:rPr>
          <w:rFonts w:ascii="Times New Roman" w:hAnsi="Times New Roman" w:eastAsia="Times New Roman" w:cs="Times New Roman"/>
          <w:bCs/>
        </w:rPr>
        <w:fldChar w:fldCharType="end"/>
        <w:br w:type="page" w:clear="all"/>
      </w:r>
    </w:p>
    <w:p w14:paraId="2A71F979" w14:textId="11528D4A">
      <w:pPr>
        <w:pStyle w:val="793"/>
        <w:pBdr/>
        <w:spacing/>
        <w:ind/>
        <w:rPr>
          <w:rFonts w:ascii="Times New Roman" w:hAnsi="Times New Roman" w:cs="Times New Roman"/>
          <w:b/>
          <w:color w:val="000000" w:themeColor="text1"/>
          <w:sz w:val="24"/>
          <w:szCs w:val="24"/>
        </w:rPr>
      </w:pPr>
      <w:r/>
      <w:bookmarkStart w:id="0" w:name="_Toc233892401"/>
      <w:r>
        <w:rPr>
          <w:rFonts w:ascii="Times New Roman" w:hAnsi="Times New Roman" w:cs="Times New Roman"/>
          <w:b/>
          <w:color w:val="000000" w:themeColor="text1"/>
          <w:sz w:val="24"/>
          <w:szCs w:val="24"/>
        </w:rPr>
        <w:t xml:space="preserve">1. CONCEPTUAL FRAMEWORK AND SPATIAL DESIGN</w:t>
      </w:r>
      <w:bookmarkEnd w:id="0"/>
      <w:r/>
      <w:r>
        <w:rPr>
          <w:rFonts w:ascii="Times New Roman" w:hAnsi="Times New Roman" w:cs="Times New Roman"/>
          <w:b/>
          <w:color w:val="000000" w:themeColor="text1"/>
          <w:sz w:val="24"/>
          <w:szCs w:val="24"/>
        </w:rPr>
      </w:r>
    </w:p>
    <w:p w14:paraId="717C5BD0" w14:textId="77777777">
      <w:pPr>
        <w:pStyle w:val="794"/>
        <w:pBdr/>
        <w:spacing/>
        <w:ind/>
        <w:rPr>
          <w:rFonts w:ascii="Times New Roman" w:hAnsi="Times New Roman" w:cs="Times New Roman"/>
          <w:b/>
          <w:color w:val="000000" w:themeColor="text1"/>
          <w:sz w:val="24"/>
          <w:szCs w:val="24"/>
        </w:rPr>
      </w:pPr>
      <w:r/>
      <w:bookmarkStart w:id="1" w:name="_Toc233892402"/>
      <w:r>
        <w:rPr>
          <w:rFonts w:ascii="Times New Roman" w:hAnsi="Times New Roman" w:cs="Times New Roman"/>
          <w:b/>
          <w:color w:val="000000" w:themeColor="text1"/>
          <w:sz w:val="24"/>
          <w:szCs w:val="24"/>
        </w:rPr>
        <w:t xml:space="preserve">1.1. The Pillars of the PTU Model</w:t>
      </w:r>
      <w:bookmarkEnd w:id="1"/>
      <w:r/>
      <w:r>
        <w:rPr>
          <w:rFonts w:ascii="Times New Roman" w:hAnsi="Times New Roman" w:cs="Times New Roman"/>
          <w:b/>
          <w:color w:val="000000" w:themeColor="text1"/>
          <w:sz w:val="24"/>
          <w:szCs w:val="24"/>
        </w:rPr>
      </w:r>
    </w:p>
    <w:p w14:paraId="4ADB37FE" w14:textId="6243B61D">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Practical Training Unit (PTU) is designed to transform traditional agricultural education into a dynamic, "circular" ecosystem where theoretical instruction is directly integrated with real-life production. This model functions as a combined training facilities, commercial enterprise, and technology demonstration hub, ensuring that students acquire practical competencies while participating in operational agribusinesses. By moving away from isolated training silos, the PTU fosters a holistic environment where different agricultural value chains support one another; for instance, crop residues provide livestock feed, while animal waste is converted into energy via biogas or organic fertilizer through composting.</w:t>
      </w:r>
    </w:p>
    <w:p w14:paraId="56FFE7CF"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framework is guided by several core principles:</w:t>
      </w:r>
    </w:p>
    <w:p w14:paraId="326CD68D" w14:textId="77777777">
      <w:pPr>
        <w:numPr>
          <w:ilvl w:val="0"/>
          <w:numId w:val="20"/>
        </w:numPr>
        <w:pBdr/>
        <w:spacing/>
        <w:ind/>
        <w:jc w:val="both"/>
        <w:rPr>
          <w:rFonts w:ascii="Times New Roman" w:hAnsi="Times New Roman" w:cs="Times New Roman"/>
        </w:rPr>
      </w:pPr>
      <w:r>
        <w:rPr>
          <w:rFonts w:ascii="Times New Roman" w:hAnsi="Times New Roman" w:eastAsia="Times New Roman" w:cs="Times New Roman"/>
          <w:b/>
          <w:bCs/>
        </w:rPr>
        <w:t xml:space="preserve">Experiential Learning ("Learn by Doing"):</w:t>
      </w:r>
      <w:r>
        <w:rPr>
          <w:rFonts w:ascii="Times New Roman" w:hAnsi="Times New Roman" w:eastAsia="Times New Roman" w:cs="Times New Roman"/>
        </w:rPr>
        <w:t xml:space="preserve"> Students gain hands-on experience by actively participating in full production cycles, from planting and rearing to processing and marketing.</w:t>
      </w:r>
      <w:r>
        <w:rPr>
          <w:rFonts w:ascii="Times New Roman" w:hAnsi="Times New Roman" w:cs="Times New Roman"/>
        </w:rPr>
      </w:r>
    </w:p>
    <w:p w14:paraId="146FBDB6" w14:textId="77777777">
      <w:pPr>
        <w:numPr>
          <w:ilvl w:val="0"/>
          <w:numId w:val="20"/>
        </w:numPr>
        <w:pBdr/>
        <w:spacing/>
        <w:ind/>
        <w:jc w:val="both"/>
        <w:rPr>
          <w:rFonts w:ascii="Times New Roman" w:hAnsi="Times New Roman" w:cs="Times New Roman"/>
        </w:rPr>
      </w:pPr>
      <w:r>
        <w:rPr>
          <w:rFonts w:ascii="Times New Roman" w:hAnsi="Times New Roman" w:eastAsia="Times New Roman" w:cs="Times New Roman"/>
          <w:b/>
          <w:bCs/>
        </w:rPr>
        <w:t xml:space="preserve">Circular Agriculture and Resource Efficiency:</w:t>
      </w:r>
      <w:r>
        <w:rPr>
          <w:rFonts w:ascii="Times New Roman" w:hAnsi="Times New Roman" w:eastAsia="Times New Roman" w:cs="Times New Roman"/>
        </w:rPr>
        <w:t xml:space="preserve"> The design emphasizes the reuse of natural resources and waste products to reduce operational costs and environmental impact.</w:t>
      </w:r>
      <w:r>
        <w:rPr>
          <w:rFonts w:ascii="Times New Roman" w:hAnsi="Times New Roman" w:cs="Times New Roman"/>
        </w:rPr>
      </w:r>
    </w:p>
    <w:p w14:paraId="1DCDA478" w14:textId="77777777">
      <w:pPr>
        <w:numPr>
          <w:ilvl w:val="0"/>
          <w:numId w:val="20"/>
        </w:numPr>
        <w:pBdr/>
        <w:spacing/>
        <w:ind/>
        <w:jc w:val="both"/>
        <w:rPr>
          <w:rFonts w:ascii="Times New Roman" w:hAnsi="Times New Roman" w:cs="Times New Roman"/>
        </w:rPr>
      </w:pPr>
      <w:r>
        <w:rPr>
          <w:rFonts w:ascii="Times New Roman" w:hAnsi="Times New Roman" w:eastAsia="Times New Roman" w:cs="Times New Roman"/>
          <w:b/>
          <w:bCs/>
        </w:rPr>
        <w:t xml:space="preserve">Climate-Smart and Sustainable Practices:</w:t>
      </w:r>
      <w:r>
        <w:rPr>
          <w:rFonts w:ascii="Times New Roman" w:hAnsi="Times New Roman" w:eastAsia="Times New Roman" w:cs="Times New Roman"/>
        </w:rPr>
        <w:t xml:space="preserve"> The PTU serves as a platform for demonstrating modern, resilient technologies like solar-powered irrigation, rainwater harvesting, and integrated pest management.</w:t>
      </w:r>
      <w:r>
        <w:rPr>
          <w:rFonts w:ascii="Times New Roman" w:hAnsi="Times New Roman" w:cs="Times New Roman"/>
        </w:rPr>
      </w:r>
    </w:p>
    <w:p w14:paraId="752B4FA8" w14:textId="77777777">
      <w:pPr>
        <w:numPr>
          <w:ilvl w:val="0"/>
          <w:numId w:val="20"/>
        </w:numPr>
        <w:pBdr/>
        <w:spacing/>
        <w:ind/>
        <w:jc w:val="both"/>
        <w:rPr>
          <w:rFonts w:ascii="Times New Roman" w:hAnsi="Times New Roman" w:cs="Times New Roman"/>
        </w:rPr>
      </w:pPr>
      <w:r>
        <w:rPr>
          <w:rFonts w:ascii="Times New Roman" w:hAnsi="Times New Roman" w:eastAsia="Times New Roman" w:cs="Times New Roman"/>
          <w:b/>
          <w:bCs/>
        </w:rPr>
        <w:t xml:space="preserve">Financial Sustainability:</w:t>
      </w:r>
      <w:r>
        <w:rPr>
          <w:rFonts w:ascii="Times New Roman" w:hAnsi="Times New Roman" w:eastAsia="Times New Roman" w:cs="Times New Roman"/>
        </w:rPr>
        <w:t xml:space="preserve"> While maintaining its educational focus, the PTU operates as a training-scale commercial entity that generates revenue to support institutional operations.</w:t>
      </w:r>
      <w:r>
        <w:rPr>
          <w:rFonts w:ascii="Times New Roman" w:hAnsi="Times New Roman" w:cs="Times New Roman"/>
        </w:rPr>
      </w:r>
    </w:p>
    <w:p w14:paraId="199BC57D" w14:textId="77777777">
      <w:pPr>
        <w:numPr>
          <w:ilvl w:val="0"/>
          <w:numId w:val="20"/>
        </w:numPr>
        <w:pBdr/>
        <w:spacing/>
        <w:ind/>
        <w:jc w:val="both"/>
        <w:rPr>
          <w:rFonts w:ascii="Times New Roman" w:hAnsi="Times New Roman" w:cs="Times New Roman"/>
        </w:rPr>
      </w:pPr>
      <w:r>
        <w:rPr>
          <w:rFonts w:ascii="Times New Roman" w:hAnsi="Times New Roman" w:eastAsia="Times New Roman" w:cs="Times New Roman"/>
          <w:b/>
          <w:bCs/>
        </w:rPr>
        <w:t xml:space="preserve">Inclusivity and Social Equity:</w:t>
      </w:r>
      <w:r>
        <w:rPr>
          <w:rFonts w:ascii="Times New Roman" w:hAnsi="Times New Roman" w:eastAsia="Times New Roman" w:cs="Times New Roman"/>
        </w:rPr>
        <w:t xml:space="preserve"> Infrastructure and training programs are specifically tailored to ensure equal access for women, youth, and persons with disabilities.</w:t>
      </w:r>
      <w:r>
        <w:rPr>
          <w:rFonts w:ascii="Times New Roman" w:hAnsi="Times New Roman" w:cs="Times New Roman"/>
        </w:rPr>
      </w:r>
    </w:p>
    <w:p w14:paraId="07F3FDCB" w14:textId="77777777">
      <w:pPr>
        <w:pStyle w:val="794"/>
        <w:pBdr/>
        <w:spacing/>
        <w:ind/>
        <w:rPr>
          <w:rFonts w:ascii="Times New Roman" w:hAnsi="Times New Roman" w:cs="Times New Roman"/>
          <w:b/>
          <w:color w:val="000000" w:themeColor="text1"/>
          <w:sz w:val="24"/>
          <w:szCs w:val="24"/>
        </w:rPr>
      </w:pPr>
      <w:r/>
      <w:bookmarkStart w:id="2" w:name="_Toc233892403"/>
      <w:r>
        <w:rPr>
          <w:rFonts w:ascii="Times New Roman" w:hAnsi="Times New Roman" w:cs="Times New Roman"/>
          <w:b/>
          <w:color w:val="000000" w:themeColor="text1"/>
          <w:sz w:val="24"/>
          <w:szCs w:val="24"/>
        </w:rPr>
        <w:t xml:space="preserve">1.2. Spatial Design</w:t>
      </w:r>
      <w:bookmarkEnd w:id="2"/>
      <w:r/>
      <w:r>
        <w:rPr>
          <w:rFonts w:ascii="Times New Roman" w:hAnsi="Times New Roman" w:cs="Times New Roman"/>
          <w:b/>
          <w:color w:val="000000" w:themeColor="text1"/>
          <w:sz w:val="24"/>
          <w:szCs w:val="24"/>
        </w:rPr>
      </w:r>
    </w:p>
    <w:p w14:paraId="365BFCC2" w14:textId="374C608A">
      <w:pPr>
        <w:pBdr/>
        <w:spacing/>
        <w:ind/>
        <w:jc w:val="both"/>
        <w:rPr>
          <w:rFonts w:ascii="Times New Roman" w:hAnsi="Times New Roman" w:eastAsia="Times New Roman" w:cs="Times New Roman"/>
        </w:rPr>
      </w:pPr>
      <w:commentRangeStart w:id="11"/>
      <w:r>
        <w:rPr>
          <w:rFonts w:ascii="Times New Roman" w:hAnsi="Times New Roman" w:eastAsia="Times New Roman" w:cs="Times New Roman"/>
        </w:rPr>
        <w:t xml:space="preserve">The Spatial Design adopts a zoned layout to maximize operational efficiency while strictly maintaining biosecurity and safety standards.</w:t>
      </w:r>
      <w:commentRangeEnd w:id="11"/>
      <w:r>
        <w:rPr>
          <w:rStyle w:val="CommentReference"/>
        </w:rPr>
        <w:commentReference w:id="11"/>
      </w:r>
      <w:r>
        <w:rPr>
          <w:rFonts w:ascii="Times New Roman" w:hAnsi="Times New Roman" w:eastAsia="Times New Roman" w:cs="Times New Roman"/>
        </w:rPr>
        <w:t xml:space="preserve"> Crop fields and greenhouses are strategically placed with direct access to irrigation infrastructure, while livestock units are positioned to facilitate manure management and minimize disease risks. Centrally located training hubs, such as the Adult Learning and RPL Center, allow for community outreach without disrupting training activities and commercial production flows.</w:t>
      </w:r>
    </w:p>
    <w:p w14:paraId="01FC782B"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Key spatial and zoning components include:</w:t>
      </w:r>
    </w:p>
    <w:p w14:paraId="4D9ACD5B" w14:textId="6FB5F086">
      <w:pPr>
        <w:numPr>
          <w:ilvl w:val="0"/>
          <w:numId w:val="21"/>
        </w:numPr>
        <w:pBdr/>
        <w:spacing/>
        <w:ind/>
        <w:jc w:val="both"/>
        <w:rPr>
          <w:rFonts w:ascii="Times New Roman" w:hAnsi="Times New Roman" w:eastAsia="Times New Roman" w:cs="Times New Roman"/>
          <w:lang w:val="en-US"/>
        </w:rPr>
      </w:pPr>
      <w:r>
        <w:rPr>
          <w:rFonts w:ascii="Times New Roman" w:hAnsi="Times New Roman" w:eastAsia="Times New Roman" w:cs="Times New Roman"/>
          <w:b/>
          <w:bCs/>
        </w:rPr>
        <w:t xml:space="preserve">Production Zones:</w:t>
      </w:r>
      <w:r>
        <w:rPr>
          <w:rFonts w:ascii="Times New Roman" w:hAnsi="Times New Roman" w:eastAsia="Times New Roman" w:cs="Times New Roman"/>
        </w:rPr>
        <w:t xml:space="preserve"> Dedicated areas for open-field and greenhouse crop production, and diverse livestock blocks including Dairy workshop (200 SQM), Poultry (125 SQM per unit), and Aquaculture ponds (50 SQM each). </w:t>
      </w:r>
      <w:r>
        <w:rPr>
          <w:rFonts w:ascii="Times New Roman" w:hAnsi="Times New Roman" w:eastAsia="Times New Roman" w:cs="Times New Roman"/>
          <w:lang w:val="en-US"/>
        </w:rPr>
        <w:t xml:space="preserve">Piggery (Block B, 200 SQM), Rabbitry (Block I, 75 SQM), Companion Animal section (Dogs/Cats) (Block E, 20 SQM), Specialized Aviculture/Aquaculture includes Pigeons and Guinea Fowls (10 SQM total) and Ornamental Fish (10 SQM total).</w:t>
      </w:r>
    </w:p>
    <w:p w14:paraId="46C4FDB1" w14:textId="77777777">
      <w:pPr>
        <w:numPr>
          <w:ilvl w:val="0"/>
          <w:numId w:val="21"/>
        </w:numPr>
        <w:pBdr/>
        <w:spacing/>
        <w:ind/>
        <w:jc w:val="both"/>
        <w:rPr>
          <w:rFonts w:ascii="Times New Roman" w:hAnsi="Times New Roman" w:cs="Times New Roman"/>
        </w:rPr>
      </w:pPr>
      <w:r>
        <w:rPr>
          <w:rFonts w:ascii="Times New Roman" w:hAnsi="Times New Roman" w:eastAsia="Times New Roman" w:cs="Times New Roman"/>
          <w:b/>
          <w:bCs/>
        </w:rPr>
        <w:t xml:space="preserve">Value-Addition Hubs:</w:t>
      </w:r>
      <w:r>
        <w:rPr>
          <w:rFonts w:ascii="Times New Roman" w:hAnsi="Times New Roman" w:eastAsia="Times New Roman" w:cs="Times New Roman"/>
        </w:rPr>
        <w:t xml:space="preserve"> Food processing facilities for both animal-based (250 SQM) and plant-based (250 SQM) products, located near storage and distribution points to streamline workflow</w:t>
      </w:r>
      <w:r>
        <w:rPr>
          <w:rFonts w:ascii="Times New Roman" w:hAnsi="Times New Roman" w:cs="Times New Roman"/>
        </w:rPr>
      </w:r>
    </w:p>
    <w:p w14:paraId="0E4553C8" w14:textId="77777777">
      <w:pPr>
        <w:numPr>
          <w:ilvl w:val="0"/>
          <w:numId w:val="21"/>
        </w:numPr>
        <w:pBdr/>
        <w:spacing/>
        <w:ind/>
        <w:jc w:val="both"/>
        <w:rPr>
          <w:rFonts w:ascii="Times New Roman" w:hAnsi="Times New Roman" w:cs="Times New Roman"/>
        </w:rPr>
      </w:pPr>
      <w:r>
        <w:rPr>
          <w:rFonts w:ascii="Times New Roman" w:hAnsi="Times New Roman" w:eastAsia="Times New Roman" w:cs="Times New Roman"/>
          <w:b/>
          <w:bCs/>
        </w:rPr>
        <w:t xml:space="preserve">Biosecurity and Hygiene Infrastructure:</w:t>
      </w:r>
      <w:r>
        <w:rPr>
          <w:rFonts w:ascii="Times New Roman" w:hAnsi="Times New Roman" w:eastAsia="Times New Roman" w:cs="Times New Roman"/>
        </w:rPr>
        <w:t xml:space="preserve"> Integration of sanitary corridors, biosecurity footbaths, and a dedicated Hygiene Facility (80 SQM) to prevent cross-contamination between units.</w:t>
      </w:r>
      <w:r>
        <w:rPr>
          <w:rFonts w:ascii="Times New Roman" w:hAnsi="Times New Roman" w:cs="Times New Roman"/>
        </w:rPr>
      </w:r>
    </w:p>
    <w:p w14:paraId="14ABE963" w14:textId="77777777">
      <w:pPr>
        <w:numPr>
          <w:ilvl w:val="0"/>
          <w:numId w:val="21"/>
        </w:numPr>
        <w:pBdr/>
        <w:spacing/>
        <w:ind/>
        <w:jc w:val="both"/>
        <w:rPr>
          <w:rFonts w:ascii="Times New Roman" w:hAnsi="Times New Roman" w:cs="Times New Roman"/>
        </w:rPr>
      </w:pPr>
      <w:r>
        <w:rPr>
          <w:rFonts w:ascii="Times New Roman" w:hAnsi="Times New Roman" w:eastAsia="Times New Roman" w:cs="Times New Roman"/>
          <w:b/>
          <w:bCs/>
        </w:rPr>
        <w:t xml:space="preserve">Integrated Support and Waste Zones:</w:t>
      </w:r>
      <w:r>
        <w:rPr>
          <w:rFonts w:ascii="Times New Roman" w:hAnsi="Times New Roman" w:eastAsia="Times New Roman" w:cs="Times New Roman"/>
        </w:rPr>
        <w:t xml:space="preserve"> A Waste Management Zone (100–150 SQM) for composting and a Biological Input Production Unit (75–100 SQM) to support circular resource loops.</w:t>
      </w:r>
      <w:r>
        <w:rPr>
          <w:rFonts w:ascii="Times New Roman" w:hAnsi="Times New Roman" w:cs="Times New Roman"/>
        </w:rPr>
      </w:r>
    </w:p>
    <w:p w14:paraId="22254A9E" w14:textId="77777777">
      <w:pPr>
        <w:numPr>
          <w:ilvl w:val="0"/>
          <w:numId w:val="21"/>
        </w:numPr>
        <w:pBdr/>
        <w:spacing/>
        <w:ind/>
        <w:jc w:val="both"/>
        <w:rPr>
          <w:rFonts w:ascii="Times New Roman" w:hAnsi="Times New Roman" w:cs="Times New Roman"/>
        </w:rPr>
      </w:pPr>
      <w:r>
        <w:rPr>
          <w:rFonts w:ascii="Times New Roman" w:hAnsi="Times New Roman" w:eastAsia="Times New Roman" w:cs="Times New Roman"/>
          <w:b/>
          <w:bCs/>
        </w:rPr>
        <w:t xml:space="preserve">Common Training Facilities:</w:t>
      </w:r>
      <w:r>
        <w:rPr>
          <w:rFonts w:ascii="Times New Roman" w:hAnsi="Times New Roman" w:eastAsia="Times New Roman" w:cs="Times New Roman"/>
        </w:rPr>
        <w:t xml:space="preserve"> A centrally accessible Adult Training/RPL Centre (600 SQM) for community-based learning and formal skills assessment.</w:t>
      </w:r>
      <w:r>
        <w:rPr>
          <w:rFonts w:ascii="Times New Roman" w:hAnsi="Times New Roman" w:cs="Times New Roman"/>
        </w:rPr>
      </w:r>
    </w:p>
    <w:p w14:paraId="0BAC461A" w14:textId="776708B1">
      <w:pPr>
        <w:numPr>
          <w:ilvl w:val="0"/>
          <w:numId w:val="21"/>
        </w:numPr>
        <w:pBdr/>
        <w:spacing/>
        <w:ind/>
        <w:jc w:val="both"/>
        <w:rPr>
          <w:rFonts w:ascii="Times New Roman" w:hAnsi="Times New Roman" w:cs="Times New Roman"/>
        </w:rPr>
      </w:pPr>
      <w:r>
        <w:rPr>
          <w:rFonts w:ascii="Times New Roman" w:hAnsi="Times New Roman" w:eastAsia="Times New Roman" w:cs="Times New Roman"/>
          <w:b/>
          <w:bCs/>
        </w:rPr>
        <w:t xml:space="preserve">Logistics and Maintenance:</w:t>
      </w:r>
      <w:r>
        <w:rPr>
          <w:rFonts w:ascii="Times New Roman" w:hAnsi="Times New Roman" w:eastAsia="Times New Roman" w:cs="Times New Roman"/>
        </w:rPr>
        <w:t xml:space="preserve"> A Tool &amp; Mini Garage Storage (100–150 SQM) designed for training students, maintenance and troubleshot of small farm machinery.</w:t>
      </w:r>
      <w:r>
        <w:rPr>
          <w:rFonts w:ascii="Times New Roman" w:hAnsi="Times New Roman" w:cs="Times New Roman"/>
        </w:rPr>
      </w:r>
    </w:p>
    <w:p w14:paraId="6B09F77C" w14:textId="50F1F753">
      <w:pPr>
        <w:pStyle w:val="793"/>
        <w:pBdr/>
        <w:spacing/>
        <w:ind/>
        <w:rPr>
          <w:rFonts w:ascii="Times New Roman" w:hAnsi="Times New Roman" w:cs="Times New Roman"/>
          <w:b/>
          <w:color w:val="000000" w:themeColor="text1"/>
          <w:sz w:val="24"/>
          <w:szCs w:val="24"/>
        </w:rPr>
      </w:pPr>
      <w:r/>
      <w:bookmarkStart w:id="3" w:name="_Toc233892404"/>
      <w:r>
        <w:rPr>
          <w:rFonts w:ascii="Times New Roman" w:hAnsi="Times New Roman" w:cs="Times New Roman"/>
          <w:b/>
          <w:color w:val="000000" w:themeColor="text1"/>
          <w:sz w:val="24"/>
          <w:szCs w:val="24"/>
        </w:rPr>
        <w:t xml:space="preserve">2. ZONING AND MATERIALS ALLOCATIONS</w:t>
      </w:r>
      <w:bookmarkEnd w:id="3"/>
      <w:r>
        <w:rPr>
          <w:rFonts w:ascii="Times New Roman" w:hAnsi="Times New Roman" w:cs="Times New Roman"/>
          <w:b/>
          <w:color w:val="000000" w:themeColor="text1"/>
          <w:sz w:val="24"/>
          <w:szCs w:val="24"/>
        </w:rPr>
        <w:t xml:space="preserve"> </w:t>
      </w:r>
    </w:p>
    <w:p w14:paraId="7868380B" w14:textId="14553C55">
      <w:pPr>
        <w:pStyle w:val="794"/>
        <w:pBdr/>
        <w:spacing/>
        <w:ind/>
        <w:rPr>
          <w:rFonts w:ascii="Times New Roman" w:hAnsi="Times New Roman" w:cs="Times New Roman"/>
          <w:b/>
          <w:color w:val="000000" w:themeColor="text1"/>
          <w:sz w:val="24"/>
          <w:szCs w:val="24"/>
        </w:rPr>
      </w:pPr>
      <w:r/>
      <w:bookmarkStart w:id="4" w:name="_Toc233892405"/>
      <w:r>
        <w:rPr>
          <w:rFonts w:ascii="Times New Roman" w:hAnsi="Times New Roman" w:cs="Times New Roman"/>
          <w:b/>
          <w:color w:val="000000" w:themeColor="text1"/>
          <w:sz w:val="24"/>
          <w:szCs w:val="24"/>
        </w:rPr>
        <w:t xml:space="preserve">2.1. Crop Production sub-unit Zoning and Materials</w:t>
      </w:r>
      <w:bookmarkEnd w:id="4"/>
      <w:r/>
      <w:r>
        <w:rPr>
          <w:rFonts w:ascii="Times New Roman" w:hAnsi="Times New Roman" w:cs="Times New Roman"/>
          <w:b/>
          <w:color w:val="000000" w:themeColor="text1"/>
          <w:sz w:val="24"/>
          <w:szCs w:val="24"/>
        </w:rPr>
      </w:r>
    </w:p>
    <w:p w14:paraId="513B02B2" w14:textId="77777777">
      <w:pPr>
        <w:pBdr/>
        <w:spacing w:after="120" w:before="12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The Crop Production system of the Practical Training Unit (PTU) is designed as a diversified, climate-smart production platform that integrates open-field farming with greenhouse-protected agriculture. The unit functions as a "learning laboratory" where students engage in sustainable agronomic practices, such as scientifically structured crop rotation, intercropping, and Integrated Pest Management (IPM), which emphasizes biological control and minimal chemical intervention. This unit is a critical driver of the PTU's circular economy; it provides raw materials for food processing and crop residues for livestock feed, while in return, it utilizes composted manure from the livestock units to enhance soil fertility and reduce operational costs.</w:t>
      </w:r>
    </w:p>
    <w:p w14:paraId="5FE33483" w14:textId="6B967E1F">
      <w:pPr>
        <w:pStyle w:val="828"/>
        <w:pBdr/>
        <w:spacing/>
        <w:ind/>
        <w:rPr>
          <w:rFonts w:ascii="Times New Roman" w:hAnsi="Times New Roman" w:eastAsia="Times New Roman" w:cs="Times New Roman"/>
          <w:b/>
          <w:i w:val="0"/>
          <w:color w:val="000000" w:themeColor="text1"/>
          <w:sz w:val="24"/>
          <w:szCs w:val="24"/>
        </w:rPr>
      </w:pPr>
      <w:r/>
      <w:bookmarkStart w:id="5" w:name="_Toc233888965"/>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1</w:t>
        <w:fldChar w:fldCharType="end"/>
        <w:t xml:space="preserve">: </w:t>
      </w:r>
      <w:commentRangeStart w:id="7"/>
      <w:r>
        <w:rPr>
          <w:rFonts w:ascii="Times New Roman" w:hAnsi="Times New Roman" w:eastAsia="Times New Roman" w:cs="Times New Roman"/>
          <w:b/>
          <w:bCs/>
          <w:i w:val="0"/>
          <w:color w:val="000000" w:themeColor="text1"/>
          <w:sz w:val="24"/>
          <w:szCs w:val="24"/>
        </w:rPr>
        <w:t xml:space="preserve">Integrated PTU Crop Production Sub-Unit: Size, Modules, and Machinery</w:t>
      </w:r>
      <w:commentRangeEnd w:id="7"/>
      <w:r>
        <w:rPr>
          <w:rStyle w:val="CommentReference"/>
        </w:rPr>
        <w:commentReference w:id="7"/>
      </w:r>
      <w:bookmarkEnd w:id="5"/>
      <w:r/>
      <w:r>
        <w:rPr>
          <w:rFonts w:ascii="Times New Roman" w:hAnsi="Times New Roman" w:eastAsia="Times New Roman" w:cs="Times New Roman"/>
          <w:b/>
          <w:i w:val="0"/>
          <w:color w:val="000000" w:themeColor="text1"/>
          <w:sz w:val="24"/>
          <w:szCs w:val="24"/>
        </w:rPr>
      </w:r>
    </w:p>
    <w:tbl>
      <w:tblPr>
        <w:tblStyle w:val="806"/>
        <w:tblInd w:w="0" w:type="dxa"/>
        <w:tblW w:w="98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98"/>
        <w:gridCol w:w="1954"/>
        <w:gridCol w:w="951"/>
        <w:gridCol w:w="2041"/>
        <w:gridCol w:w="3046"/>
      </w:tblGrid>
      <w:tr>
        <w:trPr/>
        <w:tc>
          <w:tcPr>
            <w:tcBorders/>
            <w:tcW w:w="1898" w:type="dxa"/>
            <w:textDirection w:val="lrTb"/>
            <w:noWrap w:val="false"/>
          </w:tcPr>
          <w:p w14:paraId="2A627B3B"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cW w:w="1954" w:type="dxa"/>
            <w:textDirection w:val="lrTb"/>
            <w:noWrap w:val="false"/>
          </w:tcPr>
          <w:p w14:paraId="1F1E40A8"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Study Location (PTU Sub-Unit)</w:t>
            </w:r>
          </w:p>
        </w:tc>
        <w:tc>
          <w:tcPr>
            <w:tcBorders/>
            <w:tcW w:w="951" w:type="dxa"/>
            <w:textDirection w:val="lrTb"/>
            <w:noWrap w:val="false"/>
          </w:tcPr>
          <w:p w14:paraId="66A325AD"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Size (SQM)</w:t>
            </w:r>
          </w:p>
        </w:tc>
        <w:tc>
          <w:tcPr>
            <w:tcBorders/>
            <w:tcW w:w="2041" w:type="dxa"/>
            <w:textDirection w:val="lrTb"/>
            <w:noWrap w:val="false"/>
          </w:tcPr>
          <w:p w14:paraId="1BE943FA"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Primary Learning Modules</w:t>
            </w:r>
          </w:p>
        </w:tc>
        <w:tc>
          <w:tcPr>
            <w:tcBorders/>
            <w:tcW w:w="3046" w:type="dxa"/>
            <w:textDirection w:val="lrTb"/>
            <w:noWrap w:val="false"/>
          </w:tcPr>
          <w:p w14:paraId="5EE19766"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Equipment and Tools</w:t>
            </w:r>
          </w:p>
        </w:tc>
      </w:tr>
      <w:tr>
        <w:trPr/>
        <w:tc>
          <w:tcPr>
            <w:tcBorders/>
            <w:tcW w:w="1898" w:type="dxa"/>
            <w:textDirection w:val="lrTb"/>
            <w:noWrap w:val="false"/>
          </w:tcPr>
          <w:p w14:paraId="5830334A" w14:textId="48C4515D">
            <w:pPr>
              <w:pBdr/>
              <w:spacing/>
              <w:ind/>
              <w:jc w:val="both"/>
              <w:rPr>
                <w:rFonts w:ascii="Times New Roman" w:hAnsi="Times New Roman" w:eastAsia="Times New Roman" w:cs="Times New Roman"/>
              </w:rPr>
            </w:pPr>
            <w:r>
              <w:rPr>
                <w:rFonts w:ascii="Times New Roman" w:hAnsi="Times New Roman" w:eastAsia="Times New Roman" w:cs="Times New Roman"/>
              </w:rPr>
              <w:t xml:space="preserve">Greenhouse</w:t>
            </w:r>
          </w:p>
        </w:tc>
        <w:tc>
          <w:tcPr>
            <w:tcBorders/>
            <w:tcW w:w="1954" w:type="dxa"/>
            <w:textDirection w:val="lrTb"/>
            <w:noWrap w:val="false"/>
          </w:tcPr>
          <w:p w14:paraId="4C2C8DE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Greenhouse</w:t>
            </w:r>
          </w:p>
        </w:tc>
        <w:tc>
          <w:tcPr>
            <w:tcBorders/>
            <w:tcW w:w="951" w:type="dxa"/>
            <w:textDirection w:val="lrTb"/>
            <w:noWrap w:val="false"/>
          </w:tcPr>
          <w:p w14:paraId="644C9F9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250 SQM (2 Units)</w:t>
            </w:r>
          </w:p>
        </w:tc>
        <w:tc>
          <w:tcPr>
            <w:tcBorders/>
            <w:tcW w:w="2041" w:type="dxa"/>
            <w:textDirection w:val="lrTb"/>
            <w:noWrap w:val="false"/>
          </w:tcPr>
          <w:p w14:paraId="6A9391C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Greenhouse operations; Protected cultivation; Climate management; Crop monitoring</w:t>
            </w:r>
          </w:p>
        </w:tc>
        <w:tc>
          <w:tcPr>
            <w:tcBorders/>
            <w:tcW w:w="3046" w:type="dxa"/>
            <w:textDirection w:val="lrTb"/>
            <w:noWrap w:val="false"/>
          </w:tcPr>
          <w:p w14:paraId="3A4BD63C" w14:textId="2F6CDE75">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w:t>
            </w:r>
            <w:r>
              <w:rPr>
                <w:rFonts w:ascii="Times New Roman" w:hAnsi="Times New Roman" w:eastAsia="Times New Roman" w:cs="Times New Roman"/>
              </w:rPr>
              <w:t xml:space="preserve">t</w:t>
            </w:r>
            <w:r>
              <w:rPr>
                <w:rFonts w:ascii="Times New Roman" w:hAnsi="Times New Roman" w:eastAsia="Times New Roman" w:cs="Times New Roman"/>
                <w:b/>
                <w:bCs/>
              </w:rPr>
              <w:t xml:space="preserve">:</w:t>
            </w:r>
            <w:r>
              <w:rPr>
                <w:rFonts w:ascii="Times New Roman" w:hAnsi="Times New Roman" w:eastAsia="Times New Roman" w:cs="Times New Roman"/>
              </w:rPr>
              <w:t xml:space="preserve"> Greenhouse structures, ventilation fans, shade nets, drip irrigation, environmental monitoring sensors. </w:t>
            </w:r>
          </w:p>
          <w:p w14:paraId="0A6680F6"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Pruning shears, hand sprayers, moisture meters, thermometers, EC/pH meters, harvesting crates.</w:t>
            </w:r>
          </w:p>
        </w:tc>
      </w:tr>
      <w:tr>
        <w:trPr/>
        <w:tc>
          <w:tcPr>
            <w:tcBorders/>
            <w:tcW w:w="1898" w:type="dxa"/>
            <w:textDirection w:val="lrTb"/>
            <w:noWrap w:val="false"/>
          </w:tcPr>
          <w:p w14:paraId="2C8C370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Composting &amp; Organic Fertilizer Production</w:t>
            </w:r>
          </w:p>
        </w:tc>
        <w:tc>
          <w:tcPr>
            <w:tcBorders/>
            <w:tcW w:w="1954" w:type="dxa"/>
            <w:textDirection w:val="lrTb"/>
            <w:noWrap w:val="false"/>
          </w:tcPr>
          <w:p w14:paraId="1A2807D3" w14:textId="67E8AE3E">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Composting Organic Fertilizer production</w:t>
            </w:r>
          </w:p>
        </w:tc>
        <w:tc>
          <w:tcPr>
            <w:tcBorders/>
            <w:tcW w:w="951" w:type="dxa"/>
            <w:textDirection w:val="lrTb"/>
            <w:noWrap w:val="false"/>
          </w:tcPr>
          <w:p w14:paraId="0CC0DBEF"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5DC20EB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Compost preparation; Organic fertilizer production; Fertilizer application techniques</w:t>
            </w:r>
          </w:p>
        </w:tc>
        <w:tc>
          <w:tcPr>
            <w:tcBorders/>
            <w:tcW w:w="3046" w:type="dxa"/>
            <w:textDirection w:val="lrTb"/>
            <w:noWrap w:val="false"/>
          </w:tcPr>
          <w:p w14:paraId="78BBEA8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Compost turners, shredders, sieving machines, weighing scales, wheelbarrows. </w:t>
            </w:r>
          </w:p>
          <w:p w14:paraId="5C215200"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Shovels, forks, moisture meters, thermometers, compost bags, protective gear.</w:t>
            </w:r>
          </w:p>
        </w:tc>
      </w:tr>
      <w:tr>
        <w:trPr/>
        <w:tc>
          <w:tcPr>
            <w:tcBorders/>
            <w:tcW w:w="1898" w:type="dxa"/>
            <w:textDirection w:val="lrTb"/>
            <w:noWrap w:val="false"/>
          </w:tcPr>
          <w:p w14:paraId="7556BA0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Nursery Establishment</w:t>
            </w:r>
          </w:p>
        </w:tc>
        <w:tc>
          <w:tcPr>
            <w:tcBorders/>
            <w:tcW w:w="1954" w:type="dxa"/>
            <w:textDirection w:val="lrTb"/>
            <w:noWrap w:val="false"/>
          </w:tcPr>
          <w:p w14:paraId="1B2C6E00" w14:textId="2C35FAD3">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Greenhouse</w:t>
            </w:r>
          </w:p>
        </w:tc>
        <w:tc>
          <w:tcPr>
            <w:tcBorders/>
            <w:tcW w:w="951" w:type="dxa"/>
            <w:textDirection w:val="lrTb"/>
            <w:noWrap w:val="false"/>
          </w:tcPr>
          <w:p w14:paraId="1284B16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250 SQM (2 Units)</w:t>
            </w:r>
          </w:p>
        </w:tc>
        <w:tc>
          <w:tcPr>
            <w:tcBorders/>
            <w:tcW w:w="2041" w:type="dxa"/>
            <w:textDirection w:val="lrTb"/>
            <w:noWrap w:val="false"/>
          </w:tcPr>
          <w:p w14:paraId="0797314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Seedling production; Nursery management; Transplanting techniques</w:t>
            </w:r>
          </w:p>
        </w:tc>
        <w:tc>
          <w:tcPr>
            <w:tcBorders/>
            <w:tcW w:w="3046" w:type="dxa"/>
            <w:textDirection w:val="lrTb"/>
            <w:noWrap w:val="false"/>
          </w:tcPr>
          <w:p w14:paraId="4E4A8813"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Seedling trays, misting system, germination chambers, potting benches.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Dibblers, watering cans, seed dispensers, labels, hand trowels.</w:t>
            </w:r>
          </w:p>
        </w:tc>
      </w:tr>
      <w:tr>
        <w:trPr/>
        <w:tc>
          <w:tcPr>
            <w:tcBorders/>
            <w:tcW w:w="1898" w:type="dxa"/>
            <w:textDirection w:val="lrTb"/>
            <w:noWrap w:val="false"/>
          </w:tcPr>
          <w:p w14:paraId="39ABEE6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Legume Production</w:t>
            </w:r>
          </w:p>
        </w:tc>
        <w:tc>
          <w:tcPr>
            <w:tcBorders/>
            <w:tcW w:w="1954" w:type="dxa"/>
            <w:textDirection w:val="lrTb"/>
            <w:noWrap w:val="false"/>
          </w:tcPr>
          <w:p w14:paraId="13E62709" w14:textId="291C002E">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Greenhouse</w:t>
            </w:r>
          </w:p>
        </w:tc>
        <w:tc>
          <w:tcPr>
            <w:tcBorders/>
            <w:tcW w:w="951" w:type="dxa"/>
            <w:textDirection w:val="lrTb"/>
            <w:noWrap w:val="false"/>
          </w:tcPr>
          <w:p w14:paraId="7F74458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250 SQM (2 Units)</w:t>
            </w:r>
          </w:p>
        </w:tc>
        <w:tc>
          <w:tcPr>
            <w:tcBorders/>
            <w:tcW w:w="2041" w:type="dxa"/>
            <w:textDirection w:val="lrTb"/>
            <w:noWrap w:val="false"/>
          </w:tcPr>
          <w:p w14:paraId="2A9C5444"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Legume cultivation; Crop nutrition; Pest and disease management</w:t>
            </w:r>
          </w:p>
        </w:tc>
        <w:tc>
          <w:tcPr>
            <w:tcBorders/>
            <w:tcW w:w="3046" w:type="dxa"/>
            <w:textDirection w:val="lrTb"/>
            <w:noWrap w:val="false"/>
          </w:tcPr>
          <w:p w14:paraId="4A5970DF"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Drip irrigation systems, fertigation units, trellising systems. </w:t>
            </w:r>
          </w:p>
          <w:p w14:paraId="644BEF61"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Hoes, pruning tools, soil sampling kits, moisture meters.</w:t>
            </w:r>
          </w:p>
        </w:tc>
      </w:tr>
      <w:tr>
        <w:trPr/>
        <w:tc>
          <w:tcPr>
            <w:tcBorders/>
            <w:tcW w:w="1898" w:type="dxa"/>
            <w:textDirection w:val="lrTb"/>
            <w:noWrap w:val="false"/>
          </w:tcPr>
          <w:p w14:paraId="27CE8C05" w14:textId="7AE30E55">
            <w:pPr>
              <w:pBdr/>
              <w:spacing/>
              <w:ind/>
              <w:jc w:val="both"/>
              <w:rPr>
                <w:rFonts w:ascii="Times New Roman" w:hAnsi="Times New Roman" w:eastAsia="Times New Roman" w:cs="Times New Roman"/>
              </w:rPr>
            </w:pPr>
            <w:r>
              <w:rPr>
                <w:rFonts w:ascii="Times New Roman" w:hAnsi="Times New Roman" w:eastAsia="Times New Roman" w:cs="Times New Roman"/>
              </w:rPr>
              <w:t xml:space="preserve">Biological Input Production workshop</w:t>
            </w:r>
          </w:p>
        </w:tc>
        <w:tc>
          <w:tcPr>
            <w:tcBorders/>
            <w:tcW w:w="1954" w:type="dxa"/>
            <w:textDirection w:val="lrTb"/>
            <w:noWrap w:val="false"/>
          </w:tcPr>
          <w:p w14:paraId="39DE750F" w14:textId="2ED237FD">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Biological Input Production (Light Lab Style)</w:t>
            </w:r>
          </w:p>
        </w:tc>
        <w:tc>
          <w:tcPr>
            <w:tcBorders/>
            <w:tcW w:w="951" w:type="dxa"/>
            <w:textDirection w:val="lrTb"/>
            <w:noWrap w:val="false"/>
          </w:tcPr>
          <w:p w14:paraId="263D80B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100 SQM</w:t>
            </w:r>
          </w:p>
        </w:tc>
        <w:tc>
          <w:tcPr>
            <w:tcBorders/>
            <w:tcW w:w="2041" w:type="dxa"/>
            <w:textDirection w:val="lrTb"/>
            <w:noWrap w:val="false"/>
          </w:tcPr>
          <w:p w14:paraId="2080A6A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Seed multiplication; Biofertilizer production; Biopesticide preparation</w:t>
            </w:r>
          </w:p>
        </w:tc>
        <w:tc>
          <w:tcPr>
            <w:tcBorders/>
            <w:tcW w:w="3046" w:type="dxa"/>
            <w:textDirection w:val="lrTb"/>
            <w:noWrap w:val="false"/>
          </w:tcPr>
          <w:p w14:paraId="02864643"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Laminar flow cabinet, incubators, autoclave, seed cleaners, seed dryers, refrigerators. </w:t>
            </w:r>
          </w:p>
          <w:p w14:paraId="744239E6"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Laboratory glassware, microscopes, seed counters, pH meters, weighing balances.</w:t>
            </w:r>
          </w:p>
        </w:tc>
      </w:tr>
      <w:tr>
        <w:trPr/>
        <w:tc>
          <w:tcPr>
            <w:tcBorders/>
            <w:tcW w:w="1898" w:type="dxa"/>
            <w:textDirection w:val="lrTb"/>
            <w:noWrap w:val="false"/>
          </w:tcPr>
          <w:p w14:paraId="39C71B7F" w14:textId="2DC7F8EE">
            <w:pPr>
              <w:pBdr/>
              <w:spacing/>
              <w:ind/>
              <w:jc w:val="both"/>
              <w:rPr>
                <w:rFonts w:ascii="Times New Roman" w:hAnsi="Times New Roman" w:eastAsia="Times New Roman" w:cs="Times New Roman"/>
              </w:rPr>
            </w:pPr>
            <w:r>
              <w:rPr>
                <w:rFonts w:ascii="Times New Roman" w:hAnsi="Times New Roman" w:eastAsia="Times New Roman" w:cs="Times New Roman"/>
              </w:rPr>
              <w:t xml:space="preserve">Regenerative Agriculture Demonstration workshop</w:t>
            </w:r>
          </w:p>
        </w:tc>
        <w:tc>
          <w:tcPr>
            <w:tcBorders/>
            <w:tcW w:w="1954" w:type="dxa"/>
            <w:textDirection w:val="lrTb"/>
            <w:noWrap w:val="false"/>
          </w:tcPr>
          <w:p w14:paraId="26769CF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 Semi Open Structure</w:t>
            </w:r>
          </w:p>
        </w:tc>
        <w:tc>
          <w:tcPr>
            <w:tcBorders/>
            <w:tcW w:w="951" w:type="dxa"/>
            <w:textDirection w:val="lrTb"/>
            <w:noWrap w:val="false"/>
          </w:tcPr>
          <w:p w14:paraId="2F70BB0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12C3A25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Regenerative agriculture practices; Soil health management; Conservation agriculture</w:t>
            </w:r>
          </w:p>
        </w:tc>
        <w:tc>
          <w:tcPr>
            <w:tcBorders/>
            <w:tcW w:w="3046" w:type="dxa"/>
            <w:textDirection w:val="lrTb"/>
            <w:noWrap w:val="false"/>
          </w:tcPr>
          <w:p w14:paraId="76385A57"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No-till planters, compost applicators, mulching equipment. </w:t>
            </w:r>
          </w:p>
          <w:p w14:paraId="6AEEC146"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Soil testing kits, moisture sensors, hoes, rakes, measuring tapes.</w:t>
            </w:r>
          </w:p>
        </w:tc>
      </w:tr>
      <w:tr>
        <w:trPr/>
        <w:tc>
          <w:tcPr>
            <w:tcBorders/>
            <w:tcW w:w="1898" w:type="dxa"/>
            <w:textDirection w:val="lrTb"/>
            <w:noWrap w:val="false"/>
          </w:tcPr>
          <w:p w14:paraId="2873077F"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Vegetable Production</w:t>
            </w:r>
          </w:p>
        </w:tc>
        <w:tc>
          <w:tcPr>
            <w:tcBorders/>
            <w:tcW w:w="1954" w:type="dxa"/>
            <w:textDirection w:val="lrTb"/>
            <w:noWrap w:val="false"/>
          </w:tcPr>
          <w:p w14:paraId="5FF35D50" w14:textId="526DA6E5">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Greenhouse</w:t>
            </w:r>
          </w:p>
        </w:tc>
        <w:tc>
          <w:tcPr>
            <w:tcBorders/>
            <w:tcW w:w="951" w:type="dxa"/>
            <w:textDirection w:val="lrTb"/>
            <w:noWrap w:val="false"/>
          </w:tcPr>
          <w:p w14:paraId="164FBF8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250 SQM (2 Units)</w:t>
            </w:r>
          </w:p>
        </w:tc>
        <w:tc>
          <w:tcPr>
            <w:tcBorders/>
            <w:tcW w:w="2041" w:type="dxa"/>
            <w:textDirection w:val="lrTb"/>
            <w:noWrap w:val="false"/>
          </w:tcPr>
          <w:p w14:paraId="0C733C0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Vegetable production; Irrigation scheduling; Crop protection</w:t>
            </w:r>
          </w:p>
        </w:tc>
        <w:tc>
          <w:tcPr>
            <w:tcBorders/>
            <w:tcW w:w="3046" w:type="dxa"/>
            <w:textDirection w:val="lrTb"/>
            <w:noWrap w:val="false"/>
          </w:tcPr>
          <w:p w14:paraId="3BD2321B"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Drip irrigation systems, fertigation units, greenhouse climate control systems. </w:t>
            </w:r>
          </w:p>
          <w:p w14:paraId="09D908AF"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Harvesting knives, pruning shears, sprayers, moisture meters.</w:t>
            </w:r>
          </w:p>
        </w:tc>
      </w:tr>
      <w:tr>
        <w:trPr/>
        <w:tc>
          <w:tcPr>
            <w:tcBorders/>
            <w:tcW w:w="1898" w:type="dxa"/>
            <w:textDirection w:val="lrTb"/>
            <w:noWrap w:val="false"/>
          </w:tcPr>
          <w:p w14:paraId="2D14EC61" w14:textId="18010786">
            <w:pPr>
              <w:pBdr/>
              <w:spacing/>
              <w:ind/>
              <w:jc w:val="both"/>
              <w:rPr>
                <w:rFonts w:ascii="Times New Roman" w:hAnsi="Times New Roman" w:eastAsia="Times New Roman" w:cs="Times New Roman"/>
              </w:rPr>
            </w:pPr>
            <w:r>
              <w:rPr>
                <w:rFonts w:ascii="Times New Roman" w:hAnsi="Times New Roman" w:eastAsia="Times New Roman" w:cs="Times New Roman"/>
              </w:rPr>
              <w:t xml:space="preserve">Small Farm Tools section</w:t>
            </w:r>
          </w:p>
        </w:tc>
        <w:tc>
          <w:tcPr>
            <w:tcBorders/>
            <w:tcW w:w="1954" w:type="dxa"/>
            <w:textDirection w:val="lrTb"/>
            <w:noWrap w:val="false"/>
          </w:tcPr>
          <w:p w14:paraId="16BD16F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Tool &amp; Mini Garage Storage</w:t>
            </w:r>
          </w:p>
        </w:tc>
        <w:tc>
          <w:tcPr>
            <w:tcBorders/>
            <w:tcW w:w="951" w:type="dxa"/>
            <w:textDirection w:val="lrTb"/>
            <w:noWrap w:val="false"/>
          </w:tcPr>
          <w:p w14:paraId="6F27A1E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5E7B0B62"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Operating small farm tools and equipment</w:t>
            </w:r>
          </w:p>
        </w:tc>
        <w:tc>
          <w:tcPr>
            <w:tcBorders/>
            <w:tcW w:w="3046" w:type="dxa"/>
            <w:textDirection w:val="lrTb"/>
            <w:noWrap w:val="false"/>
          </w:tcPr>
          <w:p w14:paraId="3170A12B"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Tool racks, workbenches, sharpening machines. </w:t>
            </w:r>
          </w:p>
          <w:p w14:paraId="48E3BE0B"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Hoes, rakes, shovels, pruning shears, wheelbarrows, watering cans.</w:t>
            </w:r>
          </w:p>
        </w:tc>
      </w:tr>
      <w:tr>
        <w:trPr/>
        <w:tc>
          <w:tcPr>
            <w:tcBorders/>
            <w:tcW w:w="1898" w:type="dxa"/>
            <w:textDirection w:val="lrTb"/>
            <w:noWrap w:val="false"/>
          </w:tcPr>
          <w:p w14:paraId="397A90B9" w14:textId="6E0E5B4E">
            <w:pPr>
              <w:pBdr/>
              <w:spacing/>
              <w:ind/>
              <w:jc w:val="both"/>
              <w:rPr>
                <w:rFonts w:ascii="Times New Roman" w:hAnsi="Times New Roman" w:eastAsia="Times New Roman" w:cs="Times New Roman"/>
              </w:rPr>
            </w:pPr>
            <w:r>
              <w:rPr>
                <w:rFonts w:ascii="Times New Roman" w:hAnsi="Times New Roman" w:eastAsia="Times New Roman" w:cs="Times New Roman"/>
              </w:rPr>
              <w:t xml:space="preserve">Small Farm Machinery Training workshop</w:t>
            </w:r>
          </w:p>
        </w:tc>
        <w:tc>
          <w:tcPr>
            <w:tcBorders/>
            <w:tcW w:w="1954" w:type="dxa"/>
            <w:textDirection w:val="lrTb"/>
            <w:noWrap w:val="false"/>
          </w:tcPr>
          <w:p w14:paraId="2E0EC9B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Tool &amp; Mini Garage Storage</w:t>
            </w:r>
          </w:p>
        </w:tc>
        <w:tc>
          <w:tcPr>
            <w:tcBorders/>
            <w:tcW w:w="951" w:type="dxa"/>
            <w:textDirection w:val="lrTb"/>
            <w:noWrap w:val="false"/>
          </w:tcPr>
          <w:p w14:paraId="085D80BF"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0620DE41"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Operating small farm machinery; Equipment maintenance</w:t>
            </w:r>
          </w:p>
        </w:tc>
        <w:tc>
          <w:tcPr>
            <w:tcBorders/>
            <w:tcW w:w="3046" w:type="dxa"/>
            <w:textDirection w:val="lrTb"/>
            <w:noWrap w:val="false"/>
          </w:tcPr>
          <w:p w14:paraId="35FB264D"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Power tillers, brush cutters, knapsack motorized sprayers, water pumps, generators. </w:t>
            </w:r>
          </w:p>
          <w:p w14:paraId="7EF924C5"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Tool kits, grease guns, wrenches, spare parts storage cabinets.</w:t>
            </w:r>
          </w:p>
        </w:tc>
      </w:tr>
      <w:tr>
        <w:trPr/>
        <w:tc>
          <w:tcPr>
            <w:tcBorders/>
            <w:tcW w:w="1898" w:type="dxa"/>
            <w:textDirection w:val="lrTb"/>
            <w:noWrap w:val="false"/>
          </w:tcPr>
          <w:p w14:paraId="47974036" w14:textId="3EA69607">
            <w:pPr>
              <w:pBdr/>
              <w:spacing/>
              <w:ind/>
              <w:jc w:val="both"/>
              <w:rPr>
                <w:rFonts w:ascii="Times New Roman" w:hAnsi="Times New Roman" w:eastAsia="Times New Roman" w:cs="Times New Roman"/>
              </w:rPr>
            </w:pPr>
            <w:r>
              <w:rPr>
                <w:rFonts w:ascii="Times New Roman" w:hAnsi="Times New Roman" w:eastAsia="Times New Roman" w:cs="Times New Roman"/>
              </w:rPr>
              <w:t xml:space="preserve">Micro-Irrigation System </w:t>
            </w:r>
          </w:p>
        </w:tc>
        <w:tc>
          <w:tcPr>
            <w:tcBorders/>
            <w:tcW w:w="1954" w:type="dxa"/>
            <w:textDirection w:val="lrTb"/>
            <w:noWrap w:val="false"/>
          </w:tcPr>
          <w:p w14:paraId="10873162"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 Semi Open Structure</w:t>
            </w:r>
          </w:p>
        </w:tc>
        <w:tc>
          <w:tcPr>
            <w:tcBorders/>
            <w:tcW w:w="951" w:type="dxa"/>
            <w:textDirection w:val="lrTb"/>
            <w:noWrap w:val="false"/>
          </w:tcPr>
          <w:p w14:paraId="2D7E474E"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608258D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Installation and maintenance of micro-irrigation systems</w:t>
            </w:r>
          </w:p>
        </w:tc>
        <w:tc>
          <w:tcPr>
            <w:tcBorders/>
            <w:tcW w:w="3046" w:type="dxa"/>
            <w:textDirection w:val="lrTb"/>
            <w:noWrap w:val="false"/>
          </w:tcPr>
          <w:p w14:paraId="03974AB0" w14:textId="77777777">
            <w:pPr>
              <w:pBdr>
                <w:top w:val="none" w:color="000000" w:sz="4" w:space="0"/>
                <w:left w:val="none" w:color="000000" w:sz="4" w:space="0"/>
                <w:bottom w:val="none" w:color="000000" w:sz="4" w:space="0"/>
                <w:right w:val="none" w:color="000000" w:sz="4" w:space="0"/>
                <w:between w:val="none" w:color="000000" w:sz="4" w:space="0"/>
              </w:pBdr>
              <w:spacing/>
              <w:ind/>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Equipment:</w:t>
            </w:r>
            <w:r>
              <w:rPr>
                <w:rFonts w:ascii="Times New Roman" w:hAnsi="Times New Roman" w:eastAsia="Times New Roman" w:cs="Times New Roman"/>
                <w:color w:val="000000"/>
              </w:rPr>
              <w:t xml:space="preserve"> Water source (underground tank), pump (submersible), pump control unit, filtration system (screen filter, disc filter, or sand filter) </w:t>
            </w:r>
          </w:p>
          <w:p w14:paraId="5E18EAD9" w14:textId="361C820A">
            <w:pPr>
              <w:pBdr>
                <w:top w:val="none" w:color="000000" w:sz="4" w:space="0"/>
                <w:left w:val="none" w:color="000000" w:sz="4" w:space="0"/>
                <w:bottom w:val="none" w:color="000000" w:sz="4" w:space="0"/>
                <w:right w:val="none" w:color="000000" w:sz="4" w:space="0"/>
                <w:between w:val="none" w:color="000000" w:sz="4" w:space="0"/>
              </w:pBdr>
              <w:spacing/>
              <w:ind/>
              <w:jc w:val="both"/>
              <w:rPr>
                <w:rFonts w:ascii="Times New Roman" w:hAnsi="Times New Roman" w:eastAsia="Times New Roman" w:cs="Times New Roman"/>
                <w:color w:val="000000"/>
              </w:rPr>
            </w:pPr>
            <w:r>
              <w:rPr>
                <w:rFonts w:ascii="Times New Roman" w:hAnsi="Times New Roman" w:eastAsia="Times New Roman" w:cs="Times New Roman"/>
                <w:color w:val="000000"/>
                <w:u w:val="single"/>
              </w:rPr>
              <w:t xml:space="preserve">Drip irrigation </w:t>
            </w:r>
            <w:r>
              <w:rPr>
                <w:rFonts w:ascii="Times New Roman" w:hAnsi="Times New Roman" w:eastAsia="Times New Roman" w:cs="Times New Roman"/>
                <w:color w:val="000000"/>
              </w:rPr>
              <w:t xml:space="preserve">(mainline pipes, sub-main pipes, lateral drip lines, drip emitters, pressure regulators, control valves, flush valves, air release valves, end caps, fittings, fertigation unit, pressure gauges, flow meter, soil moisture sensors, and flushing system). </w:t>
            </w:r>
            <w:r>
              <w:rPr>
                <w:rFonts w:ascii="Times New Roman" w:hAnsi="Times New Roman" w:eastAsia="Times New Roman" w:cs="Times New Roman"/>
                <w:color w:val="000000"/>
                <w:u w:val="single"/>
              </w:rPr>
              <w:t xml:space="preserve">sprinkle</w:t>
            </w:r>
            <w:r>
              <w:rPr>
                <w:rFonts w:ascii="Times New Roman" w:hAnsi="Times New Roman" w:eastAsia="Times New Roman" w:cs="Times New Roman"/>
                <w:color w:val="000000"/>
              </w:rPr>
              <w:t xml:space="preserve">r (main pipeline, sub-main pipeline, lateral pipelines, sprinkler heads, risers, control valves, pressure regulating valves, air release valves, drain valves, pressure gauges, flow meter, fittings, control unit.</w:t>
            </w:r>
          </w:p>
          <w:p w14:paraId="7CF66769" w14:textId="77777777">
            <w:pPr>
              <w:pBdr>
                <w:top w:val="none" w:color="000000" w:sz="4" w:space="0"/>
                <w:left w:val="none" w:color="000000" w:sz="4" w:space="0"/>
                <w:bottom w:val="none" w:color="000000" w:sz="4" w:space="0"/>
                <w:right w:val="none" w:color="000000" w:sz="4" w:space="0"/>
                <w:between w:val="none" w:color="000000" w:sz="4" w:space="0"/>
              </w:pBdr>
              <w:spacing/>
              <w:ind/>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Tools:</w:t>
            </w:r>
            <w:r>
              <w:rPr>
                <w:rFonts w:ascii="Times New Roman" w:hAnsi="Times New Roman" w:eastAsia="Times New Roman" w:cs="Times New Roman"/>
                <w:color w:val="000000"/>
              </w:rPr>
              <w:t xml:space="preserve"> Pipe cutters, punch tools, pressure gauges, flow meters, repair kits.</w:t>
            </w:r>
          </w:p>
        </w:tc>
      </w:tr>
      <w:tr>
        <w:trPr/>
        <w:tc>
          <w:tcPr>
            <w:tcBorders/>
            <w:tcW w:w="1898" w:type="dxa"/>
            <w:textDirection w:val="lrTb"/>
            <w:noWrap w:val="false"/>
          </w:tcPr>
          <w:p w14:paraId="19BAAA15" w14:textId="56CFE83A">
            <w:pPr>
              <w:pBdr/>
              <w:spacing/>
              <w:ind/>
              <w:jc w:val="both"/>
              <w:rPr>
                <w:rFonts w:ascii="Times New Roman" w:hAnsi="Times New Roman" w:eastAsia="Times New Roman" w:cs="Times New Roman"/>
              </w:rPr>
            </w:pPr>
            <w:r>
              <w:rPr>
                <w:rFonts w:ascii="Times New Roman" w:hAnsi="Times New Roman" w:eastAsia="Times New Roman" w:cs="Times New Roman"/>
              </w:rPr>
              <w:t xml:space="preserve">Cereals Production</w:t>
            </w:r>
          </w:p>
        </w:tc>
        <w:tc>
          <w:tcPr>
            <w:tcBorders/>
            <w:tcW w:w="1954" w:type="dxa"/>
            <w:textDirection w:val="lrTb"/>
            <w:noWrap w:val="false"/>
          </w:tcPr>
          <w:p w14:paraId="291BB13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 Semi Open Structure</w:t>
            </w:r>
          </w:p>
        </w:tc>
        <w:tc>
          <w:tcPr>
            <w:tcBorders/>
            <w:tcW w:w="951" w:type="dxa"/>
            <w:textDirection w:val="lrTb"/>
            <w:noWrap w:val="false"/>
          </w:tcPr>
          <w:p w14:paraId="266A265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514D49D1"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Cereals cultivation; Crop establishment; Harvesting techniques</w:t>
            </w:r>
          </w:p>
        </w:tc>
        <w:tc>
          <w:tcPr>
            <w:tcBorders/>
            <w:tcW w:w="3046" w:type="dxa"/>
            <w:textDirection w:val="lrTb"/>
            <w:noWrap w:val="false"/>
          </w:tcPr>
          <w:p w14:paraId="1D15C6F2"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Seed drills, mini threshers, grain cleaners, sprinkler irrigation equipment. </w:t>
            </w:r>
          </w:p>
          <w:p w14:paraId="677DFA9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Hoes, sickles, moisture meters, weighing scales.</w:t>
            </w:r>
          </w:p>
        </w:tc>
      </w:tr>
      <w:tr>
        <w:trPr/>
        <w:tc>
          <w:tcPr>
            <w:tcBorders/>
            <w:tcW w:w="1898" w:type="dxa"/>
            <w:textDirection w:val="lrTb"/>
            <w:noWrap w:val="false"/>
          </w:tcPr>
          <w:p w14:paraId="0B7B8B73" w14:textId="7F13B0F9">
            <w:pPr>
              <w:pBdr/>
              <w:spacing/>
              <w:ind/>
              <w:jc w:val="both"/>
              <w:rPr>
                <w:rFonts w:ascii="Times New Roman" w:hAnsi="Times New Roman" w:eastAsia="Times New Roman" w:cs="Times New Roman"/>
              </w:rPr>
            </w:pPr>
            <w:r>
              <w:rPr>
                <w:rFonts w:ascii="Times New Roman" w:hAnsi="Times New Roman" w:eastAsia="Times New Roman" w:cs="Times New Roman"/>
              </w:rPr>
              <w:t xml:space="preserve">Hydroponic Production workshop</w:t>
            </w:r>
          </w:p>
        </w:tc>
        <w:tc>
          <w:tcPr>
            <w:tcBorders/>
            <w:tcW w:w="1954" w:type="dxa"/>
            <w:textDirection w:val="lrTb"/>
            <w:noWrap w:val="false"/>
          </w:tcPr>
          <w:p w14:paraId="1DA17FF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 Semi Open Structure</w:t>
            </w:r>
          </w:p>
        </w:tc>
        <w:tc>
          <w:tcPr>
            <w:tcBorders/>
            <w:tcW w:w="951" w:type="dxa"/>
            <w:textDirection w:val="lrTb"/>
            <w:noWrap w:val="false"/>
          </w:tcPr>
          <w:p w14:paraId="57B5E6C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7862B91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Hydroponic system installation and plant production</w:t>
            </w:r>
          </w:p>
        </w:tc>
        <w:tc>
          <w:tcPr>
            <w:tcBorders/>
            <w:tcW w:w="3046" w:type="dxa"/>
            <w:textDirection w:val="lrTb"/>
            <w:noWrap w:val="false"/>
          </w:tcPr>
          <w:p w14:paraId="7E641AB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NFT systems, grow beds, nutrient tanks, pumps, EC/pH controllers, grow lights. </w:t>
            </w:r>
          </w:p>
          <w:p w14:paraId="616203D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EC meters, pH meters, measuring cylinders, seedling trays.</w:t>
            </w:r>
          </w:p>
        </w:tc>
      </w:tr>
      <w:tr>
        <w:trPr/>
        <w:tc>
          <w:tcPr>
            <w:tcBorders/>
            <w:tcW w:w="1898" w:type="dxa"/>
            <w:textDirection w:val="lrTb"/>
            <w:noWrap w:val="false"/>
          </w:tcPr>
          <w:p w14:paraId="4514A0EA" w14:textId="13B8E724">
            <w:pPr>
              <w:pBdr/>
              <w:spacing/>
              <w:ind/>
              <w:jc w:val="both"/>
              <w:rPr>
                <w:rFonts w:ascii="Times New Roman" w:hAnsi="Times New Roman" w:eastAsia="Times New Roman" w:cs="Times New Roman"/>
              </w:rPr>
            </w:pPr>
            <w:r>
              <w:rPr>
                <w:rFonts w:ascii="Times New Roman" w:hAnsi="Times New Roman" w:eastAsia="Times New Roman" w:cs="Times New Roman"/>
              </w:rPr>
              <w:t xml:space="preserve">Mushroom Production workshop</w:t>
            </w:r>
          </w:p>
        </w:tc>
        <w:tc>
          <w:tcPr>
            <w:tcBorders/>
            <w:tcW w:w="1954" w:type="dxa"/>
            <w:textDirection w:val="lrTb"/>
            <w:noWrap w:val="false"/>
          </w:tcPr>
          <w:p w14:paraId="436E1B7B" w14:textId="67EB7065">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Agri – Greenhouse</w:t>
            </w:r>
          </w:p>
        </w:tc>
        <w:tc>
          <w:tcPr>
            <w:tcBorders/>
            <w:tcW w:w="951" w:type="dxa"/>
            <w:textDirection w:val="lrTb"/>
            <w:noWrap w:val="false"/>
          </w:tcPr>
          <w:p w14:paraId="72211BC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250 SQM (2 Units)</w:t>
            </w:r>
          </w:p>
        </w:tc>
        <w:tc>
          <w:tcPr>
            <w:tcBorders/>
            <w:tcW w:w="2041" w:type="dxa"/>
            <w:textDirection w:val="lrTb"/>
            <w:noWrap w:val="false"/>
          </w:tcPr>
          <w:p w14:paraId="7B3419F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Mushroom cultivation; Spawn production; Harvesting and post-harvest handling</w:t>
            </w:r>
          </w:p>
        </w:tc>
        <w:tc>
          <w:tcPr>
            <w:tcBorders/>
            <w:tcW w:w="3046" w:type="dxa"/>
            <w:textDirection w:val="lrTb"/>
            <w:noWrap w:val="false"/>
          </w:tcPr>
          <w:p w14:paraId="18D586EE"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Humidifiers, sterilization drums, incubation chambers, substrate mixers, drying units. </w:t>
            </w:r>
          </w:p>
          <w:p w14:paraId="52A61CB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Hygrometers, thermometers, harvesting knives, trays, weighing scales.</w:t>
            </w:r>
          </w:p>
        </w:tc>
      </w:tr>
      <w:tr>
        <w:trPr/>
        <w:tc>
          <w:tcPr>
            <w:tcBorders/>
            <w:tcW w:w="1898" w:type="dxa"/>
            <w:textDirection w:val="lrTb"/>
            <w:noWrap w:val="false"/>
          </w:tcPr>
          <w:p w14:paraId="66B0C3D1" w14:textId="40BBD91D">
            <w:pPr>
              <w:pBdr/>
              <w:spacing/>
              <w:ind/>
              <w:jc w:val="both"/>
              <w:rPr>
                <w:rFonts w:ascii="Times New Roman" w:hAnsi="Times New Roman" w:eastAsia="Times New Roman" w:cs="Times New Roman"/>
              </w:rPr>
            </w:pPr>
            <w:r>
              <w:rPr>
                <w:rFonts w:ascii="Times New Roman" w:hAnsi="Times New Roman" w:eastAsia="Times New Roman" w:cs="Times New Roman"/>
              </w:rPr>
              <w:t xml:space="preserve">Fruit Production workshop</w:t>
            </w:r>
          </w:p>
        </w:tc>
        <w:tc>
          <w:tcPr>
            <w:tcBorders/>
            <w:tcW w:w="1954" w:type="dxa"/>
            <w:textDirection w:val="lrTb"/>
            <w:noWrap w:val="false"/>
          </w:tcPr>
          <w:p w14:paraId="265524B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PTU - Semi Open Structure</w:t>
            </w:r>
          </w:p>
        </w:tc>
        <w:tc>
          <w:tcPr>
            <w:tcBorders/>
            <w:tcW w:w="951" w:type="dxa"/>
            <w:textDirection w:val="lrTb"/>
            <w:noWrap w:val="false"/>
          </w:tcPr>
          <w:p w14:paraId="2B6E104B"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cW w:w="2041" w:type="dxa"/>
            <w:textDirection w:val="lrTb"/>
            <w:noWrap w:val="false"/>
          </w:tcPr>
          <w:p w14:paraId="3873CD3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Fruit production; Orchard management; Grafting and pruning</w:t>
            </w:r>
          </w:p>
        </w:tc>
        <w:tc>
          <w:tcPr>
            <w:tcBorders/>
            <w:tcW w:w="3046" w:type="dxa"/>
            <w:textDirection w:val="lrTb"/>
            <w:noWrap w:val="false"/>
          </w:tcPr>
          <w:p w14:paraId="4D95554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Irrigation systems, spraying equipment, fruit grading tables. </w:t>
            </w:r>
          </w:p>
          <w:p w14:paraId="74F586DE"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Grafting knives, secateurs, ladders, harvesting baskets, pruning saws.</w:t>
            </w:r>
          </w:p>
        </w:tc>
      </w:tr>
    </w:tbl>
    <w:p w14:paraId="688291B6" w14:textId="77777777">
      <w:pPr>
        <w:pBdr/>
        <w:spacing w:after="0" w:line="240" w:lineRule="auto"/>
        <w:ind/>
        <w:jc w:val="both"/>
        <w:rPr>
          <w:rFonts w:ascii="Times New Roman" w:hAnsi="Times New Roman" w:eastAsia="Times New Roman" w:cs="Times New Roman"/>
          <w:b/>
          <w:bCs/>
        </w:rPr>
      </w:pPr>
      <w:r>
        <w:rPr>
          <w:rFonts w:ascii="Times New Roman" w:hAnsi="Times New Roman" w:eastAsia="Times New Roman" w:cs="Times New Roman"/>
          <w:b/>
          <w:bCs/>
        </w:rPr>
      </w:r>
    </w:p>
    <w:p w14:paraId="00C2C774" w14:textId="5438B29F">
      <w:pPr>
        <w:pStyle w:val="828"/>
        <w:pBdr/>
        <w:spacing/>
        <w:ind/>
        <w:rPr>
          <w:rFonts w:ascii="Times New Roman" w:hAnsi="Times New Roman" w:eastAsia="Times New Roman" w:cs="Times New Roman"/>
          <w:b/>
          <w:i w:val="0"/>
          <w:color w:val="000000" w:themeColor="text1"/>
          <w:sz w:val="24"/>
          <w:szCs w:val="24"/>
        </w:rPr>
      </w:pPr>
      <w:r/>
      <w:bookmarkStart w:id="6" w:name="_Toc233888966"/>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2</w:t>
        <w:fldChar w:fldCharType="end"/>
        <w:t xml:space="preserve">: </w:t>
      </w:r>
      <w:r>
        <w:rPr>
          <w:rFonts w:ascii="Times New Roman" w:hAnsi="Times New Roman" w:eastAsia="Times New Roman" w:cs="Times New Roman"/>
          <w:b/>
          <w:bCs/>
          <w:i w:val="0"/>
          <w:color w:val="000000" w:themeColor="text1"/>
          <w:sz w:val="24"/>
          <w:szCs w:val="24"/>
        </w:rPr>
        <w:t xml:space="preserve">Crop production sub-unit equipment and their specifications</w:t>
      </w:r>
      <w:bookmarkEnd w:id="6"/>
      <w:r/>
      <w:r>
        <w:rPr>
          <w:rFonts w:ascii="Times New Roman" w:hAnsi="Times New Roman" w:eastAsia="Times New Roman" w:cs="Times New Roman"/>
          <w:b/>
          <w:i w:val="0"/>
          <w:color w:val="000000" w:themeColor="text1"/>
          <w:sz w:val="24"/>
          <w:szCs w:val="24"/>
        </w:rPr>
      </w:r>
    </w:p>
    <w:tbl>
      <w:tblPr>
        <w:tblStyle w:val="807"/>
        <w:tblInd w:w="0" w:type="dxa"/>
        <w:tblW w:w="9855"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2310"/>
        <w:gridCol w:w="1965"/>
        <w:gridCol w:w="5580"/>
      </w:tblGrid>
      <w:tr>
        <w:trPr>
          <w:trHeight w:val="2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tcW w:w="2310" w:type="dxa"/>
            <w:textDirection w:val="lrTb"/>
            <w:noWrap w:val="false"/>
          </w:tcPr>
          <w:p w14:paraId="4B6A51DB"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8D3188C"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Equipment</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5619DEE"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Recommended Specifications</w:t>
            </w:r>
          </w:p>
        </w:tc>
      </w:tr>
      <w:tr>
        <w:trPr>
          <w:trHeight w:val="82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317D9DF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2722928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14DF6AF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2ED3CAC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778F490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765881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001C4F46" w14:textId="180887CC">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Greenhouse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919E1C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Greenhouse structure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0F8909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Galvanized steel frame, UV-stabilized polyethylene cover (200 micron), height 3.5–4.5 m, natural ventilation with roll-up sides</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BC310A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56193C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Ventilation fans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B6F285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18–24 inch axial fans, airflow 8,000–12,000 m³/h, 220–380V</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9657B5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53AA86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Shade nets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65C514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30–75% shading, UV-stabilized HDPE</w:t>
            </w:r>
          </w:p>
        </w:tc>
      </w:tr>
      <w:tr>
        <w:trPr>
          <w:trHeight w:val="82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29E7817"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471E6B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Climate monitoring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0ADDF7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Digital sensors for temperature, humidity, light intensity, data logging</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406677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4BC541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Benches/raised beds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7F1D23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Aluminum or treated wood, height 0.8–1 m</w:t>
            </w:r>
          </w:p>
        </w:tc>
      </w:tr>
      <w:tr>
        <w:trPr>
          <w:trHeight w:val="55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E0EB4C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53A4D3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Harvest crates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8B070A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Food-grade plastic, 20–40 kg capacity, ventilated</w:t>
            </w:r>
          </w:p>
        </w:tc>
      </w:tr>
      <w:tr>
        <w:trPr>
          <w:trHeight w:val="82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10E3718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Composting &amp; Organic Fertilizer Production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086CE4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Compost turner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EA3BD1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Manual or PTO-driven, 1–2 tons/hour capacity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FE1DE3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715D2B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Shredder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B40C8C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3–7.5 kW motor, 2–5 cm particle output</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C91E46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3F4D13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Sieving machine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20BC81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Rotary/vibrating type, 5–10 mm mesh</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6824ED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016D43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Weighing scale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6D6FF9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Platform type, 100–500 kg capacity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C73837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687859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Wheelbarrows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81D849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100–150 L heavy-duty steel frame</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49789FA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391E46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Compost thermometer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EF3D3E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0–120°C stainless steel probe</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4104CD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05F875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Moisture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BD76B1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0–60% organic material range</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2D21476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646C183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4D30283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126D920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6FCBB20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2CF45066" w14:textId="6A6640AA">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Nursery Establishment</w:t>
            </w:r>
          </w:p>
          <w:p w14:paraId="0E4BD40D" w14:textId="33BD34D8">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E12C06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Seedling trays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06B11E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50–200 cell UV-resistant plastic</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DC8229E" w14:textId="6C8106F2">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1E4D80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Misting system controller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34192A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Automatic timer-based control</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CE158F7" w14:textId="21CE31CE">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C1EC29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Germination chamber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31CD46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20–30°C, 80–95% RH control</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68C342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BB9A78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Potting benches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C5CE21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1–1.2 m height, corrosion-resistant</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43A2175A"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C66B7D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Watering cans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BA71B9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5–10 L fine rose head</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13D70C5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C00098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Seed dispensers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87AE0F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Manual precision adjustable</w:t>
            </w:r>
          </w:p>
        </w:tc>
      </w:tr>
      <w:tr>
        <w:trPr>
          <w:trHeight w:val="55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5CAC22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E886A9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Labels/tagging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26E748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Waterproof plastic tags</w:t>
            </w:r>
          </w:p>
        </w:tc>
      </w:tr>
      <w:tr>
        <w:trPr>
          <w:trHeight w:val="28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78086FF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55F8AF3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968355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6E5CC5CD" w14:textId="6192021E">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Legume Production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81D2F4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Trellising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2AC711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Galvanized wire 2–3 mm, height 1.5–2 m</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4B40D65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16CA84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sampling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0811E6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Auger + sample bags, 0–30 cm depth</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E197A2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26F353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moisture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F58F75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Digital probe type, root-zone measurement</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C64300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A926FE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Harvesting tools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EDBCD1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Stainless steel knives and pruning tools</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0628B8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F904B7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EC/pH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DAB99E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Portable handheld unit</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69871A5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48D673B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6D4926F5" w14:textId="4986C3F2">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Biological Input Production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A68896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Laminar flow cabinet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76C0CC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HEPA 99.97% efficiency, airflow 0.3–0.5 m/s</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FF032E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CDCCED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Autoclave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DF7AD3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50–100 L, 121°C, 15 psi</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13A3E97A"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2409E4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Incubator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403C82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20–60°C, ±0.5°C accuracy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71118B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5ED0EB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Seed dryer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259BF0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Forced-air, 30–45°C control</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4C75AC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EF17F9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Refrigerator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1B8D02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2–8°C biological storage</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51F280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750388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Microscope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B95DA5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40x–1000x compound microscope</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3A0E29B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7EA43A6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06C85F0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1F53856F" w14:textId="70B15C36">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Regenerative Agriculture</w:t>
            </w:r>
          </w:p>
          <w:p w14:paraId="4E023694" w14:textId="6232BA0E">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5F4A44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No-till planter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54E3F4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1–2 row, 2–10 cm depth adjustment</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CB8EBFA" w14:textId="2471082E">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D41BA9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Mulching equipment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DA0653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Straw spreader/manual applicator</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F826F81" w14:textId="1A9E414A">
            <w:pPr>
              <w:pBdr/>
              <w:spacing w:after="0" w:line="276" w:lineRule="auto"/>
              <w:ind w:firstLine="20"/>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9FC8A8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Compost applicator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85BD8E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500–1000 kg capacity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4842A5C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FDF9E4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testing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0C8372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pH, NPK, EC field kit</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262152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7D29B5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Moisture sensors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59E989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Volumetric water content probe</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7763926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Vegetable Production</w:t>
            </w:r>
          </w:p>
          <w:p w14:paraId="083C1B5C" w14:textId="41F56B5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4F24C3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Fertigation dosing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E6207B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Automated nutrient dosing system</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1DF7A7E8" w14:textId="0E26890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0F12CF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Climate control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F562C8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Ventilation + evaporative cooling pads</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C7B150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8E3072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Sprayers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8958FC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Knapsack 15–20 L, manual/battery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1669A3A"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837A7E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Harvesting tools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A31BE2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Stainless steel knives</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C45F26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2723DE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EC/pH meters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3BE906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Digital handheld</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7FDCD32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FB1AF1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3C6AD68" w14:textId="70ADD3A8">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Small Farm Tools Training workshop</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7F741B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Workbenches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3A15956" w14:textId="77777777">
            <w:pPr>
              <w:pBdr/>
              <w:spacing w:after="0" w:line="276" w:lineRule="auto"/>
              <w:ind/>
              <w:jc w:val="both"/>
              <w:rPr>
                <w:rFonts w:ascii="Times New Roman" w:hAnsi="Times New Roman" w:eastAsia="Times New Roman" w:cs="Times New Roman"/>
              </w:rPr>
            </w:pPr>
            <w:r>
              <w:rPr>
                <w:rFonts w:ascii="Times New Roman" w:hAnsi="Times New Roman" w:eastAsia="Gungsuh" w:cs="Times New Roman"/>
              </w:rPr>
              <w:t xml:space="preserve">Heavy-duty steel, ≥300 kg load</w:t>
            </w:r>
            <w:r>
              <w:rPr>
                <w:rFonts w:ascii="Times New Roman" w:hAnsi="Times New Roman" w:eastAsia="Times New Roman" w:cs="Times New Roman"/>
              </w:rPr>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E5E0C0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9012B8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Tool racks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CF0E8C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Wall-mounted steel</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D800E9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4BCE2F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Sharpening machine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D5C006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250–500 W electric grinder</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D33879A"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CE6196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Hand tools set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268706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Hoes, rakes, shovels (hardened steel)</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55F67B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81B3F4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Wheelbarrows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858936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100–150 L reinforced frame</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7F4764D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E64384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091989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04050391" w14:textId="7D4EB265">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Small Farm Machinery workshop</w:t>
            </w:r>
          </w:p>
          <w:p w14:paraId="51B67271" w14:textId="4F667C16">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F514CE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Power tiller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CFF99A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5–12 HP diesel/petrol engine</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CE2106A" w14:textId="322657DA">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79C83E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Brush cutters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5A7C329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1.2–2.0 kW anti-vibration</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E8D1A6C" w14:textId="6247C694">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63BA1A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Knapsack sprayers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8B5B71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16–20 L manual/motorized</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138A72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57251A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Water pumps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DB3212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2–5 HP centrifugal/engine-driven</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32FE82D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8ED96D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Generator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DC0AD2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3–10 kVA diesel</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B1E8D3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E1D4A6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Tool kits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4BC4B2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Full mechanical repair set</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319C279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62D4240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0AEC731F" w14:textId="45BBBDFB">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Cereals Production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C091A4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Seed drill</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44190C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2–4 row adjustable seed rate</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72AA37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9CED90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Mini thresher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F6A0EC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1–2 tons/hour capacity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0382CB87"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4BC6AB0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Grain cleaner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F9CBD4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500–1000 kg/hour capacity</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C67308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DBCB81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Moisture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BEFA53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8–30% grain range</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434609B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0EFE7A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Harvesting tools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E95FB2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Sickles, steel blades</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12128AC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701DBBF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3B90BDC0" w14:textId="29BCBFB5">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Hydroponic Production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ACC550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NFT channels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BE6C50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Food-grade PVC, 1–3% slope</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0D1A036"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4FBFA6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Nutrient tanks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1C12F0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200–1000 L UV-resistant plastic</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45B7C8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4C4647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Pumps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D4DF50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Submersible 30–80 W</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5B45820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49B402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EC/pH controllers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2FA108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EC 0–5 mS/cm, pH 5.5–7.5</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B41C856"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5AF8D1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LED grow lights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AC4A35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Full spectrum, 100–200 µmol/m²/s</w:t>
            </w:r>
          </w:p>
        </w:tc>
      </w:tr>
      <w:tr>
        <w:trPr>
          <w:trHeight w:val="55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2557532E" w14:textId="53AB23F3">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Mushroom Production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21ED72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Humidifier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4313CB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Ultrasonic, 85–95% RH</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A18B86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2167EAF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Sterilization drum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2AADD69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200–500 L steam unit</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D543DA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3CD111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Incubation chamber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3D169E9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20–28°C controlled</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9946AF7"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7DD8839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Substrate mixer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763DD78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0.5–1 ton capacity</w:t>
            </w:r>
          </w:p>
        </w:tc>
      </w:tr>
      <w:tr>
        <w:trPr>
          <w:trHeight w:val="28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5CCBAE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3A2C052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Drying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45CE174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Hot air 40–60°C</w:t>
            </w:r>
          </w:p>
        </w:tc>
      </w:tr>
      <w:tr>
        <w:trPr>
          <w:trHeight w:val="285"/>
        </w:trPr>
        <w:tc>
          <w:tcPr>
            <w:tcBorders>
              <w:top w:val="none" w:color="000000" w:sz="4" w:space="0"/>
              <w:left w:val="single" w:color="000000" w:sz="8" w:space="0"/>
              <w:right w:val="single" w:color="000000" w:sz="8" w:space="0"/>
            </w:tcBorders>
            <w:tcMar>
              <w:left w:w="100" w:type="dxa"/>
              <w:top w:w="0" w:type="dxa"/>
              <w:right w:w="100" w:type="dxa"/>
              <w:bottom w:w="0" w:type="dxa"/>
            </w:tcMar>
            <w:tcW w:w="2310" w:type="dxa"/>
            <w:vMerge w:val="restart"/>
            <w:textDirection w:val="lrTb"/>
            <w:noWrap w:val="false"/>
          </w:tcPr>
          <w:p w14:paraId="7A8DCA2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1C0EC04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4DB4572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p w14:paraId="5DAE4545" w14:textId="0CF0E7C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Fruit Production </w:t>
            </w:r>
          </w:p>
          <w:p w14:paraId="74A914AB" w14:textId="01A43F83">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158AD71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Sprayers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0A694CD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Motorized knapsack 15–25 L</w:t>
            </w:r>
          </w:p>
        </w:tc>
      </w:tr>
      <w:tr>
        <w:trPr>
          <w:trHeight w:val="55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D76E91C" w14:textId="47853E2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5D9D38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Fruit grading table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095B62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Stainless steel adjustable</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7F9D7621" w14:textId="204EA97D">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56C9DC4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Ladder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191384A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Aluminum 3–6 m extendable</w:t>
            </w:r>
          </w:p>
        </w:tc>
      </w:tr>
      <w:tr>
        <w:trPr>
          <w:trHeight w:val="285"/>
        </w:trPr>
        <w:tc>
          <w:tcPr>
            <w:tcBorders>
              <w:left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2A260534" w14:textId="224BF243">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0FA2701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Pruning tools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5B3C24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Secateurs/pruning saws stainless steel</w:t>
            </w:r>
          </w:p>
        </w:tc>
      </w:tr>
      <w:tr>
        <w:trPr>
          <w:trHeight w:val="555"/>
        </w:trPr>
        <w:tc>
          <w:tcPr>
            <w:tcBorders>
              <w:left w:val="single" w:color="000000" w:sz="8" w:space="0"/>
              <w:bottom w:val="single" w:color="000000" w:sz="8" w:space="0"/>
              <w:right w:val="single" w:color="000000" w:sz="8" w:space="0"/>
            </w:tcBorders>
            <w:tcMar>
              <w:left w:w="100" w:type="dxa"/>
              <w:top w:w="0" w:type="dxa"/>
              <w:right w:w="100" w:type="dxa"/>
              <w:bottom w:w="0" w:type="dxa"/>
            </w:tcMar>
            <w:tcW w:w="2310" w:type="dxa"/>
            <w:vMerge w:val="continue"/>
            <w:textDirection w:val="lrTb"/>
            <w:noWrap w:val="false"/>
          </w:tcPr>
          <w:p w14:paraId="6619210B" w14:textId="0E563949">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965" w:type="dxa"/>
            <w:textDirection w:val="lrTb"/>
            <w:noWrap w:val="false"/>
          </w:tcPr>
          <w:p w14:paraId="6D1590B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Harvesting baskets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580" w:type="dxa"/>
            <w:textDirection w:val="lrTb"/>
            <w:noWrap w:val="false"/>
          </w:tcPr>
          <w:p w14:paraId="6F5CAD2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Ventilated plastic 20–30 kg</w:t>
            </w:r>
          </w:p>
        </w:tc>
      </w:tr>
    </w:tbl>
    <w:p w14:paraId="5BEF15F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20825B11" w14:textId="05B3D214">
      <w:pPr>
        <w:pStyle w:val="794"/>
        <w:pBdr/>
        <w:spacing/>
        <w:ind/>
        <w:rPr>
          <w:rFonts w:ascii="Times New Roman" w:hAnsi="Times New Roman" w:cs="Times New Roman"/>
          <w:b/>
          <w:color w:val="000000" w:themeColor="text1"/>
          <w:sz w:val="24"/>
          <w:szCs w:val="24"/>
        </w:rPr>
      </w:pPr>
      <w:r/>
      <w:bookmarkStart w:id="7" w:name="_Toc233892406"/>
      <w:r>
        <w:rPr>
          <w:rFonts w:ascii="Times New Roman" w:hAnsi="Times New Roman" w:cs="Times New Roman"/>
          <w:b/>
          <w:color w:val="000000" w:themeColor="text1"/>
          <w:sz w:val="24"/>
          <w:szCs w:val="24"/>
        </w:rPr>
        <w:t xml:space="preserve">2.2. Food Processing sub-unit and Materials</w:t>
      </w:r>
      <w:bookmarkEnd w:id="7"/>
      <w:r/>
      <w:r>
        <w:rPr>
          <w:rFonts w:ascii="Times New Roman" w:hAnsi="Times New Roman" w:cs="Times New Roman"/>
          <w:b/>
          <w:color w:val="000000" w:themeColor="text1"/>
          <w:sz w:val="24"/>
          <w:szCs w:val="24"/>
        </w:rPr>
      </w:r>
    </w:p>
    <w:p w14:paraId="43EC5B3D" w14:textId="77777777">
      <w:pPr>
        <w:pBdr/>
        <w:spacing w:after="120" w:before="24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The Food Processing sub-unit of the Practical Training Unit (PTU) is designed as a modern facility for value addition, post-harvest handling, and food safety management. It functions as both a training laboratory and a commercial demonstration hub where students gain hands-on experience transforming raw agricultural materials from the PTU’s own production systems into marketable products. The sub-unit is divided into specialized modules and support facilities with the following details:</w:t>
      </w:r>
    </w:p>
    <w:p w14:paraId="5D75189D" w14:textId="77777777">
      <w:pPr>
        <w:pBdr/>
        <w:spacing w:after="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The facility is organized into specific zones to ensure biosecurity and hygiene, following a workflow that separates raw material reception, processing, packaging, and storage.</w:t>
      </w:r>
    </w:p>
    <w:p w14:paraId="703E16A0" w14:textId="77777777">
      <w:pPr>
        <w:numPr>
          <w:ilvl w:val="0"/>
          <w:numId w:val="22"/>
        </w:numPr>
        <w:pBdr/>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Animal-Based Processing Building (250 SQM):</w:t>
      </w:r>
      <w:r>
        <w:rPr>
          <w:rFonts w:ascii="Times New Roman" w:hAnsi="Times New Roman" w:eastAsia="Times New Roman" w:cs="Times New Roman"/>
        </w:rPr>
        <w:t xml:space="preserve"> Dedicated to dairy and meat processing.</w:t>
      </w:r>
      <w:r>
        <w:rPr>
          <w:rFonts w:ascii="Times New Roman" w:hAnsi="Times New Roman" w:cs="Times New Roman"/>
        </w:rPr>
      </w:r>
    </w:p>
    <w:p w14:paraId="18F6DEEE" w14:textId="77777777">
      <w:pPr>
        <w:numPr>
          <w:ilvl w:val="0"/>
          <w:numId w:val="22"/>
        </w:numPr>
        <w:pBdr/>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Plant-Based Processing Building (250 SQM):</w:t>
      </w:r>
      <w:r>
        <w:rPr>
          <w:rFonts w:ascii="Times New Roman" w:hAnsi="Times New Roman" w:eastAsia="Times New Roman" w:cs="Times New Roman"/>
        </w:rPr>
        <w:t xml:space="preserve"> Handles fruits, vegetables, grains, pastries, and specialty crops.</w:t>
      </w:r>
      <w:r>
        <w:rPr>
          <w:rFonts w:ascii="Times New Roman" w:hAnsi="Times New Roman" w:cs="Times New Roman"/>
        </w:rPr>
      </w:r>
    </w:p>
    <w:p w14:paraId="51D30C07" w14:textId="693ACDBC">
      <w:pPr>
        <w:numPr>
          <w:ilvl w:val="0"/>
          <w:numId w:val="22"/>
        </w:numPr>
        <w:pBdr/>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Greenhouse Dryer (200 SQM):</w:t>
      </w:r>
      <w:r>
        <w:rPr>
          <w:rFonts w:ascii="Times New Roman" w:hAnsi="Times New Roman" w:eastAsia="Times New Roman" w:cs="Times New Roman"/>
        </w:rPr>
        <w:t xml:space="preserve"> Provides solar-based dehydration for fruits, vegetables, and specialty crops.</w:t>
      </w:r>
      <w:r>
        <w:rPr>
          <w:rFonts w:ascii="Times New Roman" w:hAnsi="Times New Roman" w:cs="Times New Roman"/>
        </w:rPr>
      </w:r>
    </w:p>
    <w:p w14:paraId="288151E5" w14:textId="77777777">
      <w:pPr>
        <w:numPr>
          <w:ilvl w:val="0"/>
          <w:numId w:val="22"/>
        </w:numPr>
        <w:pBdr/>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Milling and Storage Building (250 SQM):</w:t>
      </w:r>
      <w:r>
        <w:rPr>
          <w:rFonts w:ascii="Times New Roman" w:hAnsi="Times New Roman" w:eastAsia="Times New Roman" w:cs="Times New Roman"/>
        </w:rPr>
        <w:t xml:space="preserve"> Focused on grain milling and adding value to flour.</w:t>
      </w:r>
      <w:r>
        <w:rPr>
          <w:rFonts w:ascii="Times New Roman" w:hAnsi="Times New Roman" w:cs="Times New Roman"/>
        </w:rPr>
      </w:r>
    </w:p>
    <w:p w14:paraId="042F8082" w14:textId="77777777">
      <w:pPr>
        <w:numPr>
          <w:ilvl w:val="0"/>
          <w:numId w:val="22"/>
        </w:numPr>
        <w:pBdr/>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Hygiene Facilities (80 SQM):</w:t>
      </w:r>
      <w:r>
        <w:rPr>
          <w:rFonts w:ascii="Times New Roman" w:hAnsi="Times New Roman" w:eastAsia="Times New Roman" w:cs="Times New Roman"/>
        </w:rPr>
        <w:t xml:space="preserve"> Essential for entry/exit protocols, equipped with high-pressure washers and biosecurity footbaths.</w:t>
      </w:r>
      <w:r>
        <w:rPr>
          <w:rFonts w:ascii="Times New Roman" w:hAnsi="Times New Roman" w:cs="Times New Roman"/>
        </w:rPr>
      </w:r>
    </w:p>
    <w:p w14:paraId="2D61A530" w14:textId="77777777">
      <w:pPr>
        <w:pBdr/>
        <w:spacing w:after="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The Key Processing Modules and Training Focus; </w:t>
      </w:r>
    </w:p>
    <w:p w14:paraId="160AF17D" w14:textId="77777777">
      <w:pPr>
        <w:pBdr/>
        <w:spacing w:after="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Each module includes specific learning objectives and specialized equipment:</w:t>
      </w:r>
    </w:p>
    <w:p w14:paraId="3CDF1417"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Animal-Based Processing Modules</w:t>
      </w:r>
      <w:r>
        <w:rPr>
          <w:rFonts w:ascii="Times New Roman" w:hAnsi="Times New Roman" w:eastAsia="Times New Roman" w:cs="Times New Roman"/>
          <w:color w:val="000000"/>
        </w:rPr>
      </w:r>
    </w:p>
    <w:p w14:paraId="55127B5D" w14:textId="77777777">
      <w:pPr>
        <w:numPr>
          <w:ilvl w:val="0"/>
          <w:numId w:val="1"/>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Dairy Processing:</w:t>
      </w:r>
      <w:r>
        <w:rPr>
          <w:rFonts w:ascii="Times New Roman" w:hAnsi="Times New Roman" w:eastAsia="Times New Roman" w:cs="Times New Roman"/>
        </w:rPr>
        <w:t xml:space="preserve"> Raw Milk Reception, Pasteurized Milk Production, Fermented Milk (Yogurt/Ikivuguto), Ice Cream Production, and Powdered Milk production.</w:t>
      </w:r>
      <w:r>
        <w:rPr>
          <w:rFonts w:ascii="Times New Roman" w:hAnsi="Times New Roman" w:cs="Times New Roman"/>
        </w:rPr>
      </w:r>
    </w:p>
    <w:p w14:paraId="411383CA" w14:textId="77777777">
      <w:pPr>
        <w:numPr>
          <w:ilvl w:val="0"/>
          <w:numId w:val="1"/>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Meat Processing:</w:t>
      </w:r>
      <w:r>
        <w:rPr>
          <w:rFonts w:ascii="Times New Roman" w:hAnsi="Times New Roman" w:eastAsia="Times New Roman" w:cs="Times New Roman"/>
        </w:rPr>
        <w:t xml:space="preserve"> Fresh Meat Production, which includes Slaughtering, Butchering, Grading, and Packaging.</w:t>
      </w:r>
      <w:r>
        <w:rPr>
          <w:rFonts w:ascii="Times New Roman" w:hAnsi="Times New Roman" w:cs="Times New Roman"/>
        </w:rPr>
      </w:r>
    </w:p>
    <w:p w14:paraId="24B3B087"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Plant-Based Processing Modules</w:t>
      </w:r>
      <w:r>
        <w:rPr>
          <w:rFonts w:ascii="Times New Roman" w:hAnsi="Times New Roman" w:eastAsia="Times New Roman" w:cs="Times New Roman"/>
          <w:color w:val="000000"/>
        </w:rPr>
      </w:r>
    </w:p>
    <w:p w14:paraId="1C880436" w14:textId="77777777">
      <w:pPr>
        <w:numPr>
          <w:ilvl w:val="0"/>
          <w:numId w:val="2"/>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Fruit &amp; Vegetable Processing:</w:t>
      </w:r>
      <w:r>
        <w:rPr>
          <w:rFonts w:ascii="Times New Roman" w:hAnsi="Times New Roman" w:eastAsia="Times New Roman" w:cs="Times New Roman"/>
        </w:rPr>
        <w:t xml:space="preserve"> Jam, Jelly, and Marmalade making; Nectar and Squash production; Dehydration (Dried Fruits/Vegetables); and Vinegar and Spirit production.</w:t>
      </w:r>
      <w:r>
        <w:rPr>
          <w:rFonts w:ascii="Times New Roman" w:hAnsi="Times New Roman" w:cs="Times New Roman"/>
        </w:rPr>
      </w:r>
    </w:p>
    <w:p w14:paraId="291644F0" w14:textId="77777777">
      <w:pPr>
        <w:numPr>
          <w:ilvl w:val="0"/>
          <w:numId w:val="2"/>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Grain &amp; Pastry Processing:</w:t>
      </w:r>
      <w:r>
        <w:rPr>
          <w:rFonts w:ascii="Times New Roman" w:hAnsi="Times New Roman" w:eastAsia="Times New Roman" w:cs="Times New Roman"/>
        </w:rPr>
        <w:t xml:space="preserve"> Fried Pastry (Chapatti, Doughnuts); Baked Pastry (Cakes, Biscuits); and Pasta Making.</w:t>
      </w:r>
      <w:r>
        <w:rPr>
          <w:rFonts w:ascii="Times New Roman" w:hAnsi="Times New Roman" w:cs="Times New Roman"/>
        </w:rPr>
      </w:r>
    </w:p>
    <w:p w14:paraId="565F834D" w14:textId="77777777">
      <w:pPr>
        <w:numPr>
          <w:ilvl w:val="0"/>
          <w:numId w:val="2"/>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Specialty Crop Processing:</w:t>
      </w:r>
      <w:r>
        <w:rPr>
          <w:rFonts w:ascii="Times New Roman" w:hAnsi="Times New Roman" w:eastAsia="Times New Roman" w:cs="Times New Roman"/>
        </w:rPr>
        <w:t xml:space="preserve"> Coffee Cherries (Pulping, Roasting, Cupping); Tea Leaves processing; Sugarcane (Sugar) production; and Soymilk and Tofu production.</w:t>
      </w:r>
      <w:r>
        <w:rPr>
          <w:rFonts w:ascii="Times New Roman" w:hAnsi="Times New Roman" w:cs="Times New Roman"/>
        </w:rPr>
      </w:r>
    </w:p>
    <w:p w14:paraId="293D1231" w14:textId="77777777">
      <w:pPr>
        <w:numPr>
          <w:ilvl w:val="0"/>
          <w:numId w:val="2"/>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Honey Processing:</w:t>
      </w:r>
      <w:r>
        <w:rPr>
          <w:rFonts w:ascii="Times New Roman" w:hAnsi="Times New Roman" w:eastAsia="Times New Roman" w:cs="Times New Roman"/>
        </w:rPr>
        <w:t xml:space="preserve"> Honey Extraction (Uncapping, Straining, Filtering) and Quality Testing.</w:t>
      </w:r>
      <w:r>
        <w:rPr>
          <w:rFonts w:ascii="Times New Roman" w:hAnsi="Times New Roman" w:cs="Times New Roman"/>
        </w:rPr>
      </w:r>
    </w:p>
    <w:p w14:paraId="26EFA6E3" w14:textId="77777777">
      <w:pPr>
        <w:numPr>
          <w:ilvl w:val="0"/>
          <w:numId w:val="2"/>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Milling and Storage:</w:t>
      </w:r>
      <w:r>
        <w:rPr>
          <w:rFonts w:ascii="Times New Roman" w:hAnsi="Times New Roman" w:eastAsia="Times New Roman" w:cs="Times New Roman"/>
        </w:rPr>
        <w:t xml:space="preserve"> Value addition to flour through the processing of raw grains.</w:t>
      </w:r>
      <w:r>
        <w:rPr>
          <w:rFonts w:ascii="Times New Roman" w:hAnsi="Times New Roman" w:cs="Times New Roman"/>
        </w:rPr>
      </w:r>
    </w:p>
    <w:p w14:paraId="52E21813"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Utilities and Safety Modules</w:t>
      </w:r>
      <w:r>
        <w:rPr>
          <w:rFonts w:ascii="Times New Roman" w:hAnsi="Times New Roman" w:eastAsia="Times New Roman" w:cs="Times New Roman"/>
          <w:color w:val="000000"/>
        </w:rPr>
      </w:r>
    </w:p>
    <w:p w14:paraId="46C260ED" w14:textId="69F0F752">
      <w:pPr>
        <w:numPr>
          <w:ilvl w:val="0"/>
          <w:numId w:val="3"/>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Cleaning In Place (CIP) Facilities:</w:t>
      </w:r>
      <w:r>
        <w:rPr>
          <w:rFonts w:ascii="Times New Roman" w:hAnsi="Times New Roman" w:eastAsia="Times New Roman" w:cs="Times New Roman"/>
        </w:rPr>
        <w:t xml:space="preserve"> Operation and validation of CIP systems, including effectiveness checks via swab and adenosine triphosphate (ATP) tests.</w:t>
      </w:r>
      <w:r>
        <w:rPr>
          <w:rFonts w:ascii="Times New Roman" w:hAnsi="Times New Roman" w:cs="Times New Roman"/>
        </w:rPr>
      </w:r>
    </w:p>
    <w:p w14:paraId="2A0D3DA3" w14:textId="77777777">
      <w:pPr>
        <w:numPr>
          <w:ilvl w:val="0"/>
          <w:numId w:val="3"/>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Steam Generation &amp; Utilities:</w:t>
      </w:r>
      <w:r>
        <w:rPr>
          <w:rFonts w:ascii="Times New Roman" w:hAnsi="Times New Roman" w:eastAsia="Times New Roman" w:cs="Times New Roman"/>
        </w:rPr>
        <w:t xml:space="preserve"> Steam generation and regulation for processes such as drying fermented tea leaves and monitoring steam supply for sugarcane evaporation.</w:t>
      </w:r>
      <w:r>
        <w:rPr>
          <w:rFonts w:ascii="Times New Roman" w:hAnsi="Times New Roman" w:cs="Times New Roman"/>
        </w:rPr>
      </w:r>
    </w:p>
    <w:p w14:paraId="59027260" w14:textId="77777777">
      <w:pPr>
        <w:numPr>
          <w:ilvl w:val="0"/>
          <w:numId w:val="3"/>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Wastewater Treatment:</w:t>
      </w:r>
      <w:r>
        <w:rPr>
          <w:rFonts w:ascii="Times New Roman" w:hAnsi="Times New Roman" w:eastAsia="Times New Roman" w:cs="Times New Roman"/>
        </w:rPr>
        <w:t xml:space="preserve"> Wastewater treatment techniques, recycling water for irrigation, water quality monitoring, and implementing circular resource use.</w:t>
      </w:r>
      <w:r>
        <w:rPr>
          <w:rFonts w:ascii="Times New Roman" w:hAnsi="Times New Roman" w:cs="Times New Roman"/>
        </w:rPr>
      </w:r>
    </w:p>
    <w:p w14:paraId="4DEAB6C0" w14:textId="77777777">
      <w:pPr>
        <w:numPr>
          <w:ilvl w:val="0"/>
          <w:numId w:val="3"/>
        </w:numPr>
        <w:pBdr/>
        <w:shd w:val="clear" w:color="auto" w:fill="ffffff"/>
        <w:spacing w:after="0" w:line="360" w:lineRule="auto"/>
        <w:ind/>
        <w:jc w:val="both"/>
        <w:rPr>
          <w:rFonts w:ascii="Times New Roman" w:hAnsi="Times New Roman" w:cs="Times New Roman"/>
        </w:rPr>
      </w:pPr>
      <w:r>
        <w:rPr>
          <w:rFonts w:ascii="Times New Roman" w:hAnsi="Times New Roman" w:eastAsia="Times New Roman" w:cs="Times New Roman"/>
          <w:b/>
          <w:bCs/>
        </w:rPr>
        <w:t xml:space="preserve">Quality Assurance:</w:t>
      </w:r>
      <w:r>
        <w:rPr>
          <w:rFonts w:ascii="Times New Roman" w:hAnsi="Times New Roman" w:eastAsia="Times New Roman" w:cs="Times New Roman"/>
        </w:rPr>
        <w:t xml:space="preserve"> Practical training in food safety management, including compliance with </w:t>
      </w:r>
      <w:r>
        <w:rPr>
          <w:rFonts w:ascii="Times New Roman" w:hAnsi="Times New Roman" w:eastAsia="Times New Roman" w:cs="Times New Roman"/>
          <w:b/>
          <w:bCs/>
        </w:rPr>
        <w:t xml:space="preserve">HACCP</w:t>
      </w:r>
      <w:r>
        <w:rPr>
          <w:rFonts w:ascii="Times New Roman" w:hAnsi="Times New Roman" w:eastAsia="Times New Roman" w:cs="Times New Roman"/>
        </w:rPr>
        <w:t xml:space="preserve"> (Hazard Analysis and Critical Control Points) and </w:t>
      </w:r>
      <w:r>
        <w:rPr>
          <w:rFonts w:ascii="Times New Roman" w:hAnsi="Times New Roman" w:eastAsia="Times New Roman" w:cs="Times New Roman"/>
          <w:b/>
          <w:bCs/>
        </w:rPr>
        <w:t xml:space="preserve">GMP</w:t>
      </w:r>
      <w:r>
        <w:rPr>
          <w:rFonts w:ascii="Times New Roman" w:hAnsi="Times New Roman" w:eastAsia="Times New Roman" w:cs="Times New Roman"/>
        </w:rPr>
        <w:t xml:space="preserve"> (Good Manufacturing Practices).</w:t>
      </w:r>
      <w:r>
        <w:rPr>
          <w:rFonts w:ascii="Times New Roman" w:hAnsi="Times New Roman" w:cs="Times New Roman"/>
        </w:rPr>
      </w:r>
    </w:p>
    <w:p w14:paraId="2C493F7E" w14:textId="0F8DAFF6">
      <w:pPr>
        <w:pBdr/>
        <w:shd w:val="clear" w:color="auto" w:fill="ffffff"/>
        <w:spacing w:after="0" w:line="360" w:lineRule="auto"/>
        <w:ind/>
        <w:jc w:val="both"/>
        <w:rPr>
          <w:rFonts w:ascii="Times New Roman" w:hAnsi="Times New Roman" w:cs="Times New Roman"/>
        </w:rPr>
      </w:pPr>
      <w:r>
        <w:rPr>
          <w:rFonts w:ascii="Times New Roman" w:hAnsi="Times New Roman" w:cs="Times New Roman"/>
        </w:rPr>
      </w:r>
    </w:p>
    <w:p w14:paraId="49A41C80" w14:textId="77777777">
      <w:pPr>
        <w:pBdr/>
        <w:shd w:val="clear" w:color="auto" w:fill="ffffff"/>
        <w:spacing w:after="0" w:line="360" w:lineRule="auto"/>
        <w:ind/>
        <w:jc w:val="both"/>
        <w:rPr>
          <w:rFonts w:ascii="Times New Roman" w:hAnsi="Times New Roman" w:cs="Times New Roman"/>
        </w:rPr>
      </w:pPr>
      <w:r>
        <w:rPr>
          <w:rFonts w:ascii="Times New Roman" w:hAnsi="Times New Roman" w:cs="Times New Roman"/>
        </w:rPr>
      </w:r>
    </w:p>
    <w:p w14:paraId="043C4CAE" w14:textId="77777777">
      <w:pPr>
        <w:pBdr/>
        <w:shd w:val="clear" w:color="auto" w:fill="ffffff"/>
        <w:spacing w:after="0" w:line="360" w:lineRule="auto"/>
        <w:ind/>
        <w:jc w:val="both"/>
        <w:rPr>
          <w:rFonts w:ascii="Times New Roman" w:hAnsi="Times New Roman" w:cs="Times New Roman"/>
        </w:rPr>
      </w:pPr>
      <w:r>
        <w:rPr>
          <w:rFonts w:ascii="Times New Roman" w:hAnsi="Times New Roman" w:cs="Times New Roman"/>
        </w:rPr>
      </w:r>
    </w:p>
    <w:p w14:paraId="42B926C5" w14:textId="77777777">
      <w:pPr>
        <w:pBdr/>
        <w:shd w:val="clear" w:color="auto" w:fill="ffffff"/>
        <w:spacing w:after="0" w:line="360" w:lineRule="auto"/>
        <w:ind/>
        <w:jc w:val="both"/>
        <w:rPr>
          <w:rFonts w:ascii="Times New Roman" w:hAnsi="Times New Roman" w:cs="Times New Roman"/>
        </w:rPr>
      </w:pPr>
      <w:r>
        <w:rPr>
          <w:rFonts w:ascii="Times New Roman" w:hAnsi="Times New Roman" w:cs="Times New Roman"/>
        </w:rPr>
      </w:r>
    </w:p>
    <w:p w14:paraId="4071B07A" w14:textId="1EB018E0">
      <w:pPr>
        <w:pStyle w:val="828"/>
        <w:pBdr/>
        <w:spacing/>
        <w:ind/>
        <w:rPr>
          <w:rFonts w:ascii="Times New Roman" w:hAnsi="Times New Roman" w:eastAsia="Times New Roman" w:cs="Times New Roman"/>
          <w:b/>
          <w:i w:val="0"/>
          <w:color w:val="000000" w:themeColor="text1"/>
          <w:sz w:val="24"/>
          <w:szCs w:val="24"/>
        </w:rPr>
      </w:pPr>
      <w:r/>
      <w:bookmarkStart w:id="8" w:name="_Toc233888967"/>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3</w:t>
        <w:fldChar w:fldCharType="end"/>
        <w:t xml:space="preserve">: </w:t>
      </w:r>
      <w:r>
        <w:rPr>
          <w:rFonts w:ascii="Times New Roman" w:hAnsi="Times New Roman" w:eastAsia="Times New Roman" w:cs="Times New Roman"/>
          <w:b/>
          <w:bCs/>
          <w:i w:val="0"/>
          <w:color w:val="000000" w:themeColor="text1"/>
          <w:sz w:val="24"/>
          <w:szCs w:val="24"/>
        </w:rPr>
        <w:t xml:space="preserve"> Integrated PTU Food Processing Units: Size, Modules, and Machinery</w:t>
      </w:r>
      <w:bookmarkEnd w:id="8"/>
      <w:r/>
      <w:r>
        <w:rPr>
          <w:rFonts w:ascii="Times New Roman" w:hAnsi="Times New Roman" w:eastAsia="Times New Roman" w:cs="Times New Roman"/>
          <w:b/>
          <w:i w:val="0"/>
          <w:color w:val="000000" w:themeColor="text1"/>
          <w:sz w:val="24"/>
          <w:szCs w:val="24"/>
        </w:rPr>
      </w:r>
    </w:p>
    <w:tbl>
      <w:tblPr>
        <w:tblStyle w:val="808"/>
        <w:tblInd w:w="0" w:type="dxa"/>
        <w:tblW w:w="98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25"/>
        <w:gridCol w:w="1469"/>
        <w:gridCol w:w="1189"/>
        <w:gridCol w:w="2092"/>
        <w:gridCol w:w="3715"/>
      </w:tblGrid>
      <w:tr>
        <w:trPr/>
        <w:tc>
          <w:tcPr>
            <w:tcBorders/>
            <w:tcW w:w="1425" w:type="dxa"/>
            <w:textDirection w:val="lrTb"/>
            <w:noWrap w:val="false"/>
          </w:tcPr>
          <w:p w14:paraId="648C1228"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cW w:w="1469" w:type="dxa"/>
            <w:textDirection w:val="lrTb"/>
            <w:noWrap w:val="false"/>
          </w:tcPr>
          <w:p w14:paraId="6CA18090"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Study Location (PTU Sub-Unit)</w:t>
            </w:r>
          </w:p>
        </w:tc>
        <w:tc>
          <w:tcPr>
            <w:tcBorders/>
            <w:tcW w:w="1189" w:type="dxa"/>
            <w:textDirection w:val="lrTb"/>
            <w:noWrap w:val="false"/>
          </w:tcPr>
          <w:p w14:paraId="0ACE1412"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Size (SQM)</w:t>
            </w:r>
          </w:p>
        </w:tc>
        <w:tc>
          <w:tcPr>
            <w:tcBorders/>
            <w:tcW w:w="2092" w:type="dxa"/>
            <w:textDirection w:val="lrTb"/>
            <w:noWrap w:val="false"/>
          </w:tcPr>
          <w:p w14:paraId="1EE49E7A"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Primary Learning Modules</w:t>
            </w:r>
          </w:p>
        </w:tc>
        <w:tc>
          <w:tcPr>
            <w:tcBorders/>
            <w:tcW w:w="3715" w:type="dxa"/>
            <w:textDirection w:val="lrTb"/>
            <w:noWrap w:val="false"/>
          </w:tcPr>
          <w:p w14:paraId="43A0810B"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Needed Machinery &amp; Utensils (Equipment and Tools)</w:t>
            </w:r>
          </w:p>
        </w:tc>
      </w:tr>
      <w:tr>
        <w:trPr/>
        <w:tc>
          <w:tcPr>
            <w:tcBorders/>
            <w:tcW w:w="1425" w:type="dxa"/>
            <w:textDirection w:val="lrTb"/>
            <w:noWrap w:val="false"/>
          </w:tcPr>
          <w:p w14:paraId="6ADB6E73"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Dairy Processing</w:t>
            </w:r>
            <w:r>
              <w:rPr>
                <w:rFonts w:ascii="Times New Roman" w:hAnsi="Times New Roman" w:eastAsia="Times New Roman" w:cs="Times New Roman"/>
              </w:rPr>
            </w:r>
          </w:p>
        </w:tc>
        <w:tc>
          <w:tcPr>
            <w:tcBorders/>
            <w:tcW w:w="1469" w:type="dxa"/>
            <w:textDirection w:val="lrTb"/>
            <w:noWrap w:val="false"/>
          </w:tcPr>
          <w:p w14:paraId="7F29294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Animal-Based Processing Building (Lab style)</w:t>
            </w:r>
          </w:p>
        </w:tc>
        <w:tc>
          <w:tcPr>
            <w:tcBorders/>
            <w:tcW w:w="1189" w:type="dxa"/>
            <w:textDirection w:val="lrTb"/>
            <w:noWrap w:val="false"/>
          </w:tcPr>
          <w:p w14:paraId="6921CAEE"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2092" w:type="dxa"/>
            <w:textDirection w:val="lrTb"/>
            <w:noWrap w:val="false"/>
          </w:tcPr>
          <w:p w14:paraId="5072FE9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Raw Milk Reception, Pasteurized Milk Production, Fermented Milk (Yogurt/Ikivuguto), Ice Cream Production, Powdered Milk.</w:t>
            </w:r>
          </w:p>
        </w:tc>
        <w:tc>
          <w:tcPr>
            <w:tcBorders/>
            <w:tcW w:w="3715" w:type="dxa"/>
            <w:textDirection w:val="lrTb"/>
            <w:noWrap w:val="false"/>
          </w:tcPr>
          <w:p w14:paraId="62250D62"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Pasteurizers (Batch/Plate), milk cooling tanks, homogenizers, incubators, cream separators, ice cream hardening machine, spray dryer, vacuum evaporators, freezer, and refrigerator. </w:t>
            </w:r>
          </w:p>
          <w:p w14:paraId="669D3FBE" w14:textId="2EB7F454">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Lactometer, pH meter, thermometer, alcohol gun, milk cans, sampling kits, antibiotic test kits, whisks, and graduated cylinders.</w:t>
            </w:r>
          </w:p>
        </w:tc>
      </w:tr>
      <w:tr>
        <w:trPr/>
        <w:tc>
          <w:tcPr>
            <w:tcBorders/>
            <w:tcW w:w="1425" w:type="dxa"/>
            <w:textDirection w:val="lrTb"/>
            <w:noWrap w:val="false"/>
          </w:tcPr>
          <w:p w14:paraId="466464CD"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Fruit &amp; Vegetable Processing</w:t>
            </w:r>
            <w:r>
              <w:rPr>
                <w:rFonts w:ascii="Times New Roman" w:hAnsi="Times New Roman" w:eastAsia="Times New Roman" w:cs="Times New Roman"/>
              </w:rPr>
            </w:r>
          </w:p>
        </w:tc>
        <w:tc>
          <w:tcPr>
            <w:tcBorders/>
            <w:tcW w:w="1469" w:type="dxa"/>
            <w:textDirection w:val="lrTb"/>
            <w:noWrap w:val="false"/>
          </w:tcPr>
          <w:p w14:paraId="147BE21E"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Plant-Based Processing Building &amp; Greenhouse Dryer</w:t>
            </w:r>
          </w:p>
        </w:tc>
        <w:tc>
          <w:tcPr>
            <w:tcBorders/>
            <w:tcW w:w="1189" w:type="dxa"/>
            <w:textDirection w:val="lrTb"/>
            <w:noWrap w:val="false"/>
          </w:tcPr>
          <w:p w14:paraId="6F9E63F9"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 (Lab) + 200 SQM (Dryer)</w:t>
            </w:r>
            <w:r>
              <w:rPr>
                <w:rFonts w:ascii="Times New Roman" w:hAnsi="Times New Roman" w:eastAsia="Times New Roman" w:cs="Times New Roman"/>
              </w:rPr>
            </w:r>
          </w:p>
        </w:tc>
        <w:tc>
          <w:tcPr>
            <w:tcBorders/>
            <w:tcW w:w="2092" w:type="dxa"/>
            <w:textDirection w:val="lrTb"/>
            <w:noWrap w:val="false"/>
          </w:tcPr>
          <w:p w14:paraId="2A6E47D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Jam, Jelly, and Marmalade Making; Nectar and Squash; Dried Fruits/Vegetables; Vinegar and Spirit Production.</w:t>
            </w:r>
          </w:p>
        </w:tc>
        <w:tc>
          <w:tcPr>
            <w:tcBorders/>
            <w:tcW w:w="3715" w:type="dxa"/>
            <w:textDirection w:val="lrTb"/>
            <w:noWrap w:val="false"/>
          </w:tcPr>
          <w:p w14:paraId="0A1A5192"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Pulping machine, slicing/peeling machines, boiling pans, solar/mechanical dryers, tunnel/belt dryers, fermentation tanks, distillation columns, and vacuum sealers. </w:t>
            </w:r>
          </w:p>
          <w:p w14:paraId="63C5AFE1" w14:textId="3CBF18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Refractometer, analytical balances, knives, filter cloths, vinometer, alcoholmeters, glass jars, and pH meters.</w:t>
            </w:r>
          </w:p>
        </w:tc>
      </w:tr>
      <w:tr>
        <w:trPr/>
        <w:tc>
          <w:tcPr>
            <w:tcBorders/>
            <w:tcW w:w="1425" w:type="dxa"/>
            <w:textDirection w:val="lrTb"/>
            <w:noWrap w:val="false"/>
          </w:tcPr>
          <w:p w14:paraId="437AB432"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Grain &amp; Pastry Processing</w:t>
            </w:r>
            <w:r>
              <w:rPr>
                <w:rFonts w:ascii="Times New Roman" w:hAnsi="Times New Roman" w:eastAsia="Times New Roman" w:cs="Times New Roman"/>
              </w:rPr>
            </w:r>
          </w:p>
        </w:tc>
        <w:tc>
          <w:tcPr>
            <w:tcBorders/>
            <w:tcW w:w="1469" w:type="dxa"/>
            <w:textDirection w:val="lrTb"/>
            <w:noWrap w:val="false"/>
          </w:tcPr>
          <w:p w14:paraId="555FCD9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Plant-Based Processing Building (Lab style)</w:t>
            </w:r>
          </w:p>
        </w:tc>
        <w:tc>
          <w:tcPr>
            <w:tcBorders/>
            <w:tcW w:w="1189" w:type="dxa"/>
            <w:textDirection w:val="lrTb"/>
            <w:noWrap w:val="false"/>
          </w:tcPr>
          <w:p w14:paraId="575FC5A4"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2092" w:type="dxa"/>
            <w:textDirection w:val="lrTb"/>
            <w:noWrap w:val="false"/>
          </w:tcPr>
          <w:p w14:paraId="102E1AF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Fried Pastry (Chapatti, Doughnuts); Baked Pastry (Cakes, Biscuits); Pasta Making.</w:t>
            </w:r>
          </w:p>
        </w:tc>
        <w:tc>
          <w:tcPr>
            <w:tcBorders/>
            <w:tcW w:w="3715" w:type="dxa"/>
            <w:textDirection w:val="lrTb"/>
            <w:noWrap w:val="false"/>
          </w:tcPr>
          <w:p w14:paraId="171C88F7"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Dough mixer, ovens, flour sifters (manual/auto), combination dough divider/rounders, proofer, deep fryer, and pasta extruders. </w:t>
            </w:r>
          </w:p>
          <w:p w14:paraId="53CD4F45" w14:textId="588C3D6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Rolling pins, stainless steel tables, cooling racks, trays, ravioli cutters, gnocchi boards, and weighing scales.</w:t>
            </w:r>
          </w:p>
        </w:tc>
      </w:tr>
      <w:tr>
        <w:trPr/>
        <w:tc>
          <w:tcPr>
            <w:tcBorders/>
            <w:tcW w:w="1425" w:type="dxa"/>
            <w:textDirection w:val="lrTb"/>
            <w:noWrap w:val="false"/>
          </w:tcPr>
          <w:p w14:paraId="349B28F2"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Meat Processing</w:t>
            </w:r>
            <w:r>
              <w:rPr>
                <w:rFonts w:ascii="Times New Roman" w:hAnsi="Times New Roman" w:eastAsia="Times New Roman" w:cs="Times New Roman"/>
              </w:rPr>
            </w:r>
          </w:p>
        </w:tc>
        <w:tc>
          <w:tcPr>
            <w:tcBorders/>
            <w:tcW w:w="1469" w:type="dxa"/>
            <w:textDirection w:val="lrTb"/>
            <w:noWrap w:val="false"/>
          </w:tcPr>
          <w:p w14:paraId="3F7E98A4"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Animal-Based Processing Building (Lab style)</w:t>
            </w:r>
          </w:p>
        </w:tc>
        <w:tc>
          <w:tcPr>
            <w:tcBorders/>
            <w:tcW w:w="1189" w:type="dxa"/>
            <w:textDirection w:val="lrTb"/>
            <w:noWrap w:val="false"/>
          </w:tcPr>
          <w:p w14:paraId="76B2A56A"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2092" w:type="dxa"/>
            <w:textDirection w:val="lrTb"/>
            <w:noWrap w:val="false"/>
          </w:tcPr>
          <w:p w14:paraId="3E80CB8B"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Fresh Meat Production (Slaughtering, Butchering, Grading, and Packaging).</w:t>
            </w:r>
          </w:p>
        </w:tc>
        <w:tc>
          <w:tcPr>
            <w:tcBorders/>
            <w:tcW w:w="3715" w:type="dxa"/>
            <w:textDirection w:val="lrTb"/>
            <w:noWrap w:val="false"/>
          </w:tcPr>
          <w:p w14:paraId="1CED596C"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Stunning box, hoist, skin remover/dehider machine, scalding tank, splitting saw machine, band saw, meat tenderizer, vacuum packaging machine, and chilling room/freezer. </w:t>
            </w:r>
          </w:p>
          <w:p w14:paraId="6E0D6D08" w14:textId="7D36086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Captive bolt/electrical stunners, trimming/deboning knives, sharpeners, hooks, trolleys, pH meters, and electronic scales.</w:t>
            </w:r>
          </w:p>
        </w:tc>
      </w:tr>
      <w:tr>
        <w:trPr/>
        <w:tc>
          <w:tcPr>
            <w:tcBorders/>
            <w:tcW w:w="1425" w:type="dxa"/>
            <w:textDirection w:val="lrTb"/>
            <w:noWrap w:val="false"/>
          </w:tcPr>
          <w:p w14:paraId="30283BFC"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Specialty Crop Processing</w:t>
            </w:r>
            <w:r>
              <w:rPr>
                <w:rFonts w:ascii="Times New Roman" w:hAnsi="Times New Roman" w:eastAsia="Times New Roman" w:cs="Times New Roman"/>
              </w:rPr>
            </w:r>
          </w:p>
        </w:tc>
        <w:tc>
          <w:tcPr>
            <w:tcBorders/>
            <w:tcW w:w="1469" w:type="dxa"/>
            <w:textDirection w:val="lrTb"/>
            <w:noWrap w:val="false"/>
          </w:tcPr>
          <w:p w14:paraId="12920D3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Plant-Based Processing Building &amp; Greenhouse Dryer</w:t>
            </w:r>
          </w:p>
        </w:tc>
        <w:tc>
          <w:tcPr>
            <w:tcBorders/>
            <w:tcW w:w="1189" w:type="dxa"/>
            <w:textDirection w:val="lrTb"/>
            <w:noWrap w:val="false"/>
          </w:tcPr>
          <w:p w14:paraId="0811A23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 (Lab) + 200 SQM (Dryer)</w:t>
            </w:r>
            <w:r>
              <w:rPr>
                <w:rFonts w:ascii="Times New Roman" w:hAnsi="Times New Roman" w:eastAsia="Times New Roman" w:cs="Times New Roman"/>
              </w:rPr>
            </w:r>
          </w:p>
        </w:tc>
        <w:tc>
          <w:tcPr>
            <w:tcBorders/>
            <w:tcW w:w="2092" w:type="dxa"/>
            <w:textDirection w:val="lrTb"/>
            <w:noWrap w:val="false"/>
          </w:tcPr>
          <w:p w14:paraId="2788EA6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Coffee Cherries (Pulping, Roasting, Cupping); Tea Leaves; Sugarcane (Sugar); Soymilk and Tofu.</w:t>
            </w:r>
          </w:p>
        </w:tc>
        <w:tc>
          <w:tcPr>
            <w:tcBorders/>
            <w:tcW w:w="3715" w:type="dxa"/>
            <w:textDirection w:val="lrTb"/>
            <w:noWrap w:val="false"/>
          </w:tcPr>
          <w:p w14:paraId="4A9543C4" w14:textId="78F5F8D9">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Coffee pulper/roaster/grinder, tea rotorvane/CTC rollers/fluid bed dryer, sugarcane mills/clarifiers/centrifuges, soy grinder/presser, freeze dryers and greenhouse dryers.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Moisture meters, polarimeters, cupping spoons/tables, tea tasting cups, pH meters, water activity meter and filters.</w:t>
            </w:r>
          </w:p>
        </w:tc>
      </w:tr>
      <w:tr>
        <w:trPr/>
        <w:tc>
          <w:tcPr>
            <w:tcBorders/>
            <w:tcW w:w="1425" w:type="dxa"/>
            <w:textDirection w:val="lrTb"/>
            <w:noWrap w:val="false"/>
          </w:tcPr>
          <w:p w14:paraId="7A5900A0"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Honey Processing</w:t>
            </w:r>
            <w:r>
              <w:rPr>
                <w:rFonts w:ascii="Times New Roman" w:hAnsi="Times New Roman" w:eastAsia="Times New Roman" w:cs="Times New Roman"/>
              </w:rPr>
            </w:r>
          </w:p>
        </w:tc>
        <w:tc>
          <w:tcPr>
            <w:tcBorders/>
            <w:tcW w:w="1469" w:type="dxa"/>
            <w:textDirection w:val="lrTb"/>
            <w:noWrap w:val="false"/>
          </w:tcPr>
          <w:p w14:paraId="4379EF9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Plant-Based Processing Building (Lab style)</w:t>
            </w:r>
          </w:p>
        </w:tc>
        <w:tc>
          <w:tcPr>
            <w:tcBorders/>
            <w:tcW w:w="1189" w:type="dxa"/>
            <w:textDirection w:val="lrTb"/>
            <w:noWrap w:val="false"/>
          </w:tcPr>
          <w:p w14:paraId="37EA2CAF"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2092" w:type="dxa"/>
            <w:textDirection w:val="lrTb"/>
            <w:noWrap w:val="false"/>
          </w:tcPr>
          <w:p w14:paraId="2DC0F67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Honey Extraction (Uncapping, Straining, Filtering) and Quality Testing.</w:t>
            </w:r>
          </w:p>
        </w:tc>
        <w:tc>
          <w:tcPr>
            <w:tcBorders/>
            <w:tcW w:w="3715" w:type="dxa"/>
            <w:textDirection w:val="lrTb"/>
            <w:noWrap w:val="false"/>
          </w:tcPr>
          <w:p w14:paraId="5EBBF23E"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Bee blower, honey supers, heating jackets, honey comb uncapping machine, centrifugal extractor, wax press, and honey filtering machine.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Uncapping knives, refractometer, straining cloths, buckets, sieves, and pH meters.</w:t>
            </w:r>
          </w:p>
        </w:tc>
      </w:tr>
      <w:tr>
        <w:trPr/>
        <w:tc>
          <w:tcPr>
            <w:tcBorders/>
            <w:tcW w:w="1425" w:type="dxa"/>
            <w:textDirection w:val="lrTb"/>
            <w:noWrap w:val="false"/>
          </w:tcPr>
          <w:p w14:paraId="71170526"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Milling and Storage</w:t>
            </w:r>
            <w:r>
              <w:rPr>
                <w:rFonts w:ascii="Times New Roman" w:hAnsi="Times New Roman" w:eastAsia="Times New Roman" w:cs="Times New Roman"/>
              </w:rPr>
            </w:r>
          </w:p>
        </w:tc>
        <w:tc>
          <w:tcPr>
            <w:tcBorders/>
            <w:tcW w:w="1469" w:type="dxa"/>
            <w:textDirection w:val="lrTb"/>
            <w:noWrap w:val="false"/>
          </w:tcPr>
          <w:p w14:paraId="1B2D647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Grain milling and storage building</w:t>
            </w:r>
          </w:p>
        </w:tc>
        <w:tc>
          <w:tcPr>
            <w:tcBorders/>
            <w:tcW w:w="1189" w:type="dxa"/>
            <w:textDirection w:val="lrTb"/>
            <w:noWrap w:val="false"/>
          </w:tcPr>
          <w:p w14:paraId="3772EA3D"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2092" w:type="dxa"/>
            <w:textDirection w:val="lrTb"/>
            <w:noWrap w:val="false"/>
          </w:tcPr>
          <w:p w14:paraId="4E90FFE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Dedicated to "value addition to flour" by processing raw grains.</w:t>
            </w:r>
          </w:p>
        </w:tc>
        <w:tc>
          <w:tcPr>
            <w:tcBorders/>
            <w:tcW w:w="3715" w:type="dxa"/>
            <w:textDirection w:val="lrTb"/>
            <w:noWrap w:val="false"/>
          </w:tcPr>
          <w:p w14:paraId="2BB6F1CD"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Heavy-duty grinders, hummer milling machines, automatic flour sifters, silos, weighing bridge, and air blowers.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Moisture meters, analytical balances, and grain samplers.</w:t>
            </w:r>
          </w:p>
        </w:tc>
      </w:tr>
      <w:tr>
        <w:trPr/>
        <w:tc>
          <w:tcPr>
            <w:tcBorders/>
            <w:tcW w:w="1425" w:type="dxa"/>
            <w:textDirection w:val="lrTb"/>
            <w:noWrap w:val="false"/>
          </w:tcPr>
          <w:p w14:paraId="23B5EB66"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2CIP Facilities </w:t>
            </w:r>
          </w:p>
        </w:tc>
        <w:tc>
          <w:tcPr>
            <w:tcBorders/>
            <w:tcW w:w="1469" w:type="dxa"/>
            <w:textDirection w:val="lrTb"/>
            <w:noWrap w:val="false"/>
          </w:tcPr>
          <w:p w14:paraId="1514775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 based buildings and Animal based processing </w:t>
            </w:r>
          </w:p>
        </w:tc>
        <w:tc>
          <w:tcPr>
            <w:tcBorders/>
            <w:tcW w:w="1189" w:type="dxa"/>
            <w:textDirection w:val="lrTb"/>
            <w:noWrap w:val="false"/>
          </w:tcPr>
          <w:p w14:paraId="4D32B219"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15*2 SQM</w:t>
            </w:r>
          </w:p>
        </w:tc>
        <w:tc>
          <w:tcPr>
            <w:shd w:val="clear" w:color="auto" w:fill="ffffff"/>
            <w:tcBorders>
              <w:bottom w:val="single" w:color="000000" w:sz="4" w:space="0"/>
            </w:tcBorders>
            <w:tcW w:w="2092" w:type="dxa"/>
            <w:textDirection w:val="lrTb"/>
            <w:noWrap w:val="false"/>
          </w:tcPr>
          <w:p w14:paraId="2CE74818"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Cleaning In Place (CIP) system</w:t>
            </w:r>
            <w:r>
              <w:rPr>
                <w:rFonts w:ascii="Times New Roman" w:hAnsi="Times New Roman" w:eastAsia="Times New Roman" w:cs="Times New Roman"/>
              </w:rPr>
              <w:t xml:space="preserve"> operation and validation; checking effectiveness via SWAB and ATP tests.</w:t>
            </w:r>
          </w:p>
        </w:tc>
        <w:tc>
          <w:tcPr>
            <w:shd w:val="clear" w:color="auto" w:fill="ffffff"/>
            <w:tcBorders>
              <w:bottom w:val="single" w:color="000000" w:sz="4" w:space="0"/>
            </w:tcBorders>
            <w:tcW w:w="3715" w:type="dxa"/>
            <w:textDirection w:val="lrTb"/>
            <w:noWrap w:val="false"/>
          </w:tcPr>
          <w:p w14:paraId="3FC5807C"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CIP Machine/System, high-pressure washer machine, pressure cleaners, air compressor, milk pumps, and horse pipes. </w:t>
            </w:r>
            <w:r>
              <w:rPr>
                <w:rFonts w:ascii="Times New Roman" w:hAnsi="Times New Roman" w:eastAsia="Times New Roman" w:cs="Times New Roman"/>
                <w:b/>
                <w:bCs/>
              </w:rPr>
              <w:t xml:space="preserve">Materials/Tools:</w:t>
            </w:r>
            <w:r>
              <w:rPr>
                <w:rFonts w:ascii="Times New Roman" w:hAnsi="Times New Roman" w:eastAsia="Times New Roman" w:cs="Times New Roman"/>
              </w:rPr>
              <w:t xml:space="preserve"> Nitric acid, caustic soda, sulphuric acid, Magadi soda, sanitizers, ATP test kits, SWAB test kits, and pH meters</w:t>
            </w:r>
            <w:r>
              <w:rPr>
                <w:rFonts w:ascii="Times New Roman" w:hAnsi="Times New Roman" w:eastAsia="Times New Roman" w:cs="Times New Roman"/>
                <w:b/>
                <w:bCs/>
              </w:rPr>
            </w:r>
          </w:p>
        </w:tc>
      </w:tr>
      <w:tr>
        <w:trPr/>
        <w:tc>
          <w:tcPr>
            <w:tcBorders>
              <w:bottom w:val="single" w:color="000000" w:sz="4" w:space="0"/>
            </w:tcBorders>
            <w:tcW w:w="1425" w:type="dxa"/>
            <w:textDirection w:val="lrTb"/>
            <w:noWrap w:val="false"/>
          </w:tcPr>
          <w:p w14:paraId="7F0F8832"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Steam Generation &amp; Utilities</w:t>
            </w:r>
          </w:p>
        </w:tc>
        <w:tc>
          <w:tcPr>
            <w:tcBorders>
              <w:bottom w:val="single" w:color="000000" w:sz="4" w:space="0"/>
            </w:tcBorders>
            <w:tcW w:w="1469" w:type="dxa"/>
            <w:textDirection w:val="lrTb"/>
            <w:noWrap w:val="false"/>
          </w:tcPr>
          <w:p w14:paraId="11E8F1D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Plant-Based Processing Building</w:t>
            </w:r>
          </w:p>
        </w:tc>
        <w:tc>
          <w:tcPr>
            <w:tcBorders>
              <w:bottom w:val="single" w:color="000000" w:sz="4" w:space="0"/>
            </w:tcBorders>
            <w:tcW w:w="1189" w:type="dxa"/>
            <w:textDirection w:val="lrTb"/>
            <w:noWrap w:val="false"/>
          </w:tcPr>
          <w:p w14:paraId="30924209"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10 SQM Block</w:t>
            </w:r>
          </w:p>
        </w:tc>
        <w:tc>
          <w:tcPr>
            <w:shd w:val="clear" w:color="auto" w:fill="ffffff"/>
            <w:tcBorders>
              <w:bottom w:val="single" w:color="000000" w:sz="4" w:space="0"/>
            </w:tcBorders>
            <w:tcW w:w="2092" w:type="dxa"/>
            <w:textDirection w:val="lrTb"/>
            <w:noWrap w:val="false"/>
          </w:tcPr>
          <w:p w14:paraId="75FC1BF2"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Steam generation; Regulation of steam for drying fermented and steamed tea leaves; monitoring steam supply during sugarcane evaporation.</w:t>
            </w:r>
          </w:p>
        </w:tc>
        <w:tc>
          <w:tcPr>
            <w:shd w:val="clear" w:color="auto" w:fill="ffffff"/>
            <w:tcBorders>
              <w:bottom w:val="single" w:color="000000" w:sz="4" w:space="0"/>
            </w:tcBorders>
            <w:tcW w:w="3715" w:type="dxa"/>
            <w:textDirection w:val="lrTb"/>
            <w:noWrap w:val="false"/>
          </w:tcPr>
          <w:p w14:paraId="63C91A75"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w:t>
            </w:r>
            <w:r>
              <w:rPr>
                <w:rFonts w:ascii="Times New Roman" w:hAnsi="Times New Roman" w:eastAsia="Times New Roman" w:cs="Times New Roman"/>
                <w:b/>
                <w:bCs/>
              </w:rPr>
              <w:t xml:space="preserve">Steam boiler</w:t>
            </w:r>
            <w:r>
              <w:rPr>
                <w:rFonts w:ascii="Times New Roman" w:hAnsi="Times New Roman" w:eastAsia="Times New Roman" w:cs="Times New Roman"/>
              </w:rPr>
              <w:t xml:space="preserve">, water tanks, turbine, pumps, and pipes. </w:t>
            </w:r>
            <w:r>
              <w:rPr>
                <w:rFonts w:ascii="Times New Roman" w:hAnsi="Times New Roman" w:eastAsia="Times New Roman" w:cs="Times New Roman"/>
                <w:b/>
                <w:bCs/>
              </w:rPr>
              <w:t xml:space="preserve">Tools/Materials:</w:t>
            </w:r>
            <w:r>
              <w:rPr>
                <w:rFonts w:ascii="Times New Roman" w:hAnsi="Times New Roman" w:eastAsia="Times New Roman" w:cs="Times New Roman"/>
              </w:rPr>
              <w:t xml:space="preserve"> </w:t>
            </w:r>
            <w:r>
              <w:rPr>
                <w:rFonts w:ascii="Times New Roman" w:hAnsi="Times New Roman" w:eastAsia="Times New Roman" w:cs="Times New Roman"/>
                <w:b/>
                <w:bCs/>
              </w:rPr>
              <w:t xml:space="preserve">Pressure gauges</w:t>
            </w:r>
            <w:r>
              <w:rPr>
                <w:rFonts w:ascii="Times New Roman" w:hAnsi="Times New Roman" w:eastAsia="Times New Roman" w:cs="Times New Roman"/>
              </w:rPr>
              <w:t xml:space="preserve">, heat-resistant gloves, and boiler water level check tools.</w:t>
            </w:r>
            <w:r>
              <w:rPr>
                <w:rFonts w:ascii="Times New Roman" w:hAnsi="Times New Roman" w:eastAsia="Times New Roman" w:cs="Times New Roman"/>
                <w:b/>
                <w:bCs/>
              </w:rPr>
            </w:r>
          </w:p>
        </w:tc>
      </w:tr>
      <w:tr>
        <w:trPr/>
        <w:tc>
          <w:tcPr>
            <w:shd w:val="clear" w:color="auto" w:fill="ffffff"/>
            <w:tcBorders>
              <w:bottom w:val="single" w:color="000000" w:sz="4" w:space="0"/>
            </w:tcBorders>
            <w:tcW w:w="1425" w:type="dxa"/>
            <w:textDirection w:val="lrTb"/>
            <w:noWrap w:val="false"/>
          </w:tcPr>
          <w:p w14:paraId="322B1E96"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Wastewater Treatment Facility</w:t>
            </w:r>
          </w:p>
        </w:tc>
        <w:tc>
          <w:tcPr>
            <w:shd w:val="clear" w:color="auto" w:fill="ffffff"/>
            <w:tcBorders>
              <w:bottom w:val="single" w:color="000000" w:sz="4" w:space="0"/>
            </w:tcBorders>
            <w:tcW w:w="1469" w:type="dxa"/>
            <w:textDirection w:val="lrTb"/>
            <w:noWrap w:val="false"/>
          </w:tcPr>
          <w:p w14:paraId="3B4128F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Integrated PTU Waste Management Zone</w:t>
            </w:r>
          </w:p>
        </w:tc>
        <w:tc>
          <w:tcPr>
            <w:shd w:val="clear" w:color="auto" w:fill="ffffff"/>
            <w:tcBorders>
              <w:bottom w:val="single" w:color="000000" w:sz="4" w:space="0"/>
            </w:tcBorders>
            <w:tcW w:w="1189" w:type="dxa"/>
            <w:textDirection w:val="lrTb"/>
            <w:noWrap w:val="false"/>
          </w:tcPr>
          <w:p w14:paraId="4DCCBE8E"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Integrated into PTU Layout</w:t>
            </w:r>
          </w:p>
        </w:tc>
        <w:tc>
          <w:tcPr>
            <w:shd w:val="clear" w:color="auto" w:fill="ffffff"/>
            <w:tcBorders>
              <w:bottom w:val="single" w:color="000000" w:sz="4" w:space="0"/>
            </w:tcBorders>
            <w:tcW w:w="2092" w:type="dxa"/>
            <w:textDirection w:val="lrTb"/>
            <w:noWrap w:val="false"/>
          </w:tcPr>
          <w:p w14:paraId="42B723FA"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Wastewater treatment techniques</w:t>
            </w:r>
            <w:r>
              <w:rPr>
                <w:rFonts w:ascii="Times New Roman" w:hAnsi="Times New Roman" w:eastAsia="Times New Roman" w:cs="Times New Roman"/>
              </w:rPr>
              <w:t xml:space="preserve">; Recycling water for irrigation; </w:t>
            </w:r>
            <w:r>
              <w:rPr>
                <w:rFonts w:ascii="Times New Roman" w:hAnsi="Times New Roman" w:eastAsia="Times New Roman" w:cs="Times New Roman"/>
                <w:b/>
                <w:bCs/>
              </w:rPr>
              <w:t xml:space="preserve">Water quality monitoring</w:t>
            </w:r>
            <w:r>
              <w:rPr>
                <w:rFonts w:ascii="Times New Roman" w:hAnsi="Times New Roman" w:eastAsia="Times New Roman" w:cs="Times New Roman"/>
              </w:rPr>
              <w:t xml:space="preserve"> and testing protocols; implementing circular resource use.</w:t>
            </w:r>
          </w:p>
        </w:tc>
        <w:tc>
          <w:tcPr>
            <w:shd w:val="clear" w:color="auto" w:fill="ffffff"/>
            <w:tcBorders>
              <w:bottom w:val="single" w:color="000000" w:sz="4" w:space="0"/>
            </w:tcBorders>
            <w:tcW w:w="3715" w:type="dxa"/>
            <w:textDirection w:val="lrTb"/>
            <w:noWrap w:val="false"/>
          </w:tcPr>
          <w:p w14:paraId="06EC1839"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Wastewater treatment system, recycling pumps, and water quality testing laboratory facilities.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Water testing kits, pH meters, and sampling containers.</w:t>
            </w:r>
            <w:r>
              <w:rPr>
                <w:rFonts w:ascii="Times New Roman" w:hAnsi="Times New Roman" w:eastAsia="Times New Roman" w:cs="Times New Roman"/>
                <w:b/>
                <w:bCs/>
              </w:rPr>
            </w:r>
          </w:p>
        </w:tc>
      </w:tr>
    </w:tbl>
    <w:p w14:paraId="3DAEBF67" w14:textId="77777777">
      <w:pPr>
        <w:pBdr/>
        <w:spacing w:after="120" w:before="120" w:line="360"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Note on Food Processing:</w:t>
      </w:r>
      <w:r>
        <w:rPr>
          <w:rFonts w:ascii="Times New Roman" w:hAnsi="Times New Roman" w:eastAsia="Times New Roman" w:cs="Times New Roman"/>
        </w:rPr>
        <w:t xml:space="preserve"> This unit is engineered to comply with international </w:t>
      </w:r>
      <w:r>
        <w:rPr>
          <w:rFonts w:ascii="Times New Roman" w:hAnsi="Times New Roman" w:eastAsia="Times New Roman" w:cs="Times New Roman"/>
          <w:b/>
          <w:bCs/>
        </w:rPr>
        <w:t xml:space="preserve">HACCP and GMP standards</w:t>
      </w:r>
      <w:r>
        <w:rPr>
          <w:rFonts w:ascii="Times New Roman" w:hAnsi="Times New Roman" w:eastAsia="Times New Roman" w:cs="Times New Roman"/>
        </w:rPr>
        <w:t xml:space="preserve">, ensuring that students acquire competencies in quality assurance and hygienic processing practices. The facility layout includes specialized zones for raw material reception, processing, and packaging to prevent cross-contamination, supported by a dedicated Food Safety Laboratory for microbial and physicochemical verification of products.</w:t>
      </w:r>
    </w:p>
    <w:p w14:paraId="0BC40660" w14:textId="5BE22114">
      <w:pPr>
        <w:pStyle w:val="828"/>
        <w:pBdr/>
        <w:spacing/>
        <w:ind/>
        <w:rPr>
          <w:rFonts w:ascii="Times New Roman" w:hAnsi="Times New Roman" w:eastAsia="Times New Roman" w:cs="Times New Roman"/>
          <w:b/>
          <w:bCs/>
          <w:i w:val="0"/>
          <w:color w:val="000000" w:themeColor="text1"/>
          <w:sz w:val="24"/>
          <w:szCs w:val="24"/>
        </w:rPr>
      </w:pPr>
      <w:r/>
      <w:bookmarkStart w:id="9" w:name="_Toc233888968"/>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4</w:t>
        <w:fldChar w:fldCharType="end"/>
        <w:t xml:space="preserve">: </w:t>
      </w:r>
      <w:r>
        <w:rPr>
          <w:rFonts w:ascii="Times New Roman" w:hAnsi="Times New Roman" w:eastAsia="Times New Roman" w:cs="Times New Roman"/>
          <w:b/>
          <w:bCs/>
          <w:i w:val="0"/>
          <w:color w:val="000000" w:themeColor="text1"/>
          <w:sz w:val="24"/>
          <w:szCs w:val="24"/>
        </w:rPr>
        <w:t xml:space="preserve">Food Processing Equipment &amp; Tools Specifications</w:t>
      </w:r>
      <w:bookmarkEnd w:id="9"/>
      <w:r/>
      <w:r>
        <w:rPr>
          <w:rFonts w:ascii="Times New Roman" w:hAnsi="Times New Roman" w:eastAsia="Times New Roman" w:cs="Times New Roman"/>
          <w:b/>
          <w:bCs/>
          <w:i w:val="0"/>
          <w:color w:val="000000" w:themeColor="text1"/>
          <w:sz w:val="24"/>
          <w:szCs w:val="24"/>
        </w:rPr>
      </w:r>
    </w:p>
    <w:tbl>
      <w:tblPr>
        <w:tblStyle w:val="822"/>
        <w:tblW w:w="0" w:type="auto"/>
        <w:tblBorders/>
        <w:tblLook w:val="04A0" w:firstRow="1" w:lastRow="0" w:firstColumn="1" w:lastColumn="0" w:noHBand="0" w:noVBand="1"/>
      </w:tblPr>
      <w:tblGrid>
        <w:gridCol w:w="2057"/>
        <w:gridCol w:w="2440"/>
        <w:gridCol w:w="5393"/>
      </w:tblGrid>
      <w:tr>
        <w:trPr/>
        <w:tc>
          <w:tcPr>
            <w:tcBorders/>
            <w:tcW w:w="0" w:type="auto"/>
            <w:textDirection w:val="lrTb"/>
            <w:noWrap w:val="false"/>
          </w:tcPr>
          <w:p w14:paraId="2EFD3161"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Category</w:t>
            </w:r>
          </w:p>
        </w:tc>
        <w:tc>
          <w:tcPr>
            <w:tcBorders/>
            <w:tcW w:w="0" w:type="auto"/>
            <w:textDirection w:val="lrTb"/>
            <w:noWrap w:val="false"/>
          </w:tcPr>
          <w:p w14:paraId="425C1D0C"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Equipment/Tools</w:t>
            </w:r>
          </w:p>
        </w:tc>
        <w:tc>
          <w:tcPr>
            <w:tcBorders/>
            <w:tcW w:w="0" w:type="auto"/>
            <w:textDirection w:val="lrTb"/>
            <w:noWrap w:val="false"/>
          </w:tcPr>
          <w:p w14:paraId="62D321C9"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Recommended Specifications</w:t>
            </w:r>
          </w:p>
        </w:tc>
      </w:tr>
      <w:tr>
        <w:trPr/>
        <w:tc>
          <w:tcPr>
            <w:tcBorders/>
            <w:tcW w:w="0" w:type="auto"/>
            <w:vMerge w:val="restart"/>
            <w:textDirection w:val="lrTb"/>
            <w:noWrap w:val="false"/>
          </w:tcPr>
          <w:p w14:paraId="724E387C" w14:textId="77777777">
            <w:pPr>
              <w:pBdr/>
              <w:spacing/>
              <w:ind/>
              <w:jc w:val="both"/>
              <w:rPr>
                <w:rFonts w:ascii="Times New Roman" w:hAnsi="Times New Roman" w:eastAsia="Times New Roman" w:cs="Times New Roman"/>
                <w:b/>
                <w:bCs/>
                <w:lang w:val="en-US"/>
              </w:rPr>
            </w:pPr>
            <w:r/>
            <w:commentRangeStart w:id="2"/>
            <w:hyperlink r:id="rId13" w:tooltip="ca://s?q=Dairy_processing_equipment_specifications" w:history="1">
              <w:r>
                <w:rPr>
                  <w:rStyle w:val="820"/>
                  <w:rFonts w:ascii="Times New Roman" w:hAnsi="Times New Roman" w:eastAsia="Times New Roman" w:cs="Times New Roman"/>
                  <w:b/>
                  <w:bCs/>
                  <w:color w:val="auto"/>
                  <w:u w:val="none"/>
                  <w:lang w:val="en-US"/>
                </w:rPr>
                <w:t xml:space="preserve">Dairy Processing</w:t>
              </w:r>
            </w:hyperlink>
            <w:commentRangeEnd w:id="2"/>
            <w:r>
              <w:rPr>
                <w:rStyle w:val="CommentReference"/>
              </w:rPr>
              <w:commentReference w:id="2"/>
            </w:r>
            <w:r/>
            <w:r>
              <w:rPr>
                <w:rFonts w:ascii="Times New Roman" w:hAnsi="Times New Roman" w:eastAsia="Times New Roman" w:cs="Times New Roman"/>
                <w:b/>
                <w:bCs/>
                <w:lang w:val="en-US"/>
              </w:rPr>
            </w:r>
          </w:p>
        </w:tc>
        <w:tc>
          <w:tcPr>
            <w:tcBorders/>
            <w:tcW w:w="0" w:type="auto"/>
            <w:textDirection w:val="lrTb"/>
            <w:noWrap w:val="false"/>
          </w:tcPr>
          <w:p w14:paraId="3DD9EB4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Pasteurizers</w:t>
            </w:r>
          </w:p>
        </w:tc>
        <w:tc>
          <w:tcPr>
            <w:tcBorders/>
            <w:tcW w:w="0" w:type="auto"/>
            <w:textDirection w:val="lrTb"/>
            <w:noWrap w:val="false"/>
          </w:tcPr>
          <w:p w14:paraId="6C24C55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Batch/plate type, 100–200 L capacity, stainless steel, digital temperature control</w:t>
            </w:r>
          </w:p>
        </w:tc>
      </w:tr>
      <w:tr>
        <w:trPr/>
        <w:tc>
          <w:tcPr>
            <w:tcBorders/>
            <w:tcW w:w="0" w:type="auto"/>
            <w:vMerge w:val="continue"/>
            <w:textDirection w:val="lrTb"/>
            <w:noWrap w:val="false"/>
          </w:tcPr>
          <w:p w14:paraId="710F227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6CAA308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Milk cooling tanks</w:t>
            </w:r>
          </w:p>
        </w:tc>
        <w:tc>
          <w:tcPr>
            <w:tcBorders/>
            <w:tcW w:w="0" w:type="auto"/>
            <w:textDirection w:val="lrTb"/>
            <w:noWrap w:val="false"/>
          </w:tcPr>
          <w:p w14:paraId="5815A53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L, stainless steel, insulated, 2–4 units</w:t>
            </w:r>
          </w:p>
        </w:tc>
      </w:tr>
      <w:tr>
        <w:trPr/>
        <w:tc>
          <w:tcPr>
            <w:tcBorders/>
            <w:tcW w:w="0" w:type="auto"/>
            <w:vMerge w:val="continue"/>
            <w:textDirection w:val="lrTb"/>
            <w:noWrap w:val="false"/>
          </w:tcPr>
          <w:p w14:paraId="4514477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6065A2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Homogenizers</w:t>
            </w:r>
          </w:p>
        </w:tc>
        <w:tc>
          <w:tcPr>
            <w:tcBorders/>
            <w:tcW w:w="0" w:type="auto"/>
            <w:textDirection w:val="lrTb"/>
            <w:noWrap w:val="false"/>
          </w:tcPr>
          <w:p w14:paraId="2CBD4D4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L/hr, high-pressure, stainless steel</w:t>
            </w:r>
          </w:p>
        </w:tc>
      </w:tr>
      <w:tr>
        <w:trPr/>
        <w:tc>
          <w:tcPr>
            <w:tcBorders/>
            <w:tcW w:w="0" w:type="auto"/>
            <w:vMerge w:val="continue"/>
            <w:textDirection w:val="lrTb"/>
            <w:noWrap w:val="false"/>
          </w:tcPr>
          <w:p w14:paraId="6B84379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A54D25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Incubators</w:t>
            </w:r>
          </w:p>
        </w:tc>
        <w:tc>
          <w:tcPr>
            <w:tcBorders/>
            <w:tcW w:w="0" w:type="auto"/>
            <w:textDirection w:val="lrTb"/>
            <w:noWrap w:val="false"/>
          </w:tcPr>
          <w:p w14:paraId="3316995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 20–45°C, ±0.5°C accuracy</w:t>
            </w:r>
          </w:p>
        </w:tc>
      </w:tr>
      <w:tr>
        <w:trPr/>
        <w:tc>
          <w:tcPr>
            <w:tcBorders/>
            <w:tcW w:w="0" w:type="auto"/>
            <w:vMerge w:val="continue"/>
            <w:textDirection w:val="lrTb"/>
            <w:noWrap w:val="false"/>
          </w:tcPr>
          <w:p w14:paraId="3FED07F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35652D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Cream separators</w:t>
            </w:r>
          </w:p>
        </w:tc>
        <w:tc>
          <w:tcPr>
            <w:tcBorders/>
            <w:tcW w:w="0" w:type="auto"/>
            <w:textDirection w:val="lrTb"/>
            <w:noWrap w:val="false"/>
          </w:tcPr>
          <w:p w14:paraId="21B3BA2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100–200 L/hr, stainless steel</w:t>
            </w:r>
          </w:p>
        </w:tc>
      </w:tr>
      <w:tr>
        <w:trPr/>
        <w:tc>
          <w:tcPr>
            <w:tcBorders/>
            <w:tcW w:w="0" w:type="auto"/>
            <w:vMerge w:val="continue"/>
            <w:textDirection w:val="lrTb"/>
            <w:noWrap w:val="false"/>
          </w:tcPr>
          <w:p w14:paraId="76DCF6C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5F4C70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Spray dryer</w:t>
            </w:r>
          </w:p>
        </w:tc>
        <w:tc>
          <w:tcPr>
            <w:tcBorders/>
            <w:tcW w:w="0" w:type="auto"/>
            <w:textDirection w:val="lrTb"/>
            <w:noWrap w:val="false"/>
          </w:tcPr>
          <w:p w14:paraId="6A8425F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kg/hr, stainless steel chamber</w:t>
            </w:r>
          </w:p>
        </w:tc>
      </w:tr>
      <w:tr>
        <w:trPr/>
        <w:tc>
          <w:tcPr>
            <w:tcBorders/>
            <w:tcW w:w="0" w:type="auto"/>
            <w:vMerge w:val="continue"/>
            <w:textDirection w:val="lrTb"/>
            <w:noWrap w:val="false"/>
          </w:tcPr>
          <w:p w14:paraId="5863CD7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7CD23B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Freezer/Refrigerator</w:t>
            </w:r>
          </w:p>
        </w:tc>
        <w:tc>
          <w:tcPr>
            <w:tcBorders/>
            <w:tcW w:w="0" w:type="auto"/>
            <w:textDirection w:val="lrTb"/>
            <w:noWrap w:val="false"/>
          </w:tcPr>
          <w:p w14:paraId="63DF2D9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300–500 L, food-grade</w:t>
            </w:r>
          </w:p>
        </w:tc>
      </w:tr>
      <w:tr>
        <w:trPr/>
        <w:tc>
          <w:tcPr>
            <w:tcBorders/>
            <w:tcW w:w="0" w:type="auto"/>
            <w:vMerge w:val="continue"/>
            <w:textDirection w:val="lrTb"/>
            <w:noWrap w:val="false"/>
          </w:tcPr>
          <w:p w14:paraId="2673635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3B6CC2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06C211CA" w14:textId="4499EE15">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Lactometer, pH meter, thermometer, alcohol gun, milk cans (25 units for 10 l each), sampling kits, whisks, graduated cylinders</w:t>
            </w:r>
          </w:p>
        </w:tc>
      </w:tr>
      <w:tr>
        <w:trPr/>
        <w:tc>
          <w:tcPr>
            <w:tcBorders/>
            <w:tcW w:w="0" w:type="auto"/>
            <w:vMerge w:val="restart"/>
            <w:textDirection w:val="lrTb"/>
            <w:noWrap w:val="false"/>
          </w:tcPr>
          <w:p w14:paraId="216EB91A" w14:textId="77777777">
            <w:pPr>
              <w:pBdr/>
              <w:spacing/>
              <w:ind/>
              <w:jc w:val="both"/>
              <w:rPr>
                <w:rFonts w:ascii="Times New Roman" w:hAnsi="Times New Roman" w:eastAsia="Times New Roman" w:cs="Times New Roman"/>
                <w:b/>
                <w:bCs/>
                <w:lang w:val="en-US"/>
              </w:rPr>
            </w:pPr>
            <w:r/>
            <w:hyperlink r:id="rId14" w:tooltip="ca://s?q=Fruit_and_vegetable_processing_equipment_specifications" w:history="1">
              <w:r>
                <w:rPr>
                  <w:rStyle w:val="820"/>
                  <w:rFonts w:ascii="Times New Roman" w:hAnsi="Times New Roman" w:eastAsia="Times New Roman" w:cs="Times New Roman"/>
                  <w:b/>
                  <w:bCs/>
                  <w:color w:val="auto"/>
                  <w:u w:val="none"/>
                  <w:lang w:val="en-US"/>
                </w:rPr>
                <w:t xml:space="preserve">Fruit &amp; Vegetable Processing</w:t>
              </w:r>
            </w:hyperlink>
            <w:r/>
            <w:r>
              <w:rPr>
                <w:rFonts w:ascii="Times New Roman" w:hAnsi="Times New Roman" w:eastAsia="Times New Roman" w:cs="Times New Roman"/>
                <w:b/>
                <w:bCs/>
                <w:lang w:val="en-US"/>
              </w:rPr>
            </w:r>
          </w:p>
        </w:tc>
        <w:tc>
          <w:tcPr>
            <w:tcBorders/>
            <w:tcW w:w="0" w:type="auto"/>
            <w:textDirection w:val="lrTb"/>
            <w:noWrap w:val="false"/>
          </w:tcPr>
          <w:p w14:paraId="2FBFD44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Pulping machine</w:t>
            </w:r>
          </w:p>
        </w:tc>
        <w:tc>
          <w:tcPr>
            <w:tcBorders/>
            <w:tcW w:w="0" w:type="auto"/>
            <w:textDirection w:val="lrTb"/>
            <w:noWrap w:val="false"/>
          </w:tcPr>
          <w:p w14:paraId="6D3FFD6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kg/hr, stainless steel</w:t>
            </w:r>
          </w:p>
        </w:tc>
      </w:tr>
      <w:tr>
        <w:trPr/>
        <w:tc>
          <w:tcPr>
            <w:tcBorders/>
            <w:tcW w:w="0" w:type="auto"/>
            <w:vMerge w:val="continue"/>
            <w:textDirection w:val="lrTb"/>
            <w:noWrap w:val="false"/>
          </w:tcPr>
          <w:p w14:paraId="7FA7429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EB2A27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Slicing/peeling machines</w:t>
            </w:r>
          </w:p>
        </w:tc>
        <w:tc>
          <w:tcPr>
            <w:tcBorders/>
            <w:tcW w:w="0" w:type="auto"/>
            <w:textDirection w:val="lrTb"/>
            <w:noWrap w:val="false"/>
          </w:tcPr>
          <w:p w14:paraId="360FF37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Manual + semi-auto, stainless steel</w:t>
            </w:r>
          </w:p>
        </w:tc>
      </w:tr>
      <w:tr>
        <w:trPr/>
        <w:tc>
          <w:tcPr>
            <w:tcBorders/>
            <w:tcW w:w="0" w:type="auto"/>
            <w:vMerge w:val="continue"/>
            <w:textDirection w:val="lrTb"/>
            <w:noWrap w:val="false"/>
          </w:tcPr>
          <w:p w14:paraId="0D3AD2C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4B3D8E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Boiling pans</w:t>
            </w:r>
          </w:p>
        </w:tc>
        <w:tc>
          <w:tcPr>
            <w:tcBorders/>
            <w:tcW w:w="0" w:type="auto"/>
            <w:textDirection w:val="lrTb"/>
            <w:noWrap w:val="false"/>
          </w:tcPr>
          <w:p w14:paraId="2294145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 stainless steel</w:t>
            </w:r>
          </w:p>
        </w:tc>
      </w:tr>
      <w:tr>
        <w:trPr/>
        <w:tc>
          <w:tcPr>
            <w:tcBorders/>
            <w:tcW w:w="0" w:type="auto"/>
            <w:vMerge w:val="continue"/>
            <w:textDirection w:val="lrTb"/>
            <w:noWrap w:val="false"/>
          </w:tcPr>
          <w:p w14:paraId="5829E65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A7628B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Dryers (solar/mechanical)</w:t>
            </w:r>
          </w:p>
        </w:tc>
        <w:tc>
          <w:tcPr>
            <w:tcBorders/>
            <w:tcW w:w="0" w:type="auto"/>
            <w:textDirection w:val="lrTb"/>
            <w:noWrap w:val="false"/>
          </w:tcPr>
          <w:p w14:paraId="0203D1A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kg/batch</w:t>
            </w:r>
          </w:p>
        </w:tc>
      </w:tr>
      <w:tr>
        <w:trPr/>
        <w:tc>
          <w:tcPr>
            <w:tcBorders/>
            <w:tcW w:w="0" w:type="auto"/>
            <w:vMerge w:val="continue"/>
            <w:textDirection w:val="lrTb"/>
            <w:noWrap w:val="false"/>
          </w:tcPr>
          <w:p w14:paraId="79A04DF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5DAFE7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Fermentation tanks</w:t>
            </w:r>
          </w:p>
        </w:tc>
        <w:tc>
          <w:tcPr>
            <w:tcBorders/>
            <w:tcW w:w="0" w:type="auto"/>
            <w:textDirection w:val="lrTb"/>
            <w:noWrap w:val="false"/>
          </w:tcPr>
          <w:p w14:paraId="0D6165C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100–200 L, stainless steel</w:t>
            </w:r>
          </w:p>
        </w:tc>
      </w:tr>
      <w:tr>
        <w:trPr/>
        <w:tc>
          <w:tcPr>
            <w:tcBorders/>
            <w:tcW w:w="0" w:type="auto"/>
            <w:vMerge w:val="continue"/>
            <w:textDirection w:val="lrTb"/>
            <w:noWrap w:val="false"/>
          </w:tcPr>
          <w:p w14:paraId="7BFF5D9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EB545F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Distillation columns</w:t>
            </w:r>
          </w:p>
        </w:tc>
        <w:tc>
          <w:tcPr>
            <w:tcBorders/>
            <w:tcW w:w="0" w:type="auto"/>
            <w:textDirection w:val="lrTb"/>
            <w:noWrap w:val="false"/>
          </w:tcPr>
          <w:p w14:paraId="5B4ACB4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20–50 L capacity</w:t>
            </w:r>
          </w:p>
        </w:tc>
      </w:tr>
      <w:tr>
        <w:trPr/>
        <w:tc>
          <w:tcPr>
            <w:tcBorders/>
            <w:tcW w:w="0" w:type="auto"/>
            <w:vMerge w:val="continue"/>
            <w:textDirection w:val="lrTb"/>
            <w:noWrap w:val="false"/>
          </w:tcPr>
          <w:p w14:paraId="773F396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F89E9C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78DB3F1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Refractometer, analytical balances, knives (25 units), vinometer, alcoholmeters, glass jars, pH meters</w:t>
            </w:r>
          </w:p>
        </w:tc>
      </w:tr>
      <w:tr>
        <w:trPr/>
        <w:tc>
          <w:tcPr>
            <w:tcBorders/>
            <w:tcW w:w="0" w:type="auto"/>
            <w:vMerge w:val="restart"/>
            <w:textDirection w:val="lrTb"/>
            <w:noWrap w:val="false"/>
          </w:tcPr>
          <w:p w14:paraId="33140F77" w14:textId="77777777">
            <w:pPr>
              <w:pBdr/>
              <w:spacing/>
              <w:ind/>
              <w:jc w:val="both"/>
              <w:rPr>
                <w:rFonts w:ascii="Times New Roman" w:hAnsi="Times New Roman" w:eastAsia="Times New Roman" w:cs="Times New Roman"/>
                <w:b/>
                <w:bCs/>
                <w:lang w:val="en-US"/>
              </w:rPr>
            </w:pPr>
            <w:r/>
            <w:hyperlink r:id="rId15" w:tooltip="ca://s?q=Grain_and_pastry_processing_equipment_specifications" w:history="1">
              <w:r>
                <w:rPr>
                  <w:rStyle w:val="820"/>
                  <w:rFonts w:ascii="Times New Roman" w:hAnsi="Times New Roman" w:eastAsia="Times New Roman" w:cs="Times New Roman"/>
                  <w:b/>
                  <w:bCs/>
                  <w:color w:val="auto"/>
                  <w:u w:val="none"/>
                  <w:lang w:val="en-US"/>
                </w:rPr>
                <w:t xml:space="preserve">Grain &amp; Pastry Processing</w:t>
              </w:r>
            </w:hyperlink>
            <w:r/>
            <w:r>
              <w:rPr>
                <w:rFonts w:ascii="Times New Roman" w:hAnsi="Times New Roman" w:eastAsia="Times New Roman" w:cs="Times New Roman"/>
                <w:b/>
                <w:bCs/>
                <w:lang w:val="en-US"/>
              </w:rPr>
            </w:r>
          </w:p>
        </w:tc>
        <w:tc>
          <w:tcPr>
            <w:tcBorders/>
            <w:tcW w:w="0" w:type="auto"/>
            <w:textDirection w:val="lrTb"/>
            <w:noWrap w:val="false"/>
          </w:tcPr>
          <w:p w14:paraId="23A224F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Dough mixer</w:t>
            </w:r>
          </w:p>
        </w:tc>
        <w:tc>
          <w:tcPr>
            <w:tcBorders/>
            <w:tcW w:w="0" w:type="auto"/>
            <w:textDirection w:val="lrTb"/>
            <w:noWrap w:val="false"/>
          </w:tcPr>
          <w:p w14:paraId="1E71F92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20–30 kg capacity</w:t>
            </w:r>
          </w:p>
        </w:tc>
      </w:tr>
      <w:tr>
        <w:trPr/>
        <w:tc>
          <w:tcPr>
            <w:tcBorders/>
            <w:tcW w:w="0" w:type="auto"/>
            <w:vMerge w:val="continue"/>
            <w:textDirection w:val="lrTb"/>
            <w:noWrap w:val="false"/>
          </w:tcPr>
          <w:p w14:paraId="206C2DD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1282CC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Ovens</w:t>
            </w:r>
          </w:p>
        </w:tc>
        <w:tc>
          <w:tcPr>
            <w:tcBorders/>
            <w:tcW w:w="0" w:type="auto"/>
            <w:textDirection w:val="lrTb"/>
            <w:noWrap w:val="false"/>
          </w:tcPr>
          <w:p w14:paraId="2D4AE90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Electric/gas, 50–100 L</w:t>
            </w:r>
          </w:p>
        </w:tc>
      </w:tr>
      <w:tr>
        <w:trPr/>
        <w:tc>
          <w:tcPr>
            <w:tcBorders/>
            <w:tcW w:w="0" w:type="auto"/>
            <w:vMerge w:val="continue"/>
            <w:textDirection w:val="lrTb"/>
            <w:noWrap w:val="false"/>
          </w:tcPr>
          <w:p w14:paraId="2926BEC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E70CDC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Flour sifters</w:t>
            </w:r>
          </w:p>
        </w:tc>
        <w:tc>
          <w:tcPr>
            <w:tcBorders/>
            <w:tcW w:w="0" w:type="auto"/>
            <w:textDirection w:val="lrTb"/>
            <w:noWrap w:val="false"/>
          </w:tcPr>
          <w:p w14:paraId="58921E3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Manual + auto, 10–20 kg/hr</w:t>
            </w:r>
          </w:p>
        </w:tc>
      </w:tr>
      <w:tr>
        <w:trPr/>
        <w:tc>
          <w:tcPr>
            <w:tcBorders/>
            <w:tcW w:w="0" w:type="auto"/>
            <w:vMerge w:val="continue"/>
            <w:textDirection w:val="lrTb"/>
            <w:noWrap w:val="false"/>
          </w:tcPr>
          <w:p w14:paraId="56FB5C3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40E2DC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Dough divider/rounder</w:t>
            </w:r>
          </w:p>
        </w:tc>
        <w:tc>
          <w:tcPr>
            <w:tcBorders/>
            <w:tcW w:w="0" w:type="auto"/>
            <w:textDirection w:val="lrTb"/>
            <w:noWrap w:val="false"/>
          </w:tcPr>
          <w:p w14:paraId="2EFE3BA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Semi-auto, 20–30 kg/hr</w:t>
            </w:r>
          </w:p>
        </w:tc>
      </w:tr>
      <w:tr>
        <w:trPr/>
        <w:tc>
          <w:tcPr>
            <w:tcBorders/>
            <w:tcW w:w="0" w:type="auto"/>
            <w:vMerge w:val="continue"/>
            <w:textDirection w:val="lrTb"/>
            <w:noWrap w:val="false"/>
          </w:tcPr>
          <w:p w14:paraId="2F996A9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B9A740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Proofer</w:t>
            </w:r>
          </w:p>
        </w:tc>
        <w:tc>
          <w:tcPr>
            <w:tcBorders/>
            <w:tcW w:w="0" w:type="auto"/>
            <w:textDirection w:val="lrTb"/>
            <w:noWrap w:val="false"/>
          </w:tcPr>
          <w:p w14:paraId="5F61F63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 humidity control</w:t>
            </w:r>
          </w:p>
        </w:tc>
      </w:tr>
      <w:tr>
        <w:trPr/>
        <w:tc>
          <w:tcPr>
            <w:tcBorders/>
            <w:tcW w:w="0" w:type="auto"/>
            <w:vMerge w:val="continue"/>
            <w:textDirection w:val="lrTb"/>
            <w:noWrap w:val="false"/>
          </w:tcPr>
          <w:p w14:paraId="6499C93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AC9B8F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Deep fryer</w:t>
            </w:r>
          </w:p>
        </w:tc>
        <w:tc>
          <w:tcPr>
            <w:tcBorders/>
            <w:tcW w:w="0" w:type="auto"/>
            <w:textDirection w:val="lrTb"/>
            <w:noWrap w:val="false"/>
          </w:tcPr>
          <w:p w14:paraId="27C9E87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20–30 L, stainless steel</w:t>
            </w:r>
          </w:p>
        </w:tc>
      </w:tr>
      <w:tr>
        <w:trPr/>
        <w:tc>
          <w:tcPr>
            <w:tcBorders/>
            <w:tcW w:w="0" w:type="auto"/>
            <w:vMerge w:val="continue"/>
            <w:textDirection w:val="lrTb"/>
            <w:noWrap w:val="false"/>
          </w:tcPr>
          <w:p w14:paraId="4CF7820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E4364E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Pasta extruders</w:t>
            </w:r>
          </w:p>
        </w:tc>
        <w:tc>
          <w:tcPr>
            <w:tcBorders/>
            <w:tcW w:w="0" w:type="auto"/>
            <w:textDirection w:val="lrTb"/>
            <w:noWrap w:val="false"/>
          </w:tcPr>
          <w:p w14:paraId="0A8324D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10–20 kg/hr</w:t>
            </w:r>
          </w:p>
        </w:tc>
      </w:tr>
      <w:tr>
        <w:trPr/>
        <w:tc>
          <w:tcPr>
            <w:tcBorders/>
            <w:tcW w:w="0" w:type="auto"/>
            <w:vMerge w:val="continue"/>
            <w:textDirection w:val="lrTb"/>
            <w:noWrap w:val="false"/>
          </w:tcPr>
          <w:p w14:paraId="23BC923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441477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275FFFD1" w14:textId="4A1E35E9">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Rolling pins (25 units), 5 stainless steel tables for 5QMS per each, cooling racks, trays, ravioli cutters, weighing scales</w:t>
            </w:r>
          </w:p>
        </w:tc>
      </w:tr>
      <w:tr>
        <w:trPr/>
        <w:tc>
          <w:tcPr>
            <w:tcBorders/>
            <w:tcW w:w="0" w:type="auto"/>
            <w:vMerge w:val="restart"/>
            <w:textDirection w:val="lrTb"/>
            <w:noWrap w:val="false"/>
          </w:tcPr>
          <w:p w14:paraId="135105D8" w14:textId="77777777">
            <w:pPr>
              <w:pBdr/>
              <w:spacing/>
              <w:ind/>
              <w:jc w:val="both"/>
              <w:rPr>
                <w:rFonts w:ascii="Times New Roman" w:hAnsi="Times New Roman" w:eastAsia="Times New Roman" w:cs="Times New Roman"/>
                <w:b/>
                <w:bCs/>
                <w:lang w:val="en-US"/>
              </w:rPr>
            </w:pPr>
            <w:r/>
            <w:hyperlink r:id="rId16" w:tooltip="ca://s?q=Meat_processing_equipment_specifications" w:history="1">
              <w:r>
                <w:rPr>
                  <w:rStyle w:val="820"/>
                  <w:rFonts w:ascii="Times New Roman" w:hAnsi="Times New Roman" w:eastAsia="Times New Roman" w:cs="Times New Roman"/>
                  <w:b/>
                  <w:bCs/>
                  <w:color w:val="auto"/>
                  <w:u w:val="none"/>
                  <w:lang w:val="en-US"/>
                </w:rPr>
                <w:t xml:space="preserve">Meat Processing</w:t>
              </w:r>
            </w:hyperlink>
            <w:r/>
            <w:r>
              <w:rPr>
                <w:rFonts w:ascii="Times New Roman" w:hAnsi="Times New Roman" w:eastAsia="Times New Roman" w:cs="Times New Roman"/>
                <w:b/>
                <w:bCs/>
                <w:lang w:val="en-US"/>
              </w:rPr>
            </w:r>
          </w:p>
        </w:tc>
        <w:tc>
          <w:tcPr>
            <w:tcBorders/>
            <w:tcW w:w="0" w:type="auto"/>
            <w:textDirection w:val="lrTb"/>
            <w:noWrap w:val="false"/>
          </w:tcPr>
          <w:p w14:paraId="2659E7E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Stunning box</w:t>
            </w:r>
          </w:p>
        </w:tc>
        <w:tc>
          <w:tcPr>
            <w:tcBorders/>
            <w:tcW w:w="0" w:type="auto"/>
            <w:textDirection w:val="lrTb"/>
            <w:noWrap w:val="false"/>
          </w:tcPr>
          <w:p w14:paraId="6221E70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Standard training size</w:t>
            </w:r>
          </w:p>
        </w:tc>
      </w:tr>
      <w:tr>
        <w:trPr/>
        <w:tc>
          <w:tcPr>
            <w:tcBorders/>
            <w:tcW w:w="0" w:type="auto"/>
            <w:vMerge w:val="continue"/>
            <w:textDirection w:val="lrTb"/>
            <w:noWrap w:val="false"/>
          </w:tcPr>
          <w:p w14:paraId="0E5E67B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6BD7A9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Hoist</w:t>
            </w:r>
          </w:p>
        </w:tc>
        <w:tc>
          <w:tcPr>
            <w:tcBorders/>
            <w:tcW w:w="0" w:type="auto"/>
            <w:textDirection w:val="lrTb"/>
            <w:noWrap w:val="false"/>
          </w:tcPr>
          <w:p w14:paraId="3E1606D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300–500 kg capacity</w:t>
            </w:r>
          </w:p>
        </w:tc>
      </w:tr>
      <w:tr>
        <w:trPr/>
        <w:tc>
          <w:tcPr>
            <w:tcBorders/>
            <w:tcW w:w="0" w:type="auto"/>
            <w:vMerge w:val="continue"/>
            <w:textDirection w:val="lrTb"/>
            <w:noWrap w:val="false"/>
          </w:tcPr>
          <w:p w14:paraId="51630E2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6023ED6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Skin remover/dehider</w:t>
            </w:r>
          </w:p>
        </w:tc>
        <w:tc>
          <w:tcPr>
            <w:tcBorders/>
            <w:tcW w:w="0" w:type="auto"/>
            <w:textDirection w:val="lrTb"/>
            <w:noWrap w:val="false"/>
          </w:tcPr>
          <w:p w14:paraId="5D584BF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Semi-auto</w:t>
            </w:r>
          </w:p>
        </w:tc>
      </w:tr>
      <w:tr>
        <w:trPr/>
        <w:tc>
          <w:tcPr>
            <w:tcBorders/>
            <w:tcW w:w="0" w:type="auto"/>
            <w:vMerge w:val="continue"/>
            <w:textDirection w:val="lrTb"/>
            <w:noWrap w:val="false"/>
          </w:tcPr>
          <w:p w14:paraId="481D8DA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0D0DF5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Scalding tank</w:t>
            </w:r>
          </w:p>
        </w:tc>
        <w:tc>
          <w:tcPr>
            <w:tcBorders/>
            <w:tcW w:w="0" w:type="auto"/>
            <w:textDirection w:val="lrTb"/>
            <w:noWrap w:val="false"/>
          </w:tcPr>
          <w:p w14:paraId="58140C7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L</w:t>
            </w:r>
          </w:p>
        </w:tc>
      </w:tr>
      <w:tr>
        <w:trPr/>
        <w:tc>
          <w:tcPr>
            <w:tcBorders/>
            <w:tcW w:w="0" w:type="auto"/>
            <w:vMerge w:val="continue"/>
            <w:textDirection w:val="lrTb"/>
            <w:noWrap w:val="false"/>
          </w:tcPr>
          <w:p w14:paraId="7F4C627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0696DF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Band saw</w:t>
            </w:r>
          </w:p>
        </w:tc>
        <w:tc>
          <w:tcPr>
            <w:tcBorders/>
            <w:tcW w:w="0" w:type="auto"/>
            <w:textDirection w:val="lrTb"/>
            <w:noWrap w:val="false"/>
          </w:tcPr>
          <w:p w14:paraId="57AD036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1–2 HP</w:t>
            </w:r>
          </w:p>
        </w:tc>
      </w:tr>
      <w:tr>
        <w:trPr/>
        <w:tc>
          <w:tcPr>
            <w:tcBorders/>
            <w:tcW w:w="0" w:type="auto"/>
            <w:vMerge w:val="continue"/>
            <w:textDirection w:val="lrTb"/>
            <w:noWrap w:val="false"/>
          </w:tcPr>
          <w:p w14:paraId="25CF11F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3F099A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Vacuum packaging machine</w:t>
            </w:r>
          </w:p>
        </w:tc>
        <w:tc>
          <w:tcPr>
            <w:tcBorders/>
            <w:tcW w:w="0" w:type="auto"/>
            <w:textDirection w:val="lrTb"/>
            <w:noWrap w:val="false"/>
          </w:tcPr>
          <w:p w14:paraId="1043779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10–20 packs/min</w:t>
            </w:r>
          </w:p>
        </w:tc>
      </w:tr>
      <w:tr>
        <w:trPr/>
        <w:tc>
          <w:tcPr>
            <w:tcBorders/>
            <w:tcW w:w="0" w:type="auto"/>
            <w:vMerge w:val="continue"/>
            <w:textDirection w:val="lrTb"/>
            <w:noWrap w:val="false"/>
          </w:tcPr>
          <w:p w14:paraId="2E3E5EE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9CADCD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Chilling room/freezer</w:t>
            </w:r>
          </w:p>
        </w:tc>
        <w:tc>
          <w:tcPr>
            <w:tcBorders/>
            <w:tcW w:w="0" w:type="auto"/>
            <w:textDirection w:val="lrTb"/>
            <w:noWrap w:val="false"/>
          </w:tcPr>
          <w:p w14:paraId="66861A2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10–15 m³</w:t>
            </w:r>
          </w:p>
        </w:tc>
      </w:tr>
      <w:tr>
        <w:trPr/>
        <w:tc>
          <w:tcPr>
            <w:tcBorders/>
            <w:tcW w:w="0" w:type="auto"/>
            <w:vMerge w:val="continue"/>
            <w:textDirection w:val="lrTb"/>
            <w:noWrap w:val="false"/>
          </w:tcPr>
          <w:p w14:paraId="2CB2264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972D8E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55F87D8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Captive bolt stunners, trimming knives (25 units), hooks, trolleys, pH meters, electronic scales</w:t>
            </w:r>
          </w:p>
        </w:tc>
      </w:tr>
      <w:tr>
        <w:trPr/>
        <w:tc>
          <w:tcPr>
            <w:tcBorders/>
            <w:tcW w:w="0" w:type="auto"/>
            <w:vMerge w:val="restart"/>
            <w:textDirection w:val="lrTb"/>
            <w:noWrap w:val="false"/>
          </w:tcPr>
          <w:p w14:paraId="0DA69F55" w14:textId="77777777">
            <w:pPr>
              <w:pBdr/>
              <w:spacing/>
              <w:ind/>
              <w:jc w:val="both"/>
              <w:rPr>
                <w:rFonts w:ascii="Times New Roman" w:hAnsi="Times New Roman" w:eastAsia="Times New Roman" w:cs="Times New Roman"/>
                <w:b/>
                <w:bCs/>
                <w:lang w:val="en-US"/>
              </w:rPr>
            </w:pPr>
            <w:r/>
            <w:hyperlink r:id="rId17" w:tooltip="ca://s?q=Specialty_crop_processing_equipment_specifications" w:history="1">
              <w:r>
                <w:rPr>
                  <w:rStyle w:val="820"/>
                  <w:rFonts w:ascii="Times New Roman" w:hAnsi="Times New Roman" w:eastAsia="Times New Roman" w:cs="Times New Roman"/>
                  <w:b/>
                  <w:bCs/>
                  <w:color w:val="auto"/>
                  <w:u w:val="none"/>
                  <w:lang w:val="en-US"/>
                </w:rPr>
                <w:t xml:space="preserve">Specialty Crop Processing</w:t>
              </w:r>
            </w:hyperlink>
            <w:r/>
            <w:r>
              <w:rPr>
                <w:rFonts w:ascii="Times New Roman" w:hAnsi="Times New Roman" w:eastAsia="Times New Roman" w:cs="Times New Roman"/>
                <w:b/>
                <w:bCs/>
                <w:lang w:val="en-US"/>
              </w:rPr>
            </w:r>
          </w:p>
        </w:tc>
        <w:tc>
          <w:tcPr>
            <w:tcBorders/>
            <w:tcW w:w="0" w:type="auto"/>
            <w:textDirection w:val="lrTb"/>
            <w:noWrap w:val="false"/>
          </w:tcPr>
          <w:p w14:paraId="4C3B3A0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Coffee pulper/roaster</w:t>
            </w:r>
          </w:p>
        </w:tc>
        <w:tc>
          <w:tcPr>
            <w:tcBorders/>
            <w:tcW w:w="0" w:type="auto"/>
            <w:textDirection w:val="lrTb"/>
            <w:noWrap w:val="false"/>
          </w:tcPr>
          <w:p w14:paraId="172DD03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kg/hr</w:t>
            </w:r>
          </w:p>
        </w:tc>
      </w:tr>
      <w:tr>
        <w:trPr/>
        <w:tc>
          <w:tcPr>
            <w:tcBorders/>
            <w:tcW w:w="0" w:type="auto"/>
            <w:vMerge w:val="continue"/>
            <w:textDirection w:val="lrTb"/>
            <w:noWrap w:val="false"/>
          </w:tcPr>
          <w:p w14:paraId="50FD366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D1DB8D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Tea rotorvane/CTC rollers</w:t>
            </w:r>
          </w:p>
        </w:tc>
        <w:tc>
          <w:tcPr>
            <w:tcBorders/>
            <w:tcW w:w="0" w:type="auto"/>
            <w:textDirection w:val="lrTb"/>
            <w:noWrap w:val="false"/>
          </w:tcPr>
          <w:p w14:paraId="184896E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kg/hr</w:t>
            </w:r>
          </w:p>
        </w:tc>
      </w:tr>
      <w:tr>
        <w:trPr/>
        <w:tc>
          <w:tcPr>
            <w:tcBorders/>
            <w:tcW w:w="0" w:type="auto"/>
            <w:vMerge w:val="continue"/>
            <w:textDirection w:val="lrTb"/>
            <w:noWrap w:val="false"/>
          </w:tcPr>
          <w:p w14:paraId="3897970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A89BCA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Sugarcane mills</w:t>
            </w:r>
          </w:p>
        </w:tc>
        <w:tc>
          <w:tcPr>
            <w:tcBorders/>
            <w:tcW w:w="0" w:type="auto"/>
            <w:textDirection w:val="lrTb"/>
            <w:noWrap w:val="false"/>
          </w:tcPr>
          <w:p w14:paraId="0117866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kg/hr</w:t>
            </w:r>
          </w:p>
        </w:tc>
      </w:tr>
      <w:tr>
        <w:trPr/>
        <w:tc>
          <w:tcPr>
            <w:tcBorders/>
            <w:tcW w:w="0" w:type="auto"/>
            <w:vMerge w:val="continue"/>
            <w:textDirection w:val="lrTb"/>
            <w:noWrap w:val="false"/>
          </w:tcPr>
          <w:p w14:paraId="75F0D5B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344A91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Soy grinder/presser</w:t>
            </w:r>
          </w:p>
        </w:tc>
        <w:tc>
          <w:tcPr>
            <w:tcBorders/>
            <w:tcW w:w="0" w:type="auto"/>
            <w:textDirection w:val="lrTb"/>
            <w:noWrap w:val="false"/>
          </w:tcPr>
          <w:p w14:paraId="6C1709A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kg/hr</w:t>
            </w:r>
          </w:p>
        </w:tc>
      </w:tr>
      <w:tr>
        <w:trPr/>
        <w:tc>
          <w:tcPr>
            <w:tcBorders/>
            <w:tcW w:w="0" w:type="auto"/>
            <w:vMerge w:val="continue"/>
            <w:textDirection w:val="lrTb"/>
            <w:noWrap w:val="false"/>
          </w:tcPr>
          <w:p w14:paraId="3189B3C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AC1FBF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Freeze dryers</w:t>
            </w:r>
          </w:p>
        </w:tc>
        <w:tc>
          <w:tcPr>
            <w:tcBorders/>
            <w:tcW w:w="0" w:type="auto"/>
            <w:textDirection w:val="lrTb"/>
            <w:noWrap w:val="false"/>
          </w:tcPr>
          <w:p w14:paraId="4EEACD3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kg/batch</w:t>
            </w:r>
          </w:p>
        </w:tc>
      </w:tr>
      <w:tr>
        <w:trPr/>
        <w:tc>
          <w:tcPr>
            <w:tcBorders/>
            <w:tcW w:w="0" w:type="auto"/>
            <w:vMerge w:val="continue"/>
            <w:textDirection w:val="lrTb"/>
            <w:noWrap w:val="false"/>
          </w:tcPr>
          <w:p w14:paraId="65194B8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6724A4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3997C13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Moisture meters, polarimeters, cupping spoons (25 units), tea tasting cups, pH meters</w:t>
            </w:r>
          </w:p>
        </w:tc>
      </w:tr>
      <w:tr>
        <w:trPr/>
        <w:tc>
          <w:tcPr>
            <w:tcBorders/>
            <w:tcW w:w="0" w:type="auto"/>
            <w:vMerge w:val="restart"/>
            <w:textDirection w:val="lrTb"/>
            <w:noWrap w:val="false"/>
          </w:tcPr>
          <w:p w14:paraId="6F79D034" w14:textId="77777777">
            <w:pPr>
              <w:pBdr/>
              <w:spacing/>
              <w:ind/>
              <w:jc w:val="both"/>
              <w:rPr>
                <w:rFonts w:ascii="Times New Roman" w:hAnsi="Times New Roman" w:eastAsia="Times New Roman" w:cs="Times New Roman"/>
                <w:b/>
                <w:bCs/>
                <w:lang w:val="en-US"/>
              </w:rPr>
            </w:pPr>
            <w:r/>
            <w:hyperlink r:id="rId18" w:tooltip="ca://s?q=Honey_processing_equipment_specifications" w:history="1">
              <w:r>
                <w:rPr>
                  <w:rStyle w:val="820"/>
                  <w:rFonts w:ascii="Times New Roman" w:hAnsi="Times New Roman" w:eastAsia="Times New Roman" w:cs="Times New Roman"/>
                  <w:b/>
                  <w:bCs/>
                  <w:color w:val="auto"/>
                  <w:u w:val="none"/>
                  <w:lang w:val="en-US"/>
                </w:rPr>
                <w:t xml:space="preserve">Honey Processing</w:t>
              </w:r>
            </w:hyperlink>
            <w:r/>
            <w:r>
              <w:rPr>
                <w:rFonts w:ascii="Times New Roman" w:hAnsi="Times New Roman" w:eastAsia="Times New Roman" w:cs="Times New Roman"/>
                <w:b/>
                <w:bCs/>
                <w:lang w:val="en-US"/>
              </w:rPr>
            </w:r>
          </w:p>
        </w:tc>
        <w:tc>
          <w:tcPr>
            <w:tcBorders/>
            <w:tcW w:w="0" w:type="auto"/>
            <w:textDirection w:val="lrTb"/>
            <w:noWrap w:val="false"/>
          </w:tcPr>
          <w:p w14:paraId="2F355D1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Honey extractor</w:t>
            </w:r>
          </w:p>
        </w:tc>
        <w:tc>
          <w:tcPr>
            <w:tcBorders/>
            <w:tcW w:w="0" w:type="auto"/>
            <w:textDirection w:val="lrTb"/>
            <w:noWrap w:val="false"/>
          </w:tcPr>
          <w:p w14:paraId="2D42160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Centrifugal, 20–30 frames</w:t>
            </w:r>
          </w:p>
        </w:tc>
      </w:tr>
      <w:tr>
        <w:trPr/>
        <w:tc>
          <w:tcPr>
            <w:tcBorders/>
            <w:tcW w:w="0" w:type="auto"/>
            <w:vMerge w:val="continue"/>
            <w:textDirection w:val="lrTb"/>
            <w:noWrap w:val="false"/>
          </w:tcPr>
          <w:p w14:paraId="5BC40C5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B19ACA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Wax press</w:t>
            </w:r>
          </w:p>
        </w:tc>
        <w:tc>
          <w:tcPr>
            <w:tcBorders/>
            <w:tcW w:w="0" w:type="auto"/>
            <w:textDirection w:val="lrTb"/>
            <w:noWrap w:val="false"/>
          </w:tcPr>
          <w:p w14:paraId="7301A76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20–30 kg/hr</w:t>
            </w:r>
          </w:p>
        </w:tc>
      </w:tr>
      <w:tr>
        <w:trPr/>
        <w:tc>
          <w:tcPr>
            <w:tcBorders/>
            <w:tcW w:w="0" w:type="auto"/>
            <w:vMerge w:val="continue"/>
            <w:textDirection w:val="lrTb"/>
            <w:noWrap w:val="false"/>
          </w:tcPr>
          <w:p w14:paraId="753DCBC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EBEA4A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Heating jackets</w:t>
            </w:r>
          </w:p>
        </w:tc>
        <w:tc>
          <w:tcPr>
            <w:tcBorders/>
            <w:tcW w:w="0" w:type="auto"/>
            <w:textDirection w:val="lrTb"/>
            <w:noWrap w:val="false"/>
          </w:tcPr>
          <w:p w14:paraId="52BF3FC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w:t>
            </w:r>
          </w:p>
        </w:tc>
      </w:tr>
      <w:tr>
        <w:trPr/>
        <w:tc>
          <w:tcPr>
            <w:tcBorders/>
            <w:tcW w:w="0" w:type="auto"/>
            <w:vMerge w:val="continue"/>
            <w:textDirection w:val="lrTb"/>
            <w:noWrap w:val="false"/>
          </w:tcPr>
          <w:p w14:paraId="5C85CDE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439836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7D72770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Uncapping knives (25 units), refractometer, sieves, buckets, pH meters</w:t>
            </w:r>
          </w:p>
        </w:tc>
      </w:tr>
      <w:tr>
        <w:trPr/>
        <w:tc>
          <w:tcPr>
            <w:tcBorders/>
            <w:tcW w:w="0" w:type="auto"/>
            <w:vMerge w:val="restart"/>
            <w:textDirection w:val="lrTb"/>
            <w:noWrap w:val="false"/>
          </w:tcPr>
          <w:p w14:paraId="75A89C5A" w14:textId="77777777">
            <w:pPr>
              <w:pBdr/>
              <w:spacing/>
              <w:ind/>
              <w:jc w:val="both"/>
              <w:rPr>
                <w:rFonts w:ascii="Times New Roman" w:hAnsi="Times New Roman" w:eastAsia="Times New Roman" w:cs="Times New Roman"/>
                <w:b/>
                <w:bCs/>
                <w:lang w:val="en-US"/>
              </w:rPr>
            </w:pPr>
            <w:r/>
            <w:hyperlink r:id="rId19" w:tooltip="ca://s?q=Milling_and_storage_equipment_specifications" w:history="1">
              <w:r>
                <w:rPr>
                  <w:rStyle w:val="820"/>
                  <w:rFonts w:ascii="Times New Roman" w:hAnsi="Times New Roman" w:eastAsia="Times New Roman" w:cs="Times New Roman"/>
                  <w:b/>
                  <w:bCs/>
                  <w:color w:val="auto"/>
                  <w:u w:val="none"/>
                  <w:lang w:val="en-US"/>
                </w:rPr>
                <w:t xml:space="preserve">Milling &amp; Storage</w:t>
              </w:r>
            </w:hyperlink>
            <w:r/>
            <w:r>
              <w:rPr>
                <w:rFonts w:ascii="Times New Roman" w:hAnsi="Times New Roman" w:eastAsia="Times New Roman" w:cs="Times New Roman"/>
                <w:b/>
                <w:bCs/>
                <w:lang w:val="en-US"/>
              </w:rPr>
            </w:r>
          </w:p>
        </w:tc>
        <w:tc>
          <w:tcPr>
            <w:tcBorders/>
            <w:tcW w:w="0" w:type="auto"/>
            <w:textDirection w:val="lrTb"/>
            <w:noWrap w:val="false"/>
          </w:tcPr>
          <w:p w14:paraId="60830FF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Grinders</w:t>
            </w:r>
          </w:p>
        </w:tc>
        <w:tc>
          <w:tcPr>
            <w:tcBorders/>
            <w:tcW w:w="0" w:type="auto"/>
            <w:textDirection w:val="lrTb"/>
            <w:noWrap w:val="false"/>
          </w:tcPr>
          <w:p w14:paraId="1F079C7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Heavy-duty, 200–300 kg/hr</w:t>
            </w:r>
          </w:p>
        </w:tc>
      </w:tr>
      <w:tr>
        <w:trPr/>
        <w:tc>
          <w:tcPr>
            <w:tcBorders/>
            <w:tcW w:w="0" w:type="auto"/>
            <w:vMerge w:val="continue"/>
            <w:textDirection w:val="lrTb"/>
            <w:noWrap w:val="false"/>
          </w:tcPr>
          <w:p w14:paraId="408B385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7FDB70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Hammer mills</w:t>
            </w:r>
          </w:p>
        </w:tc>
        <w:tc>
          <w:tcPr>
            <w:tcBorders/>
            <w:tcW w:w="0" w:type="auto"/>
            <w:textDirection w:val="lrTb"/>
            <w:noWrap w:val="false"/>
          </w:tcPr>
          <w:p w14:paraId="1B6277D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kg/hr</w:t>
            </w:r>
          </w:p>
        </w:tc>
      </w:tr>
      <w:tr>
        <w:trPr/>
        <w:tc>
          <w:tcPr>
            <w:tcBorders/>
            <w:tcW w:w="0" w:type="auto"/>
            <w:vMerge w:val="continue"/>
            <w:textDirection w:val="lrTb"/>
            <w:noWrap w:val="false"/>
          </w:tcPr>
          <w:p w14:paraId="18880FA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6CC2A7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Flour sifters</w:t>
            </w:r>
          </w:p>
        </w:tc>
        <w:tc>
          <w:tcPr>
            <w:tcBorders/>
            <w:tcW w:w="0" w:type="auto"/>
            <w:textDirection w:val="lrTb"/>
            <w:noWrap w:val="false"/>
          </w:tcPr>
          <w:p w14:paraId="5186F48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Auto/manual, 10–20 kg/hr</w:t>
            </w:r>
          </w:p>
        </w:tc>
      </w:tr>
      <w:tr>
        <w:trPr/>
        <w:tc>
          <w:tcPr>
            <w:tcBorders/>
            <w:tcW w:w="0" w:type="auto"/>
            <w:vMerge w:val="continue"/>
            <w:textDirection w:val="lrTb"/>
            <w:noWrap w:val="false"/>
          </w:tcPr>
          <w:p w14:paraId="2BE9896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947EF2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Silos</w:t>
            </w:r>
          </w:p>
        </w:tc>
        <w:tc>
          <w:tcPr>
            <w:tcBorders/>
            <w:tcW w:w="0" w:type="auto"/>
            <w:textDirection w:val="lrTb"/>
            <w:noWrap w:val="false"/>
          </w:tcPr>
          <w:p w14:paraId="17ADBB3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tons</w:t>
            </w:r>
          </w:p>
        </w:tc>
      </w:tr>
      <w:tr>
        <w:trPr/>
        <w:tc>
          <w:tcPr>
            <w:tcBorders/>
            <w:tcW w:w="0" w:type="auto"/>
            <w:vMerge w:val="continue"/>
            <w:textDirection w:val="lrTb"/>
            <w:noWrap w:val="false"/>
          </w:tcPr>
          <w:p w14:paraId="01D389E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B5DB29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Weighing bridge</w:t>
            </w:r>
          </w:p>
        </w:tc>
        <w:tc>
          <w:tcPr>
            <w:tcBorders/>
            <w:tcW w:w="0" w:type="auto"/>
            <w:textDirection w:val="lrTb"/>
            <w:noWrap w:val="false"/>
          </w:tcPr>
          <w:p w14:paraId="44991EA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tons</w:t>
            </w:r>
          </w:p>
        </w:tc>
      </w:tr>
      <w:tr>
        <w:trPr/>
        <w:tc>
          <w:tcPr>
            <w:tcBorders/>
            <w:tcW w:w="0" w:type="auto"/>
            <w:vMerge w:val="continue"/>
            <w:textDirection w:val="lrTb"/>
            <w:noWrap w:val="false"/>
          </w:tcPr>
          <w:p w14:paraId="3C22BDC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BD79F1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39FEEB6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Moisture meters, analytical balances, grain samplers</w:t>
            </w:r>
          </w:p>
        </w:tc>
      </w:tr>
      <w:tr>
        <w:trPr/>
        <w:tc>
          <w:tcPr>
            <w:tcBorders/>
            <w:tcW w:w="0" w:type="auto"/>
            <w:vMerge w:val="restart"/>
            <w:textDirection w:val="lrTb"/>
            <w:noWrap w:val="false"/>
          </w:tcPr>
          <w:p w14:paraId="1623AD66" w14:textId="77777777">
            <w:pPr>
              <w:pBdr/>
              <w:spacing/>
              <w:ind/>
              <w:jc w:val="both"/>
              <w:rPr>
                <w:rFonts w:ascii="Times New Roman" w:hAnsi="Times New Roman" w:eastAsia="Times New Roman" w:cs="Times New Roman"/>
                <w:b/>
                <w:bCs/>
                <w:lang w:val="en-US"/>
              </w:rPr>
            </w:pPr>
            <w:r/>
            <w:hyperlink r:id="rId20" w:tooltip="ca://s?q=CIP_facilities_equipment_specifications" w:history="1">
              <w:r>
                <w:rPr>
                  <w:rStyle w:val="820"/>
                  <w:rFonts w:ascii="Times New Roman" w:hAnsi="Times New Roman" w:eastAsia="Times New Roman" w:cs="Times New Roman"/>
                  <w:b/>
                  <w:bCs/>
                  <w:color w:val="auto"/>
                  <w:u w:val="none"/>
                  <w:lang w:val="en-US"/>
                </w:rPr>
                <w:t xml:space="preserve">CIP Facilities</w:t>
              </w:r>
            </w:hyperlink>
            <w:r/>
            <w:r>
              <w:rPr>
                <w:rFonts w:ascii="Times New Roman" w:hAnsi="Times New Roman" w:eastAsia="Times New Roman" w:cs="Times New Roman"/>
                <w:b/>
                <w:bCs/>
                <w:lang w:val="en-US"/>
              </w:rPr>
            </w:r>
          </w:p>
        </w:tc>
        <w:tc>
          <w:tcPr>
            <w:tcBorders/>
            <w:tcW w:w="0" w:type="auto"/>
            <w:textDirection w:val="lrTb"/>
            <w:noWrap w:val="false"/>
          </w:tcPr>
          <w:p w14:paraId="71BFD6A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CIP system</w:t>
            </w:r>
          </w:p>
        </w:tc>
        <w:tc>
          <w:tcPr>
            <w:tcBorders/>
            <w:tcW w:w="0" w:type="auto"/>
            <w:textDirection w:val="lrTb"/>
            <w:noWrap w:val="false"/>
          </w:tcPr>
          <w:p w14:paraId="679AB22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100–200 L/hr</w:t>
            </w:r>
          </w:p>
        </w:tc>
      </w:tr>
      <w:tr>
        <w:trPr/>
        <w:tc>
          <w:tcPr>
            <w:tcBorders/>
            <w:tcW w:w="0" w:type="auto"/>
            <w:vMerge w:val="continue"/>
            <w:textDirection w:val="lrTb"/>
            <w:noWrap w:val="false"/>
          </w:tcPr>
          <w:p w14:paraId="7E523A2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38E632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High-pressure washer</w:t>
            </w:r>
          </w:p>
        </w:tc>
        <w:tc>
          <w:tcPr>
            <w:tcBorders/>
            <w:tcW w:w="0" w:type="auto"/>
            <w:textDirection w:val="lrTb"/>
            <w:noWrap w:val="false"/>
          </w:tcPr>
          <w:p w14:paraId="787EBFC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150–200 bar</w:t>
            </w:r>
          </w:p>
        </w:tc>
      </w:tr>
      <w:tr>
        <w:trPr/>
        <w:tc>
          <w:tcPr>
            <w:tcBorders/>
            <w:tcW w:w="0" w:type="auto"/>
            <w:vMerge w:val="continue"/>
            <w:textDirection w:val="lrTb"/>
            <w:noWrap w:val="false"/>
          </w:tcPr>
          <w:p w14:paraId="0A29785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3FB160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0288AB4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ATP test kits, SWAB kits, pH meters, sanitizers</w:t>
            </w:r>
          </w:p>
        </w:tc>
      </w:tr>
      <w:tr>
        <w:trPr/>
        <w:tc>
          <w:tcPr>
            <w:tcBorders/>
            <w:tcW w:w="0" w:type="auto"/>
            <w:vMerge w:val="restart"/>
            <w:textDirection w:val="lrTb"/>
            <w:noWrap w:val="false"/>
          </w:tcPr>
          <w:p w14:paraId="7575E701" w14:textId="77777777">
            <w:pPr>
              <w:pBdr/>
              <w:spacing/>
              <w:ind/>
              <w:jc w:val="both"/>
              <w:rPr>
                <w:rFonts w:ascii="Times New Roman" w:hAnsi="Times New Roman" w:eastAsia="Times New Roman" w:cs="Times New Roman"/>
                <w:b/>
                <w:bCs/>
                <w:lang w:val="en-US"/>
              </w:rPr>
            </w:pPr>
            <w:r/>
            <w:hyperlink r:id="rId21" w:tooltip="ca://s?q=Steam_generation_equipment_specifications" w:history="1">
              <w:r>
                <w:rPr>
                  <w:rStyle w:val="820"/>
                  <w:rFonts w:ascii="Times New Roman" w:hAnsi="Times New Roman" w:eastAsia="Times New Roman" w:cs="Times New Roman"/>
                  <w:b/>
                  <w:bCs/>
                  <w:color w:val="auto"/>
                  <w:u w:val="none"/>
                  <w:lang w:val="en-US"/>
                </w:rPr>
                <w:t xml:space="preserve">Steam Generation &amp; Utilities</w:t>
              </w:r>
            </w:hyperlink>
            <w:r/>
            <w:r>
              <w:rPr>
                <w:rFonts w:ascii="Times New Roman" w:hAnsi="Times New Roman" w:eastAsia="Times New Roman" w:cs="Times New Roman"/>
                <w:b/>
                <w:bCs/>
                <w:lang w:val="en-US"/>
              </w:rPr>
            </w:r>
          </w:p>
        </w:tc>
        <w:tc>
          <w:tcPr>
            <w:tcBorders/>
            <w:tcW w:w="0" w:type="auto"/>
            <w:textDirection w:val="lrTb"/>
            <w:noWrap w:val="false"/>
          </w:tcPr>
          <w:p w14:paraId="472C07E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Steam boiler</w:t>
            </w:r>
          </w:p>
        </w:tc>
        <w:tc>
          <w:tcPr>
            <w:tcBorders/>
            <w:tcW w:w="0" w:type="auto"/>
            <w:textDirection w:val="lrTb"/>
            <w:noWrap w:val="false"/>
          </w:tcPr>
          <w:p w14:paraId="7F37EA2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100–200 kg/hr</w:t>
            </w:r>
          </w:p>
        </w:tc>
      </w:tr>
      <w:tr>
        <w:trPr/>
        <w:tc>
          <w:tcPr>
            <w:tcBorders/>
            <w:tcW w:w="0" w:type="auto"/>
            <w:vMerge w:val="continue"/>
            <w:textDirection w:val="lrTb"/>
            <w:noWrap w:val="false"/>
          </w:tcPr>
          <w:p w14:paraId="215E453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891D6A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Turbine/pumps</w:t>
            </w:r>
          </w:p>
        </w:tc>
        <w:tc>
          <w:tcPr>
            <w:tcBorders/>
            <w:tcW w:w="0" w:type="auto"/>
            <w:textDirection w:val="lrTb"/>
            <w:noWrap w:val="false"/>
          </w:tcPr>
          <w:p w14:paraId="4DE37FD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HP</w:t>
            </w:r>
          </w:p>
        </w:tc>
      </w:tr>
      <w:tr>
        <w:trPr/>
        <w:tc>
          <w:tcPr>
            <w:tcBorders/>
            <w:tcW w:w="0" w:type="auto"/>
            <w:vMerge w:val="continue"/>
            <w:textDirection w:val="lrTb"/>
            <w:noWrap w:val="false"/>
          </w:tcPr>
          <w:p w14:paraId="7BFE694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6A193C5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652D433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Pressure gauges, heat-resistant gloves</w:t>
            </w:r>
          </w:p>
        </w:tc>
      </w:tr>
      <w:tr>
        <w:trPr/>
        <w:tc>
          <w:tcPr>
            <w:tcBorders/>
            <w:tcW w:w="0" w:type="auto"/>
            <w:vMerge w:val="restart"/>
            <w:textDirection w:val="lrTb"/>
            <w:noWrap w:val="false"/>
          </w:tcPr>
          <w:p w14:paraId="59E727C5" w14:textId="77777777">
            <w:pPr>
              <w:pBdr/>
              <w:spacing/>
              <w:ind/>
              <w:jc w:val="both"/>
              <w:rPr>
                <w:rFonts w:ascii="Times New Roman" w:hAnsi="Times New Roman" w:eastAsia="Times New Roman" w:cs="Times New Roman"/>
                <w:b/>
                <w:bCs/>
                <w:lang w:val="en-US"/>
              </w:rPr>
            </w:pPr>
            <w:r/>
            <w:hyperlink r:id="rId22" w:tooltip="ca://s?q=Wastewater_treatment_equipment_specifications" w:history="1">
              <w:r>
                <w:rPr>
                  <w:rStyle w:val="820"/>
                  <w:rFonts w:ascii="Times New Roman" w:hAnsi="Times New Roman" w:eastAsia="Times New Roman" w:cs="Times New Roman"/>
                  <w:b/>
                  <w:bCs/>
                  <w:color w:val="auto"/>
                  <w:u w:val="none"/>
                  <w:lang w:val="en-US"/>
                </w:rPr>
                <w:t xml:space="preserve">Wastewater Treatment</w:t>
              </w:r>
            </w:hyperlink>
            <w:r/>
            <w:r>
              <w:rPr>
                <w:rFonts w:ascii="Times New Roman" w:hAnsi="Times New Roman" w:eastAsia="Times New Roman" w:cs="Times New Roman"/>
                <w:b/>
                <w:bCs/>
                <w:lang w:val="en-US"/>
              </w:rPr>
            </w:r>
          </w:p>
        </w:tc>
        <w:tc>
          <w:tcPr>
            <w:tcBorders/>
            <w:tcW w:w="0" w:type="auto"/>
            <w:textDirection w:val="lrTb"/>
            <w:noWrap w:val="false"/>
          </w:tcPr>
          <w:p w14:paraId="13ED88A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Treatment system</w:t>
            </w:r>
          </w:p>
        </w:tc>
        <w:tc>
          <w:tcPr>
            <w:tcBorders/>
            <w:tcW w:w="0" w:type="auto"/>
            <w:textDirection w:val="lrTb"/>
            <w:noWrap w:val="false"/>
          </w:tcPr>
          <w:p w14:paraId="1AA16C6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m³/day</w:t>
            </w:r>
          </w:p>
        </w:tc>
      </w:tr>
      <w:tr>
        <w:trPr/>
        <w:tc>
          <w:tcPr>
            <w:tcBorders/>
            <w:tcW w:w="0" w:type="auto"/>
            <w:vMerge w:val="continue"/>
            <w:textDirection w:val="lrTb"/>
            <w:noWrap w:val="false"/>
          </w:tcPr>
          <w:p w14:paraId="75CEFAF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07ECC1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Recycling pumps</w:t>
            </w:r>
          </w:p>
        </w:tc>
        <w:tc>
          <w:tcPr>
            <w:tcBorders/>
            <w:tcW w:w="0" w:type="auto"/>
            <w:textDirection w:val="lrTb"/>
            <w:noWrap w:val="false"/>
          </w:tcPr>
          <w:p w14:paraId="3B69747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HP</w:t>
            </w:r>
          </w:p>
        </w:tc>
      </w:tr>
      <w:tr>
        <w:trPr/>
        <w:tc>
          <w:tcPr>
            <w:tcBorders/>
            <w:tcW w:w="0" w:type="auto"/>
            <w:vMerge w:val="continue"/>
            <w:textDirection w:val="lrTb"/>
            <w:noWrap w:val="false"/>
          </w:tcPr>
          <w:p w14:paraId="67BA16B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6905EA7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23014A8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Water testing kits, pH meters, sampling containers</w:t>
            </w:r>
          </w:p>
        </w:tc>
      </w:tr>
    </w:tbl>
    <w:p w14:paraId="73F1A6B6"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243BFD16" w14:textId="77777777">
      <w:pPr>
        <w:pBdr/>
        <w:spacing w:after="120" w:before="120" w:line="360" w:lineRule="auto"/>
        <w:ind/>
        <w:jc w:val="both"/>
        <w:rPr>
          <w:rFonts w:ascii="Times New Roman" w:hAnsi="Times New Roman" w:eastAsia="Times New Roman" w:cs="Times New Roman"/>
          <w:b/>
          <w:bCs/>
        </w:rPr>
      </w:pPr>
      <w:r>
        <w:rPr>
          <w:rFonts w:ascii="Times New Roman" w:hAnsi="Times New Roman" w:eastAsia="Times New Roman" w:cs="Times New Roman"/>
          <w:b/>
          <w:bCs/>
        </w:rPr>
      </w:r>
    </w:p>
    <w:p w14:paraId="18957B39" w14:textId="3A6A89FA">
      <w:pPr>
        <w:pStyle w:val="794"/>
        <w:pBdr/>
        <w:spacing/>
        <w:ind/>
        <w:rPr>
          <w:rFonts w:ascii="Times New Roman" w:hAnsi="Times New Roman" w:cs="Times New Roman"/>
          <w:b/>
          <w:color w:val="000000" w:themeColor="text1"/>
          <w:sz w:val="24"/>
          <w:szCs w:val="24"/>
        </w:rPr>
      </w:pPr>
      <w:r/>
      <w:bookmarkStart w:id="10" w:name="_Toc233892407"/>
      <w:r>
        <w:rPr>
          <w:rFonts w:ascii="Times New Roman" w:hAnsi="Times New Roman" w:cs="Times New Roman"/>
          <w:b/>
          <w:color w:val="000000" w:themeColor="text1"/>
          <w:sz w:val="24"/>
          <w:szCs w:val="24"/>
        </w:rPr>
        <w:t xml:space="preserve">2.3. Animal health sub unit and its Materials</w:t>
      </w:r>
      <w:bookmarkEnd w:id="10"/>
      <w:r/>
      <w:r>
        <w:rPr>
          <w:rFonts w:ascii="Times New Roman" w:hAnsi="Times New Roman" w:cs="Times New Roman"/>
          <w:b/>
          <w:color w:val="000000" w:themeColor="text1"/>
          <w:sz w:val="24"/>
          <w:szCs w:val="24"/>
        </w:rPr>
      </w:r>
    </w:p>
    <w:p w14:paraId="39A4EAC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Animal Health section of the Practical Training Unit (PTU) is designed as a comprehensive learning ecosystem where students engage in the full cycle of livestock management, from breeding and nutrition to advanced clinical care and disease control. This unit follows a "circular agriculture" model, where livestock production is seamlessly integrated with other units; for example, crop residues from the production fields are processed into animal feed, while livestock waste is converted into organic fertilizer for the crops or energy through biogas systems. The spatial design ensures strict adherence to biosecurity and hygiene standards, with dedicated zones for clinical services, animal housing, and feed preparation.</w:t>
      </w:r>
    </w:p>
    <w:p w14:paraId="06CFF9E3" w14:textId="5FA51256">
      <w:pPr>
        <w:pStyle w:val="828"/>
        <w:pBdr/>
        <w:spacing/>
        <w:ind/>
        <w:rPr>
          <w:rFonts w:ascii="Times New Roman" w:hAnsi="Times New Roman" w:eastAsia="Times New Roman" w:cs="Times New Roman"/>
          <w:b/>
          <w:bCs/>
          <w:i w:val="0"/>
          <w:color w:val="000000" w:themeColor="text1"/>
          <w:sz w:val="24"/>
          <w:szCs w:val="24"/>
        </w:rPr>
      </w:pPr>
      <w:r/>
      <w:bookmarkStart w:id="11" w:name="_Toc233888969"/>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5</w:t>
        <w:fldChar w:fldCharType="end"/>
        <w:t xml:space="preserve">: </w:t>
      </w:r>
      <w:r>
        <w:rPr>
          <w:rFonts w:ascii="Times New Roman" w:hAnsi="Times New Roman" w:eastAsia="Times New Roman" w:cs="Times New Roman"/>
          <w:b/>
          <w:bCs/>
          <w:i w:val="0"/>
          <w:color w:val="000000" w:themeColor="text1"/>
          <w:sz w:val="24"/>
          <w:szCs w:val="24"/>
        </w:rPr>
        <w:t xml:space="preserve">Integrated PTU Animal Health Sub-Units: Size, Modules, and Machinery</w:t>
      </w:r>
      <w:bookmarkEnd w:id="11"/>
      <w:r/>
      <w:r>
        <w:rPr>
          <w:rFonts w:ascii="Times New Roman" w:hAnsi="Times New Roman" w:eastAsia="Times New Roman" w:cs="Times New Roman"/>
          <w:b/>
          <w:bCs/>
          <w:i w:val="0"/>
          <w:color w:val="000000" w:themeColor="text1"/>
          <w:sz w:val="24"/>
          <w:szCs w:val="24"/>
        </w:rPr>
      </w:r>
    </w:p>
    <w:tbl>
      <w:tblPr>
        <w:tblStyle w:val="809"/>
        <w:tblInd w:w="0" w:type="dxa"/>
        <w:tblW w:w="98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65"/>
        <w:gridCol w:w="1723"/>
        <w:gridCol w:w="1749"/>
        <w:gridCol w:w="1889"/>
        <w:gridCol w:w="2864"/>
      </w:tblGrid>
      <w:tr>
        <w:trPr/>
        <w:tc>
          <w:tcPr>
            <w:tcBorders/>
            <w:tcW w:w="1665" w:type="dxa"/>
            <w:textDirection w:val="lrTb"/>
            <w:noWrap w:val="false"/>
          </w:tcPr>
          <w:p w14:paraId="73B23D46"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cW w:w="1723" w:type="dxa"/>
            <w:textDirection w:val="lrTb"/>
            <w:noWrap w:val="false"/>
          </w:tcPr>
          <w:p w14:paraId="17E58F08"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Study Location (PTU Sub-Unit)</w:t>
            </w:r>
          </w:p>
        </w:tc>
        <w:tc>
          <w:tcPr>
            <w:tcBorders/>
            <w:tcW w:w="1749" w:type="dxa"/>
            <w:textDirection w:val="lrTb"/>
            <w:noWrap w:val="false"/>
          </w:tcPr>
          <w:p w14:paraId="5CACEF42"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Size (SQM)</w:t>
            </w:r>
          </w:p>
        </w:tc>
        <w:tc>
          <w:tcPr>
            <w:tcBorders/>
            <w:tcW w:w="1889" w:type="dxa"/>
            <w:textDirection w:val="lrTb"/>
            <w:noWrap w:val="false"/>
          </w:tcPr>
          <w:p w14:paraId="7163B082"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Primary Learning Modules</w:t>
            </w:r>
          </w:p>
        </w:tc>
        <w:tc>
          <w:tcPr>
            <w:tcBorders/>
            <w:tcW w:w="2864" w:type="dxa"/>
            <w:textDirection w:val="lrTb"/>
            <w:noWrap w:val="false"/>
          </w:tcPr>
          <w:p w14:paraId="18775CE5" w14:textId="77777777">
            <w:pPr>
              <w:pBdr/>
              <w:spacing w:after="160" w:line="278"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Needed Machinery &amp; Utensils (Equipment and Tools)</w:t>
            </w:r>
          </w:p>
        </w:tc>
      </w:tr>
      <w:tr>
        <w:trPr/>
        <w:tc>
          <w:tcPr>
            <w:tcBorders/>
            <w:tcW w:w="1665" w:type="dxa"/>
            <w:textDirection w:val="lrTb"/>
            <w:noWrap w:val="false"/>
          </w:tcPr>
          <w:p w14:paraId="71A0BD5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Veterinary Clinical Services</w:t>
            </w:r>
            <w:r>
              <w:rPr>
                <w:rFonts w:ascii="Times New Roman" w:hAnsi="Times New Roman" w:eastAsia="Times New Roman" w:cs="Times New Roman"/>
              </w:rPr>
            </w:r>
          </w:p>
        </w:tc>
        <w:tc>
          <w:tcPr>
            <w:tcBorders/>
            <w:tcW w:w="1723" w:type="dxa"/>
            <w:textDirection w:val="lrTb"/>
            <w:noWrap w:val="false"/>
          </w:tcPr>
          <w:p w14:paraId="3E8BE74E"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H - Veterinary Unit (Clinic &amp; Lab)</w:t>
            </w:r>
          </w:p>
        </w:tc>
        <w:tc>
          <w:tcPr>
            <w:tcBorders/>
            <w:tcW w:w="1749" w:type="dxa"/>
            <w:textDirection w:val="lrTb"/>
            <w:noWrap w:val="false"/>
          </w:tcPr>
          <w:p w14:paraId="18356033"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r>
          </w:p>
        </w:tc>
        <w:tc>
          <w:tcPr>
            <w:tcBorders/>
            <w:tcW w:w="1889" w:type="dxa"/>
            <w:textDirection w:val="lrTb"/>
            <w:noWrap w:val="false"/>
          </w:tcPr>
          <w:p w14:paraId="52B8353B"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Minor &amp; Major Surgery assistance; Necropsy evaluation; Disease diagnosis (Infectious, Parasitic, Metabolic); Artificial Insemination (AI).</w:t>
            </w:r>
          </w:p>
        </w:tc>
        <w:tc>
          <w:tcPr>
            <w:tcBorders/>
            <w:tcW w:w="2864" w:type="dxa"/>
            <w:textDirection w:val="lrTb"/>
            <w:noWrap w:val="false"/>
          </w:tcPr>
          <w:p w14:paraId="7FDEF4D1"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Sterilizer trays, stereomicroscope, centrifuge, autoclave, incubators, stereomicroscope, ultrasound for (pregnancy testing), surgical blades, crush, Examination tables, Autoclave sterilizer, Refrigerator/freezer, Centrifuge </w:t>
            </w:r>
          </w:p>
          <w:p w14:paraId="2762F4B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Microscope, Ultrasound machine, Weighing scales, Incubator, Oxygen concentrator</w:t>
            </w:r>
          </w:p>
          <w:p w14:paraId="1A52841F"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Stethoscope, thermometers, surgical kits, suture materials, catheters, AI guns, and necropsy tools (boning knives, saws, shears).</w:t>
            </w:r>
          </w:p>
        </w:tc>
      </w:tr>
      <w:tr>
        <w:trPr/>
        <w:tc>
          <w:tcPr>
            <w:tcBorders/>
            <w:tcW w:w="1665" w:type="dxa"/>
            <w:textDirection w:val="lrTb"/>
            <w:noWrap w:val="false"/>
          </w:tcPr>
          <w:p w14:paraId="15EEDE6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Dairy &amp; Ruminant Management</w:t>
            </w:r>
            <w:r>
              <w:rPr>
                <w:rFonts w:ascii="Times New Roman" w:hAnsi="Times New Roman" w:eastAsia="Times New Roman" w:cs="Times New Roman"/>
              </w:rPr>
            </w:r>
          </w:p>
        </w:tc>
        <w:tc>
          <w:tcPr>
            <w:tcBorders/>
            <w:tcW w:w="1723" w:type="dxa"/>
            <w:textDirection w:val="lrTb"/>
            <w:noWrap w:val="false"/>
          </w:tcPr>
          <w:p w14:paraId="07D68AA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A - Ruminant Unit (Dairy)</w:t>
            </w:r>
          </w:p>
        </w:tc>
        <w:tc>
          <w:tcPr>
            <w:tcBorders/>
            <w:tcW w:w="1749" w:type="dxa"/>
            <w:textDirection w:val="lrTb"/>
            <w:noWrap w:val="false"/>
          </w:tcPr>
          <w:p w14:paraId="4C91165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200 SQM</w:t>
            </w:r>
            <w:r>
              <w:rPr>
                <w:rFonts w:ascii="Times New Roman" w:hAnsi="Times New Roman" w:eastAsia="Times New Roman" w:cs="Times New Roman"/>
              </w:rPr>
            </w:r>
          </w:p>
        </w:tc>
        <w:tc>
          <w:tcPr>
            <w:tcBorders/>
            <w:tcW w:w="1889" w:type="dxa"/>
            <w:textDirection w:val="lrTb"/>
            <w:noWrap w:val="false"/>
          </w:tcPr>
          <w:p w14:paraId="75129E88"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Milking parlor operations; Ruminant farming; Milk quality and quantity monitoring.</w:t>
            </w:r>
          </w:p>
        </w:tc>
        <w:tc>
          <w:tcPr>
            <w:tcBorders/>
            <w:tcW w:w="2864" w:type="dxa"/>
            <w:textDirection w:val="lrTb"/>
            <w:noWrap w:val="false"/>
          </w:tcPr>
          <w:p w14:paraId="6658B79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Milking machines (pipeline/mobile), bulk milk tanks, milk claws, and udder washers. </w:t>
            </w:r>
          </w:p>
          <w:p w14:paraId="74875917"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Lactometers, CMT kits, mastitis detectors, teat sanitizing cups, and milk cans.</w:t>
            </w:r>
          </w:p>
        </w:tc>
      </w:tr>
      <w:tr>
        <w:trPr/>
        <w:tc>
          <w:tcPr>
            <w:tcBorders/>
            <w:tcW w:w="1665" w:type="dxa"/>
            <w:textDirection w:val="lrTb"/>
            <w:noWrap w:val="false"/>
          </w:tcPr>
          <w:p w14:paraId="33EA6026"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Poultry &amp; Hatchery Operations</w:t>
            </w:r>
            <w:r>
              <w:rPr>
                <w:rFonts w:ascii="Times New Roman" w:hAnsi="Times New Roman" w:eastAsia="Times New Roman" w:cs="Times New Roman"/>
              </w:rPr>
            </w:r>
          </w:p>
        </w:tc>
        <w:tc>
          <w:tcPr>
            <w:tcBorders/>
            <w:tcW w:w="1723" w:type="dxa"/>
            <w:textDirection w:val="lrTb"/>
            <w:noWrap w:val="false"/>
          </w:tcPr>
          <w:p w14:paraId="4177504C"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D (Broilers) &amp; Block G (Layers)</w:t>
            </w:r>
          </w:p>
        </w:tc>
        <w:tc>
          <w:tcPr>
            <w:tcBorders/>
            <w:tcW w:w="1749" w:type="dxa"/>
            <w:textDirection w:val="lrTb"/>
            <w:noWrap w:val="false"/>
          </w:tcPr>
          <w:p w14:paraId="195039D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250 SQM</w:t>
            </w:r>
            <w:r>
              <w:rPr>
                <w:rFonts w:ascii="Times New Roman" w:hAnsi="Times New Roman" w:eastAsia="Times New Roman" w:cs="Times New Roman"/>
              </w:rPr>
              <w:t xml:space="preserve"> (125*2)</w:t>
            </w:r>
          </w:p>
        </w:tc>
        <w:tc>
          <w:tcPr>
            <w:tcBorders/>
            <w:tcW w:w="1889" w:type="dxa"/>
            <w:textDirection w:val="lrTb"/>
            <w:noWrap w:val="false"/>
          </w:tcPr>
          <w:p w14:paraId="35C6E85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Poultry farming operations; Brooding management; Hatchery operations (Integrated).</w:t>
            </w:r>
          </w:p>
        </w:tc>
        <w:tc>
          <w:tcPr>
            <w:tcBorders/>
            <w:tcW w:w="2864" w:type="dxa"/>
            <w:textDirection w:val="lrTb"/>
            <w:noWrap w:val="false"/>
          </w:tcPr>
          <w:p w14:paraId="2ACBE3D1"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Incubators (setter and hatcher), brooders (heat lamps/heaters), and automatic feeders. </w:t>
            </w:r>
          </w:p>
          <w:p w14:paraId="6AEF81B8"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Egg candlers, egg trays/baskets, timers, debeakers, and vaccination syringes.</w:t>
            </w:r>
          </w:p>
        </w:tc>
      </w:tr>
      <w:tr>
        <w:trPr/>
        <w:tc>
          <w:tcPr>
            <w:tcBorders/>
            <w:tcW w:w="1665" w:type="dxa"/>
            <w:textDirection w:val="lrTb"/>
            <w:noWrap w:val="false"/>
          </w:tcPr>
          <w:p w14:paraId="0415A310"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Pig Farming</w:t>
            </w:r>
            <w:r>
              <w:rPr>
                <w:rFonts w:ascii="Times New Roman" w:hAnsi="Times New Roman" w:eastAsia="Times New Roman" w:cs="Times New Roman"/>
              </w:rPr>
            </w:r>
          </w:p>
        </w:tc>
        <w:tc>
          <w:tcPr>
            <w:tcBorders/>
            <w:tcW w:w="1723" w:type="dxa"/>
            <w:textDirection w:val="lrTb"/>
            <w:noWrap w:val="false"/>
          </w:tcPr>
          <w:p w14:paraId="4D1D3FE1"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B - Pig Unit</w:t>
            </w:r>
          </w:p>
        </w:tc>
        <w:tc>
          <w:tcPr>
            <w:tcBorders/>
            <w:tcW w:w="1749" w:type="dxa"/>
            <w:textDirection w:val="lrTb"/>
            <w:noWrap w:val="false"/>
          </w:tcPr>
          <w:p w14:paraId="7628805F"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200 SQM</w:t>
            </w:r>
            <w:r>
              <w:rPr>
                <w:rFonts w:ascii="Times New Roman" w:hAnsi="Times New Roman" w:eastAsia="Times New Roman" w:cs="Times New Roman"/>
              </w:rPr>
            </w:r>
          </w:p>
        </w:tc>
        <w:tc>
          <w:tcPr>
            <w:tcBorders/>
            <w:tcW w:w="1889" w:type="dxa"/>
            <w:textDirection w:val="lrTb"/>
            <w:noWrap w:val="false"/>
          </w:tcPr>
          <w:p w14:paraId="0AD1B11B"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Piggery construction and maintenance; Pig rearing techniques; Swine disease control.</w:t>
            </w:r>
          </w:p>
        </w:tc>
        <w:tc>
          <w:tcPr>
            <w:tcBorders/>
            <w:tcW w:w="2864" w:type="dxa"/>
            <w:textDirection w:val="lrTb"/>
            <w:noWrap w:val="false"/>
          </w:tcPr>
          <w:p w14:paraId="2983FE33"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Grinding and mixing machines, high-pressure sprayers, piglet hot boxes, and weighing scales.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Ear notchers, teeth clippers, castratomes, and pregnancy detectors.</w:t>
            </w:r>
          </w:p>
        </w:tc>
      </w:tr>
      <w:tr>
        <w:trPr/>
        <w:tc>
          <w:tcPr>
            <w:tcBorders/>
            <w:tcW w:w="1665" w:type="dxa"/>
            <w:textDirection w:val="lrTb"/>
            <w:noWrap w:val="false"/>
          </w:tcPr>
          <w:p w14:paraId="075553C0"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Small Ruminant Management</w:t>
            </w:r>
            <w:r>
              <w:rPr>
                <w:rFonts w:ascii="Times New Roman" w:hAnsi="Times New Roman" w:eastAsia="Times New Roman" w:cs="Times New Roman"/>
              </w:rPr>
            </w:r>
          </w:p>
        </w:tc>
        <w:tc>
          <w:tcPr>
            <w:tcBorders/>
            <w:tcW w:w="1723" w:type="dxa"/>
            <w:textDirection w:val="lrTb"/>
            <w:noWrap w:val="false"/>
          </w:tcPr>
          <w:p w14:paraId="6F7A9AE7"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C - Small Ruminant (Goats/Sheep)</w:t>
            </w:r>
          </w:p>
        </w:tc>
        <w:tc>
          <w:tcPr>
            <w:tcBorders/>
            <w:tcW w:w="1749" w:type="dxa"/>
            <w:textDirection w:val="lrTb"/>
            <w:noWrap w:val="false"/>
          </w:tcPr>
          <w:p w14:paraId="4D958BEC"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200 SQM</w:t>
            </w:r>
            <w:r>
              <w:rPr>
                <w:rFonts w:ascii="Times New Roman" w:hAnsi="Times New Roman" w:eastAsia="Times New Roman" w:cs="Times New Roman"/>
              </w:rPr>
            </w:r>
          </w:p>
        </w:tc>
        <w:tc>
          <w:tcPr>
            <w:tcBorders/>
            <w:tcW w:w="1889" w:type="dxa"/>
            <w:textDirection w:val="lrTb"/>
            <w:noWrap w:val="false"/>
          </w:tcPr>
          <w:p w14:paraId="7D25CE3F"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Goat and sheep farming; Breeding and parturition assistance.</w:t>
            </w:r>
          </w:p>
        </w:tc>
        <w:tc>
          <w:tcPr>
            <w:tcBorders/>
            <w:tcW w:w="2864" w:type="dxa"/>
            <w:textDirection w:val="lrTb"/>
            <w:noWrap w:val="false"/>
          </w:tcPr>
          <w:p w14:paraId="2E664E35"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Feeding systems, weighing bridges, and grooming equipment.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Hoof trimmers, ear tag applicators, drenching guns, and elastrators.</w:t>
            </w:r>
          </w:p>
        </w:tc>
      </w:tr>
      <w:tr>
        <w:trPr/>
        <w:tc>
          <w:tcPr>
            <w:tcBorders/>
            <w:tcW w:w="1665" w:type="dxa"/>
            <w:textDirection w:val="lrTb"/>
            <w:noWrap w:val="false"/>
          </w:tcPr>
          <w:p w14:paraId="2FEE644A"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Fish Farming (Aquaculture)</w:t>
            </w:r>
            <w:r>
              <w:rPr>
                <w:rFonts w:ascii="Times New Roman" w:hAnsi="Times New Roman" w:eastAsia="Times New Roman" w:cs="Times New Roman"/>
              </w:rPr>
            </w:r>
          </w:p>
        </w:tc>
        <w:tc>
          <w:tcPr>
            <w:tcBorders/>
            <w:tcW w:w="1723" w:type="dxa"/>
            <w:textDirection w:val="lrTb"/>
            <w:noWrap w:val="false"/>
          </w:tcPr>
          <w:p w14:paraId="678A2E17" w14:textId="24173156">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Blocks L, M, N, O – Ponds</w:t>
            </w:r>
          </w:p>
        </w:tc>
        <w:tc>
          <w:tcPr>
            <w:tcBorders/>
            <w:tcW w:w="1749" w:type="dxa"/>
            <w:textDirection w:val="lrTb"/>
            <w:noWrap w:val="false"/>
          </w:tcPr>
          <w:p w14:paraId="3B1725F0"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200 SQM</w:t>
            </w:r>
            <w:r>
              <w:rPr>
                <w:rFonts w:ascii="Times New Roman" w:hAnsi="Times New Roman" w:eastAsia="Times New Roman" w:cs="Times New Roman"/>
              </w:rPr>
              <w:t xml:space="preserve"> (50*4)</w:t>
            </w:r>
          </w:p>
        </w:tc>
        <w:tc>
          <w:tcPr>
            <w:tcBorders/>
            <w:tcW w:w="1889" w:type="dxa"/>
            <w:textDirection w:val="lrTb"/>
            <w:noWrap w:val="false"/>
          </w:tcPr>
          <w:p w14:paraId="02172C27"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Aquaculture system installation; Hatching and nursery activities; Fish harvesting and grading.</w:t>
            </w:r>
          </w:p>
        </w:tc>
        <w:tc>
          <w:tcPr>
            <w:tcBorders/>
            <w:tcW w:w="2864" w:type="dxa"/>
            <w:textDirection w:val="lrTb"/>
            <w:noWrap w:val="false"/>
          </w:tcPr>
          <w:p w14:paraId="4E057DFA"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Oxygenated tanks, Recirculating Aquaculture System (RAS) facilities, and hatchery equipment. </w:t>
            </w:r>
          </w:p>
          <w:p w14:paraId="43BEC74C"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Secchi disks, pH meters, oxygen meters, scoop nets, and grading boards.</w:t>
            </w:r>
          </w:p>
        </w:tc>
      </w:tr>
      <w:tr>
        <w:trPr/>
        <w:tc>
          <w:tcPr>
            <w:tcBorders/>
            <w:tcW w:w="1665" w:type="dxa"/>
            <w:textDirection w:val="lrTb"/>
            <w:noWrap w:val="false"/>
          </w:tcPr>
          <w:p w14:paraId="113ED7F7"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Feed Preparation &amp; Storage</w:t>
            </w:r>
            <w:r>
              <w:rPr>
                <w:rFonts w:ascii="Times New Roman" w:hAnsi="Times New Roman" w:eastAsia="Times New Roman" w:cs="Times New Roman"/>
              </w:rPr>
            </w:r>
          </w:p>
        </w:tc>
        <w:tc>
          <w:tcPr>
            <w:tcBorders/>
            <w:tcW w:w="1723" w:type="dxa"/>
            <w:textDirection w:val="lrTb"/>
            <w:noWrap w:val="false"/>
          </w:tcPr>
          <w:p w14:paraId="32EFE53D"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F - Storage / Feed Prep Unit</w:t>
            </w:r>
          </w:p>
        </w:tc>
        <w:tc>
          <w:tcPr>
            <w:tcBorders/>
            <w:tcW w:w="1749" w:type="dxa"/>
            <w:textDirection w:val="lrTb"/>
            <w:noWrap w:val="false"/>
          </w:tcPr>
          <w:p w14:paraId="383A2C14"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100 SQM</w:t>
            </w:r>
            <w:r>
              <w:rPr>
                <w:rFonts w:ascii="Times New Roman" w:hAnsi="Times New Roman" w:eastAsia="Times New Roman" w:cs="Times New Roman"/>
              </w:rPr>
            </w:r>
          </w:p>
        </w:tc>
        <w:tc>
          <w:tcPr>
            <w:tcBorders/>
            <w:tcW w:w="1889" w:type="dxa"/>
            <w:textDirection w:val="lrTb"/>
            <w:noWrap w:val="false"/>
          </w:tcPr>
          <w:p w14:paraId="2AB9C9B8"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Fodder crops conservation (Silage/Hay making); Concentrates preparation and distribution.</w:t>
            </w:r>
          </w:p>
        </w:tc>
        <w:tc>
          <w:tcPr>
            <w:tcBorders/>
            <w:tcW w:w="2864" w:type="dxa"/>
            <w:textDirection w:val="lrTb"/>
            <w:noWrap w:val="false"/>
          </w:tcPr>
          <w:p w14:paraId="347C5224"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Chaff cutters, motor-driven choppers, feed mixers, pelleting machines, and ovens. </w:t>
            </w:r>
            <w:r>
              <w:rPr>
                <w:rFonts w:ascii="Times New Roman" w:hAnsi="Times New Roman" w:eastAsia="Times New Roman" w:cs="Times New Roman"/>
                <w:b/>
                <w:bCs/>
              </w:rPr>
              <w:t xml:space="preserve">Tools:</w:t>
            </w:r>
            <w:r>
              <w:rPr>
                <w:rFonts w:ascii="Times New Roman" w:hAnsi="Times New Roman" w:eastAsia="Times New Roman" w:cs="Times New Roman"/>
              </w:rPr>
              <w:t xml:space="preserve"> Moisture meters, shovels, sieves, weighing scales, and silo sealing materials.</w:t>
            </w:r>
          </w:p>
        </w:tc>
      </w:tr>
      <w:tr>
        <w:trPr/>
        <w:tc>
          <w:tcPr>
            <w:tcBorders/>
            <w:tcW w:w="1665" w:type="dxa"/>
            <w:textDirection w:val="lrTb"/>
            <w:noWrap w:val="false"/>
          </w:tcPr>
          <w:p w14:paraId="4E3CDE4E"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Rabbit </w:t>
            </w:r>
            <w:r>
              <w:rPr>
                <w:rFonts w:ascii="Times New Roman" w:hAnsi="Times New Roman" w:eastAsia="Times New Roman" w:cs="Times New Roman"/>
              </w:rPr>
            </w:r>
          </w:p>
        </w:tc>
        <w:tc>
          <w:tcPr>
            <w:tcBorders/>
            <w:tcW w:w="1723" w:type="dxa"/>
            <w:textDirection w:val="lrTb"/>
            <w:noWrap w:val="false"/>
          </w:tcPr>
          <w:p w14:paraId="102946A8"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Block I (Rabbit) &amp; Block E (Companion)</w:t>
            </w:r>
          </w:p>
        </w:tc>
        <w:tc>
          <w:tcPr>
            <w:tcBorders/>
            <w:tcW w:w="1749" w:type="dxa"/>
            <w:textDirection w:val="lrTb"/>
            <w:noWrap w:val="false"/>
          </w:tcPr>
          <w:p w14:paraId="1A885939" w14:textId="77777777">
            <w:pPr>
              <w:pBdr/>
              <w:spacing w:after="160" w:line="278" w:lineRule="auto"/>
              <w:ind/>
              <w:jc w:val="both"/>
              <w:rPr>
                <w:rFonts w:ascii="Times New Roman" w:hAnsi="Times New Roman" w:eastAsia="Times New Roman" w:cs="Times New Roman"/>
              </w:rPr>
            </w:pPr>
            <w:commentRangeStart w:id="3"/>
            <w:r>
              <w:rPr>
                <w:rFonts w:ascii="Times New Roman" w:hAnsi="Times New Roman" w:eastAsia="Times New Roman" w:cs="Times New Roman"/>
                <w:b/>
                <w:bCs/>
              </w:rPr>
              <w:t xml:space="preserve">115 SQM</w:t>
            </w:r>
            <w:commentRangeEnd w:id="3"/>
            <w:r>
              <w:rPr>
                <w:rStyle w:val="CommentReference"/>
              </w:rPr>
              <w:commentReference w:id="3"/>
            </w:r>
            <w:r>
              <w:rPr>
                <w:rFonts w:ascii="Times New Roman" w:hAnsi="Times New Roman" w:eastAsia="Times New Roman" w:cs="Times New Roman"/>
              </w:rPr>
              <w:t xml:space="preserve"> (75 + 40)</w:t>
            </w:r>
          </w:p>
        </w:tc>
        <w:tc>
          <w:tcPr>
            <w:tcBorders/>
            <w:tcW w:w="1889" w:type="dxa"/>
            <w:textDirection w:val="lrTb"/>
            <w:noWrap w:val="false"/>
          </w:tcPr>
          <w:p w14:paraId="7BD3B067"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rPr>
              <w:t xml:space="preserve">Rabbit farming; Companion animal management (Dogs/Cats); Animal training techniques.</w:t>
            </w:r>
          </w:p>
        </w:tc>
        <w:tc>
          <w:tcPr>
            <w:tcBorders/>
            <w:tcW w:w="2864" w:type="dxa"/>
            <w:textDirection w:val="lrTb"/>
            <w:noWrap w:val="false"/>
          </w:tcPr>
          <w:p w14:paraId="03235150"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Battery cages, sniffer dog training kits, and incinerators. </w:t>
            </w:r>
          </w:p>
          <w:p w14:paraId="7CF32122" w14:textId="77777777">
            <w:pPr>
              <w:pBdr/>
              <w:spacing w:after="160" w:line="278"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Grooming brushes, collars/leashes, microchips, tattooing tools, and nest boxes.</w:t>
            </w:r>
          </w:p>
        </w:tc>
      </w:tr>
      <w:tr>
        <w:trPr/>
        <w:tc>
          <w:tcPr>
            <w:tcBorders/>
            <w:tcW w:w="1665" w:type="dxa"/>
            <w:textDirection w:val="lrTb"/>
            <w:noWrap w:val="false"/>
          </w:tcPr>
          <w:p w14:paraId="56AF920E"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rPr>
              <w:t xml:space="preserve">Dogs &amp; Cats</w:t>
            </w:r>
            <w:r>
              <w:rPr>
                <w:rFonts w:ascii="Times New Roman" w:hAnsi="Times New Roman" w:eastAsia="Times New Roman" w:cs="Times New Roman"/>
                <w:b/>
                <w:bCs/>
              </w:rPr>
            </w:r>
          </w:p>
        </w:tc>
        <w:tc>
          <w:tcPr>
            <w:tcBorders/>
            <w:tcW w:w="1723" w:type="dxa"/>
            <w:textDirection w:val="lrTb"/>
            <w:noWrap w:val="false"/>
          </w:tcPr>
          <w:p w14:paraId="2883013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Block E: Companion Animal Unit</w:t>
            </w:r>
          </w:p>
        </w:tc>
        <w:tc>
          <w:tcPr>
            <w:tcBorders/>
            <w:tcW w:w="1749" w:type="dxa"/>
            <w:textDirection w:val="lrTb"/>
            <w:noWrap w:val="false"/>
          </w:tcPr>
          <w:p w14:paraId="44D1BA66"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rPr>
              <w:t xml:space="preserve">20 SQM</w:t>
            </w:r>
            <w:r>
              <w:rPr>
                <w:rFonts w:ascii="Times New Roman" w:hAnsi="Times New Roman" w:eastAsia="Times New Roman" w:cs="Times New Roman"/>
                <w:b/>
                <w:bCs/>
              </w:rPr>
            </w:r>
          </w:p>
        </w:tc>
        <w:tc>
          <w:tcPr>
            <w:tcBorders/>
            <w:tcW w:w="1889" w:type="dxa"/>
            <w:textDirection w:val="lrTb"/>
            <w:noWrap w:val="false"/>
          </w:tcPr>
          <w:p w14:paraId="3CE8AFB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Breed identification, training for guide/sniffer roles, and kennel/cage management.</w:t>
            </w:r>
          </w:p>
        </w:tc>
        <w:tc>
          <w:tcPr>
            <w:tcBorders/>
            <w:tcW w:w="2864" w:type="dxa"/>
            <w:textDirection w:val="lrTb"/>
            <w:noWrap w:val="false"/>
          </w:tcPr>
          <w:p w14:paraId="45AA2FC9"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Battery cages, sniffer dog training kits, and incinerators. </w:t>
            </w:r>
          </w:p>
          <w:p w14:paraId="2CF81B38"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Grooming brushes, collars/leashes, microchips, tattooing tools, and nest boxes.</w:t>
            </w:r>
            <w:r>
              <w:rPr>
                <w:rFonts w:ascii="Times New Roman" w:hAnsi="Times New Roman" w:eastAsia="Times New Roman" w:cs="Times New Roman"/>
                <w:b/>
                <w:bCs/>
              </w:rPr>
            </w:r>
          </w:p>
        </w:tc>
      </w:tr>
      <w:tr>
        <w:trPr/>
        <w:tc>
          <w:tcPr>
            <w:tcBorders/>
            <w:tcW w:w="1665" w:type="dxa"/>
            <w:textDirection w:val="lrTb"/>
            <w:noWrap w:val="false"/>
          </w:tcPr>
          <w:p w14:paraId="38DE1432"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Pet Birds</w:t>
            </w:r>
            <w:r>
              <w:rPr>
                <w:rFonts w:ascii="Times New Roman" w:hAnsi="Times New Roman" w:eastAsia="Times New Roman" w:cs="Times New Roman"/>
                <w:b/>
                <w:bCs/>
              </w:rPr>
            </w:r>
          </w:p>
        </w:tc>
        <w:tc>
          <w:tcPr>
            <w:tcBorders/>
            <w:tcW w:w="1723" w:type="dxa"/>
            <w:textDirection w:val="lrTb"/>
            <w:noWrap w:val="false"/>
          </w:tcPr>
          <w:p w14:paraId="3AB99077"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Block E (Companion) or Block H (Veterinary Unit)</w:t>
            </w:r>
            <w:r>
              <w:rPr>
                <w:rFonts w:ascii="Times New Roman" w:hAnsi="Times New Roman" w:eastAsia="Times New Roman" w:cs="Times New Roman"/>
              </w:rPr>
            </w:r>
          </w:p>
        </w:tc>
        <w:tc>
          <w:tcPr>
            <w:tcBorders/>
            <w:tcW w:w="1749" w:type="dxa"/>
            <w:textDirection w:val="lrTb"/>
            <w:noWrap w:val="false"/>
          </w:tcPr>
          <w:p w14:paraId="7BE7F7F3"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color w:val="303030"/>
              </w:rPr>
              <w:t xml:space="preserve">Integrated (within 4 SQM box)</w:t>
            </w:r>
            <w:r>
              <w:rPr>
                <w:rFonts w:ascii="Times New Roman" w:hAnsi="Times New Roman" w:eastAsia="Times New Roman" w:cs="Times New Roman"/>
                <w:b/>
                <w:bCs/>
              </w:rPr>
            </w:r>
          </w:p>
        </w:tc>
        <w:tc>
          <w:tcPr>
            <w:tcBorders/>
            <w:tcW w:w="1889" w:type="dxa"/>
            <w:textDirection w:val="lrTb"/>
            <w:noWrap w:val="false"/>
          </w:tcPr>
          <w:p w14:paraId="0D201380"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Clinical examination and necropsy evaluation (referencing bird-specific checklists).</w:t>
            </w:r>
            <w:r>
              <w:rPr>
                <w:rFonts w:ascii="Times New Roman" w:hAnsi="Times New Roman" w:eastAsia="Times New Roman" w:cs="Times New Roman"/>
              </w:rPr>
            </w:r>
          </w:p>
        </w:tc>
        <w:tc>
          <w:tcPr>
            <w:tcBorders/>
            <w:tcW w:w="2864" w:type="dxa"/>
            <w:textDirection w:val="lrTb"/>
            <w:noWrap w:val="false"/>
          </w:tcPr>
          <w:p w14:paraId="2298D078" w14:textId="77777777">
            <w:pPr>
              <w:pBdr/>
              <w:spacing/>
              <w:ind/>
              <w:jc w:val="both"/>
              <w:rPr>
                <w:rFonts w:ascii="Times New Roman" w:hAnsi="Times New Roman" w:eastAsia="Times New Roman" w:cs="Times New Roman"/>
                <w:color w:val="303030"/>
              </w:rPr>
            </w:pPr>
            <w:r>
              <w:rPr>
                <w:rFonts w:ascii="Times New Roman" w:hAnsi="Times New Roman" w:eastAsia="Times New Roman" w:cs="Times New Roman"/>
                <w:b/>
                <w:bCs/>
                <w:color w:val="303030"/>
              </w:rPr>
              <w:t xml:space="preserve">Equipment:</w:t>
            </w:r>
            <w:r>
              <w:rPr>
                <w:rFonts w:ascii="Times New Roman" w:hAnsi="Times New Roman" w:eastAsia="Times New Roman" w:cs="Times New Roman"/>
                <w:color w:val="303030"/>
              </w:rPr>
              <w:t xml:space="preserve"> Sterilizer trays, stereomicroscope, incubators, and refrigerator/freezer. </w:t>
            </w:r>
          </w:p>
          <w:p w14:paraId="5B82638F"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Tools:</w:t>
            </w:r>
            <w:r>
              <w:rPr>
                <w:rFonts w:ascii="Times New Roman" w:hAnsi="Times New Roman" w:eastAsia="Times New Roman" w:cs="Times New Roman"/>
                <w:color w:val="303030"/>
              </w:rPr>
              <w:t xml:space="preserve"> Stethoscopes, thermometers, surgical kits, and necropsy tools (shears, boning knives).</w:t>
            </w:r>
            <w:r>
              <w:rPr>
                <w:rFonts w:ascii="Times New Roman" w:hAnsi="Times New Roman" w:eastAsia="Times New Roman" w:cs="Times New Roman"/>
                <w:b/>
                <w:bCs/>
              </w:rPr>
            </w:r>
          </w:p>
        </w:tc>
      </w:tr>
      <w:tr>
        <w:trPr/>
        <w:tc>
          <w:tcPr>
            <w:tcBorders/>
            <w:tcW w:w="1665" w:type="dxa"/>
            <w:textDirection w:val="lrTb"/>
            <w:noWrap w:val="false"/>
          </w:tcPr>
          <w:p w14:paraId="0809CCC3"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Pigeons &amp; Guinea Fowls</w:t>
            </w:r>
            <w:r>
              <w:rPr>
                <w:rFonts w:ascii="Times New Roman" w:hAnsi="Times New Roman" w:eastAsia="Times New Roman" w:cs="Times New Roman"/>
                <w:b/>
                <w:bCs/>
              </w:rPr>
            </w:r>
          </w:p>
        </w:tc>
        <w:tc>
          <w:tcPr>
            <w:tcBorders/>
            <w:tcW w:w="1723" w:type="dxa"/>
            <w:textDirection w:val="lrTb"/>
            <w:noWrap w:val="false"/>
          </w:tcPr>
          <w:p w14:paraId="7B0119B2"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Block D/G: Poultry Units</w:t>
            </w:r>
            <w:r>
              <w:rPr>
                <w:rFonts w:ascii="Times New Roman" w:hAnsi="Times New Roman" w:eastAsia="Times New Roman" w:cs="Times New Roman"/>
              </w:rPr>
            </w:r>
          </w:p>
        </w:tc>
        <w:tc>
          <w:tcPr>
            <w:tcBorders/>
            <w:tcW w:w="1749" w:type="dxa"/>
            <w:textDirection w:val="lrTb"/>
            <w:noWrap w:val="false"/>
          </w:tcPr>
          <w:p w14:paraId="7443BF17"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color w:val="303030"/>
              </w:rPr>
              <w:t xml:space="preserve">10 SQM total (5 SQM x 2)</w:t>
            </w:r>
            <w:r>
              <w:rPr>
                <w:rFonts w:ascii="Times New Roman" w:hAnsi="Times New Roman" w:eastAsia="Times New Roman" w:cs="Times New Roman"/>
                <w:b/>
                <w:bCs/>
              </w:rPr>
            </w:r>
          </w:p>
        </w:tc>
        <w:tc>
          <w:tcPr>
            <w:tcBorders/>
            <w:tcW w:w="1889" w:type="dxa"/>
            <w:textDirection w:val="lrTb"/>
            <w:noWrap w:val="false"/>
          </w:tcPr>
          <w:p w14:paraId="6606D841"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Breed identification, specialized housing (runs/grass areas), and rearing protocols.</w:t>
            </w:r>
            <w:r>
              <w:rPr>
                <w:rFonts w:ascii="Times New Roman" w:hAnsi="Times New Roman" w:eastAsia="Times New Roman" w:cs="Times New Roman"/>
              </w:rPr>
            </w:r>
          </w:p>
        </w:tc>
        <w:tc>
          <w:tcPr>
            <w:tcBorders/>
            <w:tcW w:w="2864" w:type="dxa"/>
            <w:textDirection w:val="lrTb"/>
            <w:noWrap w:val="false"/>
          </w:tcPr>
          <w:p w14:paraId="2FA31C0B" w14:textId="77777777">
            <w:pPr>
              <w:pBdr/>
              <w:spacing/>
              <w:ind/>
              <w:jc w:val="both"/>
              <w:rPr>
                <w:rFonts w:ascii="Times New Roman" w:hAnsi="Times New Roman" w:eastAsia="Times New Roman" w:cs="Times New Roman"/>
                <w:color w:val="303030"/>
              </w:rPr>
            </w:pPr>
            <w:r>
              <w:rPr>
                <w:rFonts w:ascii="Times New Roman" w:hAnsi="Times New Roman" w:eastAsia="Times New Roman" w:cs="Times New Roman"/>
                <w:b/>
                <w:bCs/>
                <w:color w:val="303030"/>
              </w:rPr>
              <w:t xml:space="preserve">Equipment:</w:t>
            </w:r>
            <w:r>
              <w:rPr>
                <w:rFonts w:ascii="Times New Roman" w:hAnsi="Times New Roman" w:eastAsia="Times New Roman" w:cs="Times New Roman"/>
                <w:color w:val="303030"/>
              </w:rPr>
              <w:t xml:space="preserve"> Incubators (setter and hatcher), brooders (heat lamps), and automatic feeders. </w:t>
            </w:r>
          </w:p>
          <w:p w14:paraId="1F779117" w14:textId="77777777">
            <w:pPr>
              <w:pBdr/>
              <w:spacing/>
              <w:ind/>
              <w:jc w:val="both"/>
              <w:rPr>
                <w:rFonts w:ascii="Times New Roman" w:hAnsi="Times New Roman" w:eastAsia="Times New Roman" w:cs="Times New Roman"/>
                <w:b/>
                <w:bCs/>
                <w:color w:val="303030"/>
              </w:rPr>
            </w:pPr>
            <w:r>
              <w:rPr>
                <w:rFonts w:ascii="Times New Roman" w:hAnsi="Times New Roman" w:eastAsia="Times New Roman" w:cs="Times New Roman"/>
                <w:b/>
                <w:bCs/>
                <w:color w:val="303030"/>
              </w:rPr>
            </w:r>
          </w:p>
          <w:p w14:paraId="4905D095"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Tools:</w:t>
            </w:r>
            <w:r>
              <w:rPr>
                <w:rFonts w:ascii="Times New Roman" w:hAnsi="Times New Roman" w:eastAsia="Times New Roman" w:cs="Times New Roman"/>
                <w:color w:val="303030"/>
              </w:rPr>
              <w:t xml:space="preserve"> Egg candlers, egg trays/baskets, timers, debeakers, and vaccination syringes.</w:t>
            </w:r>
            <w:r>
              <w:rPr>
                <w:rFonts w:ascii="Times New Roman" w:hAnsi="Times New Roman" w:eastAsia="Times New Roman" w:cs="Times New Roman"/>
                <w:b/>
                <w:bCs/>
              </w:rPr>
            </w:r>
          </w:p>
        </w:tc>
      </w:tr>
      <w:tr>
        <w:trPr/>
        <w:tc>
          <w:tcPr>
            <w:tcBorders/>
            <w:tcW w:w="1665" w:type="dxa"/>
            <w:textDirection w:val="lrTb"/>
            <w:noWrap w:val="false"/>
          </w:tcPr>
          <w:p w14:paraId="01B8EE65"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Ornamental Fish</w:t>
            </w:r>
            <w:r>
              <w:rPr>
                <w:rFonts w:ascii="Times New Roman" w:hAnsi="Times New Roman" w:eastAsia="Times New Roman" w:cs="Times New Roman"/>
                <w:b/>
                <w:bCs/>
              </w:rPr>
            </w:r>
          </w:p>
        </w:tc>
        <w:tc>
          <w:tcPr>
            <w:tcBorders/>
            <w:tcW w:w="1723" w:type="dxa"/>
            <w:textDirection w:val="lrTb"/>
            <w:noWrap w:val="false"/>
          </w:tcPr>
          <w:p w14:paraId="2E9E5BC1"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Block L–O (Ponds) or Block H (Veterinary Unit)</w:t>
            </w:r>
            <w:r>
              <w:rPr>
                <w:rFonts w:ascii="Times New Roman" w:hAnsi="Times New Roman" w:eastAsia="Times New Roman" w:cs="Times New Roman"/>
              </w:rPr>
            </w:r>
          </w:p>
        </w:tc>
        <w:tc>
          <w:tcPr>
            <w:tcBorders/>
            <w:tcW w:w="1749" w:type="dxa"/>
            <w:textDirection w:val="lrTb"/>
            <w:noWrap w:val="false"/>
          </w:tcPr>
          <w:p w14:paraId="0C32C466"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color w:val="303030"/>
              </w:rPr>
              <w:t xml:space="preserve">10 SQM total (2.5 SQM x 4 box)</w:t>
            </w:r>
            <w:r>
              <w:rPr>
                <w:rFonts w:ascii="Times New Roman" w:hAnsi="Times New Roman" w:eastAsia="Times New Roman" w:cs="Times New Roman"/>
                <w:b/>
                <w:bCs/>
              </w:rPr>
            </w:r>
          </w:p>
        </w:tc>
        <w:tc>
          <w:tcPr>
            <w:tcBorders/>
            <w:tcW w:w="1889" w:type="dxa"/>
            <w:textDirection w:val="lrTb"/>
            <w:noWrap w:val="false"/>
          </w:tcPr>
          <w:p w14:paraId="12A539E6"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Raising baby fries in aquariums and managing ornamental species.</w:t>
            </w:r>
            <w:r>
              <w:rPr>
                <w:rFonts w:ascii="Times New Roman" w:hAnsi="Times New Roman" w:eastAsia="Times New Roman" w:cs="Times New Roman"/>
              </w:rPr>
            </w:r>
          </w:p>
        </w:tc>
        <w:tc>
          <w:tcPr>
            <w:tcBorders/>
            <w:tcW w:w="2864" w:type="dxa"/>
            <w:textDirection w:val="lrTb"/>
            <w:noWrap w:val="false"/>
          </w:tcPr>
          <w:p w14:paraId="67AAF2E9" w14:textId="77777777">
            <w:pPr>
              <w:pBdr/>
              <w:spacing/>
              <w:ind/>
              <w:jc w:val="both"/>
              <w:rPr>
                <w:rFonts w:ascii="Times New Roman" w:hAnsi="Times New Roman" w:eastAsia="Times New Roman" w:cs="Times New Roman"/>
                <w:color w:val="303030"/>
              </w:rPr>
            </w:pPr>
            <w:r>
              <w:rPr>
                <w:rFonts w:ascii="Times New Roman" w:hAnsi="Times New Roman" w:eastAsia="Times New Roman" w:cs="Times New Roman"/>
                <w:b/>
                <w:bCs/>
                <w:color w:val="303030"/>
              </w:rPr>
              <w:t xml:space="preserve">Equipment:</w:t>
            </w:r>
            <w:r>
              <w:rPr>
                <w:rFonts w:ascii="Times New Roman" w:hAnsi="Times New Roman" w:eastAsia="Times New Roman" w:cs="Times New Roman"/>
                <w:color w:val="303030"/>
              </w:rPr>
              <w:t xml:space="preserve"> Aquariums, oxygenated tanks, and RAS (Recirculating Aquaculture System) facilities. </w:t>
            </w:r>
          </w:p>
          <w:p w14:paraId="2435C3FD"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Tools:</w:t>
            </w:r>
            <w:r>
              <w:rPr>
                <w:rFonts w:ascii="Times New Roman" w:hAnsi="Times New Roman" w:eastAsia="Times New Roman" w:cs="Times New Roman"/>
                <w:color w:val="303030"/>
              </w:rPr>
              <w:t xml:space="preserve"> pH meters, oxygen meters, scoop nets, Secchi disks, and grading boards.</w:t>
            </w:r>
            <w:r>
              <w:rPr>
                <w:rFonts w:ascii="Times New Roman" w:hAnsi="Times New Roman" w:eastAsia="Times New Roman" w:cs="Times New Roman"/>
                <w:b/>
                <w:bCs/>
              </w:rPr>
            </w:r>
          </w:p>
        </w:tc>
      </w:tr>
      <w:tr>
        <w:trPr/>
        <w:tc>
          <w:tcPr>
            <w:tcBorders/>
            <w:tcW w:w="1665" w:type="dxa"/>
            <w:textDirection w:val="lrTb"/>
            <w:noWrap w:val="false"/>
          </w:tcPr>
          <w:p w14:paraId="2140CEDB"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Equines &amp; Camels</w:t>
            </w:r>
            <w:r>
              <w:rPr>
                <w:rFonts w:ascii="Times New Roman" w:hAnsi="Times New Roman" w:eastAsia="Times New Roman" w:cs="Times New Roman"/>
                <w:b/>
                <w:bCs/>
              </w:rPr>
            </w:r>
          </w:p>
        </w:tc>
        <w:tc>
          <w:tcPr>
            <w:tcBorders/>
            <w:tcW w:w="1723" w:type="dxa"/>
            <w:textDirection w:val="lrTb"/>
            <w:noWrap w:val="false"/>
          </w:tcPr>
          <w:p w14:paraId="4E4C6E37"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General Livestock/Field or Block K</w:t>
            </w:r>
            <w:r>
              <w:rPr>
                <w:rFonts w:ascii="Times New Roman" w:hAnsi="Times New Roman" w:eastAsia="Times New Roman" w:cs="Times New Roman"/>
              </w:rPr>
            </w:r>
          </w:p>
        </w:tc>
        <w:tc>
          <w:tcPr>
            <w:tcBorders/>
            <w:tcW w:w="1749" w:type="dxa"/>
            <w:textDirection w:val="lrTb"/>
            <w:noWrap w:val="false"/>
          </w:tcPr>
          <w:p w14:paraId="652D18D5"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color w:val="303030"/>
              </w:rPr>
              <w:t xml:space="preserve">Integrated/Field</w:t>
            </w:r>
            <w:r>
              <w:rPr>
                <w:rFonts w:ascii="Times New Roman" w:hAnsi="Times New Roman" w:eastAsia="Times New Roman" w:cs="Times New Roman"/>
                <w:b/>
                <w:bCs/>
              </w:rPr>
            </w:r>
          </w:p>
        </w:tc>
        <w:tc>
          <w:tcPr>
            <w:tcBorders/>
            <w:tcW w:w="1889" w:type="dxa"/>
            <w:textDirection w:val="lrTb"/>
            <w:noWrap w:val="false"/>
          </w:tcPr>
          <w:p w14:paraId="0E1E8FF4" w14:textId="77777777">
            <w:pPr>
              <w:pBdr/>
              <w:spacing/>
              <w:ind/>
              <w:jc w:val="both"/>
              <w:rPr>
                <w:rFonts w:ascii="Times New Roman" w:hAnsi="Times New Roman" w:eastAsia="Times New Roman" w:cs="Times New Roman"/>
              </w:rPr>
            </w:pPr>
            <w:r>
              <w:rPr>
                <w:rFonts w:ascii="Times New Roman" w:hAnsi="Times New Roman" w:eastAsia="Times New Roman" w:cs="Times New Roman"/>
                <w:color w:val="303030"/>
              </w:rPr>
              <w:t xml:space="preserve">Breed identification, housing sketch design, and specific training techniques.</w:t>
            </w:r>
            <w:r>
              <w:rPr>
                <w:rFonts w:ascii="Times New Roman" w:hAnsi="Times New Roman" w:eastAsia="Times New Roman" w:cs="Times New Roman"/>
              </w:rPr>
            </w:r>
          </w:p>
        </w:tc>
        <w:tc>
          <w:tcPr>
            <w:tcBorders/>
            <w:tcW w:w="2864" w:type="dxa"/>
            <w:textDirection w:val="lrTb"/>
            <w:noWrap w:val="false"/>
          </w:tcPr>
          <w:p w14:paraId="45853EAF"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color w:val="303030"/>
              </w:rPr>
              <w:t xml:space="preserve">Equipment:</w:t>
            </w:r>
            <w:r>
              <w:rPr>
                <w:rFonts w:ascii="Times New Roman" w:hAnsi="Times New Roman" w:eastAsia="Times New Roman" w:cs="Times New Roman"/>
                <w:color w:val="303030"/>
              </w:rPr>
              <w:t xml:space="preserve"> Grooming equipment, weighing bridges, and training kits. </w:t>
            </w:r>
            <w:r>
              <w:rPr>
                <w:rFonts w:ascii="Times New Roman" w:hAnsi="Times New Roman" w:eastAsia="Times New Roman" w:cs="Times New Roman"/>
                <w:b/>
                <w:bCs/>
                <w:color w:val="303030"/>
              </w:rPr>
              <w:t xml:space="preserve">Tools:</w:t>
            </w:r>
            <w:r>
              <w:rPr>
                <w:rFonts w:ascii="Times New Roman" w:hAnsi="Times New Roman" w:eastAsia="Times New Roman" w:cs="Times New Roman"/>
                <w:color w:val="303030"/>
              </w:rPr>
              <w:t xml:space="preserve"> Hoof trimmers, thermometers, stethoscopes, and halters/leashes</w:t>
            </w:r>
            <w:r>
              <w:rPr>
                <w:rFonts w:ascii="Times New Roman" w:hAnsi="Times New Roman" w:eastAsia="Times New Roman" w:cs="Times New Roman"/>
                <w:b/>
                <w:bCs/>
              </w:rPr>
            </w:r>
          </w:p>
        </w:tc>
      </w:tr>
    </w:tbl>
    <w:p w14:paraId="302AFE69" w14:textId="77777777">
      <w:pPr>
        <w:pStyle w:val="828"/>
        <w:pBdr/>
        <w:spacing/>
        <w:ind/>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r>
    </w:p>
    <w:p w14:paraId="150AD7F6" w14:textId="62B3EB00">
      <w:pPr>
        <w:pStyle w:val="828"/>
        <w:pBdr/>
        <w:spacing/>
        <w:ind/>
        <w:rPr>
          <w:rFonts w:ascii="Times New Roman" w:hAnsi="Times New Roman" w:eastAsia="Times New Roman" w:cs="Times New Roman"/>
          <w:b/>
          <w:bCs/>
          <w:i w:val="0"/>
          <w:color w:val="000000" w:themeColor="text1"/>
          <w:sz w:val="24"/>
          <w:szCs w:val="24"/>
          <w:lang w:val="en-US"/>
        </w:rPr>
      </w:pPr>
      <w:r/>
      <w:bookmarkStart w:id="12" w:name="_Toc233888970"/>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6</w:t>
        <w:fldChar w:fldCharType="end"/>
        <w:t xml:space="preserve">: </w:t>
      </w:r>
      <w:r>
        <w:rPr>
          <w:rFonts w:ascii="Times New Roman" w:hAnsi="Times New Roman" w:eastAsia="Times New Roman" w:cs="Times New Roman"/>
          <w:b/>
          <w:bCs/>
          <w:i w:val="0"/>
          <w:color w:val="000000" w:themeColor="text1"/>
          <w:sz w:val="24"/>
          <w:szCs w:val="24"/>
          <w:lang w:val="en-US"/>
        </w:rPr>
        <w:t xml:space="preserve">Animal Health Sub-Units – Equipment &amp; Tools Specifications (for 25 Students)</w:t>
      </w:r>
      <w:bookmarkEnd w:id="12"/>
      <w:r/>
      <w:r>
        <w:rPr>
          <w:rFonts w:ascii="Times New Roman" w:hAnsi="Times New Roman" w:eastAsia="Times New Roman" w:cs="Times New Roman"/>
          <w:b/>
          <w:bCs/>
          <w:i w:val="0"/>
          <w:color w:val="000000" w:themeColor="text1"/>
          <w:sz w:val="24"/>
          <w:szCs w:val="24"/>
          <w:lang w:val="en-US"/>
        </w:rPr>
      </w:r>
    </w:p>
    <w:tbl>
      <w:tblPr>
        <w:tblStyle w:val="822"/>
        <w:tblW w:w="0" w:type="auto"/>
        <w:tblBorders/>
        <w:tblLook w:val="04A0" w:firstRow="1" w:lastRow="0" w:firstColumn="1" w:lastColumn="0" w:noHBand="0" w:noVBand="1"/>
      </w:tblPr>
      <w:tblGrid>
        <w:gridCol w:w="2221"/>
        <w:gridCol w:w="2378"/>
        <w:gridCol w:w="5291"/>
      </w:tblGrid>
      <w:tr>
        <w:trPr/>
        <w:tc>
          <w:tcPr>
            <w:tcBorders/>
            <w:tcW w:w="0" w:type="auto"/>
            <w:textDirection w:val="lrTb"/>
            <w:noWrap w:val="false"/>
          </w:tcPr>
          <w:p w14:paraId="5C0BBD3A"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Category</w:t>
            </w:r>
          </w:p>
        </w:tc>
        <w:tc>
          <w:tcPr>
            <w:tcBorders/>
            <w:tcW w:w="0" w:type="auto"/>
            <w:textDirection w:val="lrTb"/>
            <w:noWrap w:val="false"/>
          </w:tcPr>
          <w:p w14:paraId="49673123"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Equipment/Tools</w:t>
            </w:r>
          </w:p>
        </w:tc>
        <w:tc>
          <w:tcPr>
            <w:tcBorders/>
            <w:tcW w:w="0" w:type="auto"/>
            <w:textDirection w:val="lrTb"/>
            <w:noWrap w:val="false"/>
          </w:tcPr>
          <w:p w14:paraId="16D4E81B"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Recommended Specifications</w:t>
            </w:r>
          </w:p>
        </w:tc>
      </w:tr>
      <w:tr>
        <w:trPr/>
        <w:tc>
          <w:tcPr>
            <w:tcBorders/>
            <w:tcW w:w="0" w:type="auto"/>
            <w:vMerge w:val="restart"/>
            <w:textDirection w:val="lrTb"/>
            <w:noWrap w:val="false"/>
          </w:tcPr>
          <w:p w14:paraId="20C2AFA7"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Veterinary Clinical Services</w:t>
            </w:r>
          </w:p>
        </w:tc>
        <w:tc>
          <w:tcPr>
            <w:tcBorders/>
            <w:tcW w:w="0" w:type="auto"/>
            <w:textDirection w:val="lrTb"/>
            <w:noWrap w:val="false"/>
          </w:tcPr>
          <w:p w14:paraId="67D94E4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Sterilizer trays</w:t>
            </w:r>
          </w:p>
        </w:tc>
        <w:tc>
          <w:tcPr>
            <w:tcBorders/>
            <w:tcW w:w="0" w:type="auto"/>
            <w:textDirection w:val="lrTb"/>
            <w:noWrap w:val="false"/>
          </w:tcPr>
          <w:p w14:paraId="169C7FA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Stainless steel, autoclavable, 30–50 cm</w:t>
            </w:r>
          </w:p>
        </w:tc>
      </w:tr>
      <w:tr>
        <w:trPr/>
        <w:tc>
          <w:tcPr>
            <w:tcBorders/>
            <w:tcW w:w="0" w:type="auto"/>
            <w:vMerge w:val="continue"/>
            <w:textDirection w:val="lrTb"/>
            <w:noWrap w:val="false"/>
          </w:tcPr>
          <w:p w14:paraId="43E2468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AB8178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Autoclave</w:t>
            </w:r>
          </w:p>
        </w:tc>
        <w:tc>
          <w:tcPr>
            <w:tcBorders/>
            <w:tcW w:w="0" w:type="auto"/>
            <w:textDirection w:val="lrTb"/>
            <w:noWrap w:val="false"/>
          </w:tcPr>
          <w:p w14:paraId="636AC31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50–100 L, 121°C, 15 psi</w:t>
            </w:r>
          </w:p>
        </w:tc>
      </w:tr>
      <w:tr>
        <w:trPr/>
        <w:tc>
          <w:tcPr>
            <w:tcBorders/>
            <w:tcW w:w="0" w:type="auto"/>
            <w:vMerge w:val="continue"/>
            <w:textDirection w:val="lrTb"/>
            <w:noWrap w:val="false"/>
          </w:tcPr>
          <w:p w14:paraId="4421677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08A876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Centrifuge</w:t>
            </w:r>
          </w:p>
        </w:tc>
        <w:tc>
          <w:tcPr>
            <w:tcBorders/>
            <w:tcW w:w="0" w:type="auto"/>
            <w:textDirection w:val="lrTb"/>
            <w:noWrap w:val="false"/>
          </w:tcPr>
          <w:p w14:paraId="6D7A934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3000–5000 rpm, 6–12 tube capacity</w:t>
            </w:r>
          </w:p>
        </w:tc>
      </w:tr>
      <w:tr>
        <w:trPr/>
        <w:tc>
          <w:tcPr>
            <w:tcBorders/>
            <w:tcW w:w="0" w:type="auto"/>
            <w:vMerge w:val="continue"/>
            <w:textDirection w:val="lrTb"/>
            <w:noWrap w:val="false"/>
          </w:tcPr>
          <w:p w14:paraId="33B7B12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913704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Incubators</w:t>
            </w:r>
          </w:p>
        </w:tc>
        <w:tc>
          <w:tcPr>
            <w:tcBorders/>
            <w:tcW w:w="0" w:type="auto"/>
            <w:textDirection w:val="lrTb"/>
            <w:noWrap w:val="false"/>
          </w:tcPr>
          <w:p w14:paraId="69C6D7C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20–45°C, ±0.5°C accuracy</w:t>
            </w:r>
          </w:p>
        </w:tc>
      </w:tr>
      <w:tr>
        <w:trPr/>
        <w:tc>
          <w:tcPr>
            <w:tcBorders/>
            <w:tcW w:w="0" w:type="auto"/>
            <w:vMerge w:val="continue"/>
            <w:textDirection w:val="lrTb"/>
            <w:noWrap w:val="false"/>
          </w:tcPr>
          <w:p w14:paraId="7E8FF45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39EA76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Ultrasound machine</w:t>
            </w:r>
          </w:p>
        </w:tc>
        <w:tc>
          <w:tcPr>
            <w:tcBorders/>
            <w:tcW w:w="0" w:type="auto"/>
            <w:textDirection w:val="lrTb"/>
            <w:noWrap w:val="false"/>
          </w:tcPr>
          <w:p w14:paraId="2888A13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Portable, 3.5–5 MHz probe, pregnancy testing</w:t>
            </w:r>
          </w:p>
        </w:tc>
      </w:tr>
      <w:tr>
        <w:trPr/>
        <w:tc>
          <w:tcPr>
            <w:tcBorders/>
            <w:tcW w:w="0" w:type="auto"/>
            <w:vMerge w:val="continue"/>
            <w:textDirection w:val="lrTb"/>
            <w:noWrap w:val="false"/>
          </w:tcPr>
          <w:p w14:paraId="042F9FB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20EDA1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Examination tables</w:t>
            </w:r>
          </w:p>
        </w:tc>
        <w:tc>
          <w:tcPr>
            <w:tcBorders/>
            <w:tcW w:w="0" w:type="auto"/>
            <w:textDirection w:val="lrTb"/>
            <w:noWrap w:val="false"/>
          </w:tcPr>
          <w:p w14:paraId="7ED271E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Stainless steel, adjustable height</w:t>
            </w:r>
          </w:p>
        </w:tc>
      </w:tr>
      <w:tr>
        <w:trPr/>
        <w:tc>
          <w:tcPr>
            <w:tcBorders/>
            <w:tcW w:w="0" w:type="auto"/>
            <w:vMerge w:val="continue"/>
            <w:textDirection w:val="lrTb"/>
            <w:noWrap w:val="false"/>
          </w:tcPr>
          <w:p w14:paraId="78891A8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ECBC60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Oxygen concentrator</w:t>
            </w:r>
          </w:p>
        </w:tc>
        <w:tc>
          <w:tcPr>
            <w:tcBorders/>
            <w:tcW w:w="0" w:type="auto"/>
            <w:textDirection w:val="lrTb"/>
            <w:noWrap w:val="false"/>
          </w:tcPr>
          <w:p w14:paraId="2A7990E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5–10 L/min</w:t>
            </w:r>
          </w:p>
        </w:tc>
      </w:tr>
      <w:tr>
        <w:trPr/>
        <w:tc>
          <w:tcPr>
            <w:tcBorders/>
            <w:tcW w:w="0" w:type="auto"/>
            <w:vMerge w:val="continue"/>
            <w:textDirection w:val="lrTb"/>
            <w:noWrap w:val="false"/>
          </w:tcPr>
          <w:p w14:paraId="0EA65CB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F402FAD"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Refrigerator/Freezer</w:t>
            </w:r>
          </w:p>
        </w:tc>
        <w:tc>
          <w:tcPr>
            <w:tcBorders/>
            <w:tcW w:w="0" w:type="auto"/>
            <w:textDirection w:val="lrTb"/>
            <w:noWrap w:val="false"/>
          </w:tcPr>
          <w:p w14:paraId="7C71CD1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L, biological storage</w:t>
            </w:r>
          </w:p>
        </w:tc>
      </w:tr>
      <w:tr>
        <w:trPr/>
        <w:tc>
          <w:tcPr>
            <w:tcBorders/>
            <w:tcW w:w="0" w:type="auto"/>
            <w:vMerge w:val="continue"/>
            <w:textDirection w:val="lrTb"/>
            <w:noWrap w:val="false"/>
          </w:tcPr>
          <w:p w14:paraId="1509EA9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387919B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Microscope</w:t>
            </w:r>
          </w:p>
        </w:tc>
        <w:tc>
          <w:tcPr>
            <w:tcBorders/>
            <w:tcW w:w="0" w:type="auto"/>
            <w:textDirection w:val="lrTb"/>
            <w:noWrap w:val="false"/>
          </w:tcPr>
          <w:p w14:paraId="18DC552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Compound, 40x–1000x</w:t>
            </w:r>
          </w:p>
        </w:tc>
      </w:tr>
      <w:tr>
        <w:trPr/>
        <w:tc>
          <w:tcPr>
            <w:tcBorders/>
            <w:tcW w:w="0" w:type="auto"/>
            <w:vMerge w:val="continue"/>
            <w:textDirection w:val="lrTb"/>
            <w:noWrap w:val="false"/>
          </w:tcPr>
          <w:p w14:paraId="73E3DF3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7F7639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38B3DE8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Stethoscopes (25 units), thermometers, surgical kits, suture materials, catheters, AI guns, necropsy tools (knives, saws, shears)</w:t>
            </w:r>
          </w:p>
        </w:tc>
      </w:tr>
      <w:tr>
        <w:trPr/>
        <w:tc>
          <w:tcPr>
            <w:tcBorders/>
            <w:tcW w:w="0" w:type="auto"/>
            <w:vMerge w:val="restart"/>
            <w:textDirection w:val="lrTb"/>
            <w:noWrap w:val="false"/>
          </w:tcPr>
          <w:p w14:paraId="5D0BDA5E"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Dairy &amp; Ruminant Management</w:t>
            </w:r>
          </w:p>
        </w:tc>
        <w:tc>
          <w:tcPr>
            <w:tcBorders/>
            <w:tcW w:w="0" w:type="auto"/>
            <w:textDirection w:val="lrTb"/>
            <w:noWrap w:val="false"/>
          </w:tcPr>
          <w:p w14:paraId="2AC535D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Milking machines</w:t>
            </w:r>
          </w:p>
        </w:tc>
        <w:tc>
          <w:tcPr>
            <w:tcBorders/>
            <w:tcW w:w="0" w:type="auto"/>
            <w:textDirection w:val="lrTb"/>
            <w:noWrap w:val="false"/>
          </w:tcPr>
          <w:p w14:paraId="6AAF764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Pipeline/mobile, 2–4 cluster units</w:t>
            </w:r>
          </w:p>
        </w:tc>
      </w:tr>
      <w:tr>
        <w:trPr/>
        <w:tc>
          <w:tcPr>
            <w:tcBorders/>
            <w:tcW w:w="0" w:type="auto"/>
            <w:vMerge w:val="continue"/>
            <w:textDirection w:val="lrTb"/>
            <w:noWrap w:val="false"/>
          </w:tcPr>
          <w:p w14:paraId="781A934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E90CA0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Bulk milk tanks</w:t>
            </w:r>
          </w:p>
        </w:tc>
        <w:tc>
          <w:tcPr>
            <w:tcBorders/>
            <w:tcW w:w="0" w:type="auto"/>
            <w:textDirection w:val="lrTb"/>
            <w:noWrap w:val="false"/>
          </w:tcPr>
          <w:p w14:paraId="03A37A7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L, stainless steel</w:t>
            </w:r>
          </w:p>
        </w:tc>
      </w:tr>
      <w:tr>
        <w:trPr/>
        <w:tc>
          <w:tcPr>
            <w:tcBorders/>
            <w:tcW w:w="0" w:type="auto"/>
            <w:vMerge w:val="continue"/>
            <w:textDirection w:val="lrTb"/>
            <w:noWrap w:val="false"/>
          </w:tcPr>
          <w:p w14:paraId="68530AC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4D17CF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Milk claws</w:t>
            </w:r>
          </w:p>
        </w:tc>
        <w:tc>
          <w:tcPr>
            <w:tcBorders/>
            <w:tcW w:w="0" w:type="auto"/>
            <w:textDirection w:val="lrTb"/>
            <w:noWrap w:val="false"/>
          </w:tcPr>
          <w:p w14:paraId="03B3CF3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Stainless steel, 4–6 teat cups</w:t>
            </w:r>
          </w:p>
        </w:tc>
      </w:tr>
      <w:tr>
        <w:trPr/>
        <w:tc>
          <w:tcPr>
            <w:tcBorders/>
            <w:tcW w:w="0" w:type="auto"/>
            <w:vMerge w:val="continue"/>
            <w:textDirection w:val="lrTb"/>
            <w:noWrap w:val="false"/>
          </w:tcPr>
          <w:p w14:paraId="0EA420F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992941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Udder washers</w:t>
            </w:r>
          </w:p>
        </w:tc>
        <w:tc>
          <w:tcPr>
            <w:tcBorders/>
            <w:tcW w:w="0" w:type="auto"/>
            <w:textDirection w:val="lrTb"/>
            <w:noWrap w:val="false"/>
          </w:tcPr>
          <w:p w14:paraId="17479B0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Portable, 20–30 L</w:t>
            </w:r>
          </w:p>
        </w:tc>
      </w:tr>
      <w:tr>
        <w:trPr/>
        <w:tc>
          <w:tcPr>
            <w:tcBorders/>
            <w:tcW w:w="0" w:type="auto"/>
            <w:vMerge w:val="continue"/>
            <w:textDirection w:val="lrTb"/>
            <w:noWrap w:val="false"/>
          </w:tcPr>
          <w:p w14:paraId="2A7D412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2389F74"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7149E06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Lactometers, CMT kits, mastitis detectors, teat sanitizing cups, milk cans (25 units)</w:t>
            </w:r>
          </w:p>
        </w:tc>
      </w:tr>
      <w:tr>
        <w:trPr/>
        <w:tc>
          <w:tcPr>
            <w:tcBorders/>
            <w:tcW w:w="0" w:type="auto"/>
            <w:vMerge w:val="restart"/>
            <w:textDirection w:val="lrTb"/>
            <w:noWrap w:val="false"/>
          </w:tcPr>
          <w:p w14:paraId="4E394BB5"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Poultry &amp; Hatchery Operations</w:t>
            </w:r>
          </w:p>
        </w:tc>
        <w:tc>
          <w:tcPr>
            <w:tcBorders/>
            <w:tcW w:w="0" w:type="auto"/>
            <w:textDirection w:val="lrTb"/>
            <w:noWrap w:val="false"/>
          </w:tcPr>
          <w:p w14:paraId="071A3B8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Incubators (setter/hatcher)</w:t>
            </w:r>
          </w:p>
        </w:tc>
        <w:tc>
          <w:tcPr>
            <w:tcBorders/>
            <w:tcW w:w="0" w:type="auto"/>
            <w:textDirection w:val="lrTb"/>
            <w:noWrap w:val="false"/>
          </w:tcPr>
          <w:p w14:paraId="146A0BD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500–1000 egg capacity</w:t>
            </w:r>
          </w:p>
        </w:tc>
      </w:tr>
      <w:tr>
        <w:trPr/>
        <w:tc>
          <w:tcPr>
            <w:tcBorders/>
            <w:tcW w:w="0" w:type="auto"/>
            <w:vMerge w:val="continue"/>
            <w:textDirection w:val="lrTb"/>
            <w:noWrap w:val="false"/>
          </w:tcPr>
          <w:p w14:paraId="3BCF4E7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B027A2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Brooders</w:t>
            </w:r>
          </w:p>
        </w:tc>
        <w:tc>
          <w:tcPr>
            <w:tcBorders/>
            <w:tcW w:w="0" w:type="auto"/>
            <w:textDirection w:val="lrTb"/>
            <w:noWrap w:val="false"/>
          </w:tcPr>
          <w:p w14:paraId="49162B1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Electric/infrared, 250–500 chick capacity</w:t>
            </w:r>
          </w:p>
        </w:tc>
      </w:tr>
      <w:tr>
        <w:trPr/>
        <w:tc>
          <w:tcPr>
            <w:tcBorders/>
            <w:tcW w:w="0" w:type="auto"/>
            <w:vMerge w:val="continue"/>
            <w:textDirection w:val="lrTb"/>
            <w:noWrap w:val="false"/>
          </w:tcPr>
          <w:p w14:paraId="19F111E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0479E3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Automatic feeders</w:t>
            </w:r>
          </w:p>
        </w:tc>
        <w:tc>
          <w:tcPr>
            <w:tcBorders/>
            <w:tcW w:w="0" w:type="auto"/>
            <w:textDirection w:val="lrTb"/>
            <w:noWrap w:val="false"/>
          </w:tcPr>
          <w:p w14:paraId="668D3D4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25–50 kg capacity</w:t>
            </w:r>
          </w:p>
        </w:tc>
      </w:tr>
      <w:tr>
        <w:trPr/>
        <w:tc>
          <w:tcPr>
            <w:tcBorders/>
            <w:tcW w:w="0" w:type="auto"/>
            <w:vMerge w:val="continue"/>
            <w:textDirection w:val="lrTb"/>
            <w:noWrap w:val="false"/>
          </w:tcPr>
          <w:p w14:paraId="67AC3CE5"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5A9021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4FC32C7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Egg candlers, egg trays/baskets (25 units), timers, debeakers, vaccination syringes</w:t>
            </w:r>
          </w:p>
        </w:tc>
      </w:tr>
      <w:tr>
        <w:trPr/>
        <w:tc>
          <w:tcPr>
            <w:tcBorders/>
            <w:tcW w:w="0" w:type="auto"/>
            <w:vMerge w:val="restart"/>
            <w:textDirection w:val="lrTb"/>
            <w:noWrap w:val="false"/>
          </w:tcPr>
          <w:p w14:paraId="672EACC4"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Pig Farming</w:t>
            </w:r>
          </w:p>
        </w:tc>
        <w:tc>
          <w:tcPr>
            <w:tcBorders/>
            <w:tcW w:w="0" w:type="auto"/>
            <w:textDirection w:val="lrTb"/>
            <w:noWrap w:val="false"/>
          </w:tcPr>
          <w:p w14:paraId="04A6B6D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Grinding/mixing machines</w:t>
            </w:r>
          </w:p>
        </w:tc>
        <w:tc>
          <w:tcPr>
            <w:tcBorders/>
            <w:tcW w:w="0" w:type="auto"/>
            <w:textDirection w:val="lrTb"/>
            <w:noWrap w:val="false"/>
          </w:tcPr>
          <w:p w14:paraId="0AC1359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200–300 kg/hr</w:t>
            </w:r>
          </w:p>
        </w:tc>
      </w:tr>
      <w:tr>
        <w:trPr/>
        <w:tc>
          <w:tcPr>
            <w:tcBorders/>
            <w:tcW w:w="0" w:type="auto"/>
            <w:vMerge w:val="continue"/>
            <w:textDirection w:val="lrTb"/>
            <w:noWrap w:val="false"/>
          </w:tcPr>
          <w:p w14:paraId="3617E1AF"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D39BA8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High-pressure sprayers</w:t>
            </w:r>
          </w:p>
        </w:tc>
        <w:tc>
          <w:tcPr>
            <w:tcBorders/>
            <w:tcW w:w="0" w:type="auto"/>
            <w:textDirection w:val="lrTb"/>
            <w:noWrap w:val="false"/>
          </w:tcPr>
          <w:p w14:paraId="3AB5E9F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150–200 bar</w:t>
            </w:r>
          </w:p>
        </w:tc>
      </w:tr>
      <w:tr>
        <w:trPr/>
        <w:tc>
          <w:tcPr>
            <w:tcBorders/>
            <w:tcW w:w="0" w:type="auto"/>
            <w:vMerge w:val="continue"/>
            <w:textDirection w:val="lrTb"/>
            <w:noWrap w:val="false"/>
          </w:tcPr>
          <w:p w14:paraId="7F73A276"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22C737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Piglet hot boxes</w:t>
            </w:r>
          </w:p>
        </w:tc>
        <w:tc>
          <w:tcPr>
            <w:tcBorders/>
            <w:tcW w:w="0" w:type="auto"/>
            <w:textDirection w:val="lrTb"/>
            <w:noWrap w:val="false"/>
          </w:tcPr>
          <w:p w14:paraId="4E576E88"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20–30 piglet capacity, thermostatically controlled</w:t>
            </w:r>
          </w:p>
        </w:tc>
      </w:tr>
      <w:tr>
        <w:trPr/>
        <w:tc>
          <w:tcPr>
            <w:tcBorders/>
            <w:tcW w:w="0" w:type="auto"/>
            <w:vMerge w:val="continue"/>
            <w:textDirection w:val="lrTb"/>
            <w:noWrap w:val="false"/>
          </w:tcPr>
          <w:p w14:paraId="0664287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4B707A53"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3511A4F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Feeding troughs, drinkers, weighing scales, hoof trimming tools</w:t>
            </w:r>
          </w:p>
        </w:tc>
      </w:tr>
    </w:tbl>
    <w:p w14:paraId="5C050F3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67AC63AA" w14:textId="4C3A29CD">
      <w:pPr>
        <w:pStyle w:val="794"/>
        <w:pBdr/>
        <w:spacing/>
        <w:ind/>
        <w:rPr>
          <w:rFonts w:ascii="Times New Roman" w:hAnsi="Times New Roman" w:cs="Times New Roman"/>
          <w:b/>
          <w:color w:val="000000" w:themeColor="text1"/>
          <w:sz w:val="24"/>
          <w:szCs w:val="24"/>
        </w:rPr>
      </w:pPr>
      <w:r/>
      <w:bookmarkStart w:id="13" w:name="_Toc233892408"/>
      <w:r>
        <w:rPr>
          <w:rFonts w:ascii="Times New Roman" w:hAnsi="Times New Roman" w:cs="Times New Roman"/>
          <w:b/>
          <w:color w:val="000000" w:themeColor="text1"/>
          <w:sz w:val="24"/>
          <w:szCs w:val="24"/>
        </w:rPr>
        <w:t xml:space="preserve">2.4. Water and irrigation component and its materials</w:t>
      </w:r>
      <w:bookmarkEnd w:id="13"/>
      <w:r/>
      <w:r>
        <w:rPr>
          <w:rFonts w:ascii="Times New Roman" w:hAnsi="Times New Roman" w:cs="Times New Roman"/>
          <w:b/>
          <w:color w:val="000000" w:themeColor="text1"/>
          <w:sz w:val="24"/>
          <w:szCs w:val="24"/>
        </w:rPr>
      </w:r>
    </w:p>
    <w:p w14:paraId="5B785888" w14:textId="77777777">
      <w:pPr>
        <w:pBdr/>
        <w:spacing w:after="240" w:before="240" w:line="240" w:lineRule="auto"/>
        <w:ind/>
        <w:jc w:val="both"/>
        <w:rPr>
          <w:rFonts w:ascii="Times New Roman" w:hAnsi="Times New Roman" w:eastAsia="Times New Roman" w:cs="Times New Roman"/>
        </w:rPr>
      </w:pPr>
      <w:r>
        <w:rPr>
          <w:rFonts w:ascii="Times New Roman" w:hAnsi="Times New Roman" w:eastAsia="Times New Roman" w:cs="Times New Roman"/>
        </w:rPr>
        <w:t xml:space="preserve">The Water Management and Irrigation System section of the Practical Training Unit (PTU) is designed as an integrated learning ecosystem where students acquire practical skills in water resource development, storage, distribution, irrigation application, and smart water management technologies. The unit provides hands-on experience throughout the entire irrigation cycle, beginning with water collection and storage, continuing through pumping, filtration, distribution, and application, and ending with monitoring, maintenance, and evaluation of irrigation performance.</w:t>
      </w:r>
    </w:p>
    <w:p w14:paraId="32E94933" w14:textId="77777777">
      <w:pPr>
        <w:pBdr/>
        <w:spacing w:after="240" w:before="240" w:line="240" w:lineRule="auto"/>
        <w:ind/>
        <w:jc w:val="both"/>
        <w:rPr>
          <w:rFonts w:ascii="Times New Roman" w:hAnsi="Times New Roman" w:eastAsia="Times New Roman" w:cs="Times New Roman"/>
        </w:rPr>
      </w:pPr>
      <w:r>
        <w:rPr>
          <w:rFonts w:ascii="Times New Roman" w:hAnsi="Times New Roman" w:eastAsia="Times New Roman" w:cs="Times New Roman"/>
        </w:rPr>
        <w:t xml:space="preserve">This unit follows a water-efficient and climate-smart agriculture model, where water resources are managed sustainably to maximize crop productivity while minimizing water losses. The system integrates a 30,000 m³ underground water storage reservoir, a solar-powered pumping system, and multiple irrigation technologies, including drip, sprinkler, and precision irrigation systems. These technologies demonstrate efficient water use, energy conservation, and sustainable agricultural production practices. The Water Management and Irrigation System unit is closely linked with other PTU components. Water supplied from the irrigation system supports greenhouse production, vegetable cultivation, fruit production, cereal production, nursery establishment, hydroponics, and regenerative agriculture units. Likewise, climate and soil moisture data collected through smart irrigation technologies support decision-making across all crop production activities.</w:t>
      </w:r>
    </w:p>
    <w:p w14:paraId="3AAA03AB" w14:textId="77777777">
      <w:pPr>
        <w:pBdr/>
        <w:spacing w:after="240" w:before="240" w:line="240" w:lineRule="auto"/>
        <w:ind/>
        <w:jc w:val="both"/>
        <w:rPr>
          <w:rFonts w:ascii="Times New Roman" w:hAnsi="Times New Roman" w:eastAsia="Times New Roman" w:cs="Times New Roman"/>
        </w:rPr>
      </w:pPr>
      <w:r>
        <w:rPr>
          <w:rFonts w:ascii="Times New Roman" w:hAnsi="Times New Roman" w:eastAsia="Times New Roman" w:cs="Times New Roman"/>
        </w:rPr>
        <w:t xml:space="preserve">The unit incorporates modern climate-smart irrigation technologies, including soil moisture sensors, weather stations, automated irrigation controllers, and Internet of Things (IoT)-based monitoring systems. Students gain practical experience in irrigation scheduling, water quality assessment, fertigation, remote monitoring, and data-driven irrigation management. These technologies prepare learners for modern precision agriculture and digital farming systems. Renewable energy is a central component of the PTU irrigation system. The integration of solar-powered irrigation systems demonstrates sustainable energy use for water pumping and distribution, reducing operating costs and environmental impacts while providing students with practical skills in renewable energy applications in agriculture.</w:t>
      </w:r>
    </w:p>
    <w:p w14:paraId="275B7E4E" w14:textId="77777777">
      <w:pPr>
        <w:pBdr/>
        <w:spacing w:after="240" w:before="240" w:line="240" w:lineRule="auto"/>
        <w:ind/>
        <w:jc w:val="both"/>
        <w:rPr>
          <w:rFonts w:ascii="Times New Roman" w:hAnsi="Times New Roman" w:eastAsia="Times New Roman" w:cs="Times New Roman"/>
        </w:rPr>
      </w:pPr>
      <w:r>
        <w:rPr>
          <w:rFonts w:ascii="Times New Roman" w:hAnsi="Times New Roman" w:eastAsia="Times New Roman" w:cs="Times New Roman"/>
        </w:rPr>
        <w:t xml:space="preserve">The spatial design of the Water Management and Irrigation System section promotes operational efficiency, safety, and effective learning. Dedicated zones are established for water storage and pumping facilities, filtration and fertigation systems, smart irrigation laboratories, water quality monitoring, and field demonstration areas. Proper pipeline layouts, control structures, and monitoring stations allow students to understand the complete operation and maintenance of irrigation infrastructure while ensuring safe and efficient water management practices.</w:t>
      </w:r>
    </w:p>
    <w:p w14:paraId="7A69583C"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r>
    </w:p>
    <w:p w14:paraId="711BD4F5" w14:textId="77777777">
      <w:pPr>
        <w:pBdr/>
        <w:spacing/>
        <w:ind/>
        <w:jc w:val="both"/>
        <w:rPr>
          <w:rFonts w:ascii="Times New Roman" w:hAnsi="Times New Roman" w:eastAsia="Times New Roman" w:cs="Times New Roman"/>
          <w:b/>
          <w:bCs/>
        </w:rPr>
      </w:pPr>
      <w:r>
        <w:rPr>
          <w:rFonts w:ascii="Times New Roman" w:hAnsi="Times New Roman" w:eastAsia="Times New Roman" w:cs="Times New Roman"/>
          <w:b/>
          <w:bCs/>
        </w:rPr>
      </w:r>
    </w:p>
    <w:p w14:paraId="09CBFD40" w14:textId="17616A27">
      <w:pPr>
        <w:pStyle w:val="828"/>
        <w:pBdr/>
        <w:spacing/>
        <w:ind/>
        <w:rPr>
          <w:rFonts w:ascii="Times New Roman" w:hAnsi="Times New Roman" w:eastAsia="Times New Roman" w:cs="Times New Roman"/>
          <w:b/>
          <w:bCs/>
          <w:i w:val="0"/>
          <w:color w:val="000000" w:themeColor="text1"/>
          <w:sz w:val="24"/>
          <w:szCs w:val="24"/>
          <w:highlight w:val="yellow"/>
        </w:rPr>
      </w:pPr>
      <w:r/>
      <w:bookmarkStart w:id="14" w:name="_Toc233888971"/>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7</w:t>
        <w:fldChar w:fldCharType="end"/>
        <w:t xml:space="preserve">: </w:t>
      </w:r>
      <w:r>
        <w:rPr>
          <w:rFonts w:ascii="Times New Roman" w:hAnsi="Times New Roman" w:eastAsia="Times New Roman" w:cs="Times New Roman"/>
          <w:b/>
          <w:bCs/>
          <w:i w:val="0"/>
          <w:color w:val="000000" w:themeColor="text1"/>
          <w:sz w:val="24"/>
          <w:szCs w:val="24"/>
        </w:rPr>
        <w:t xml:space="preserve">Integrated PTU irrigation and water management: Size, </w:t>
      </w:r>
      <w:commentRangeStart w:id="12"/>
      <w:r>
        <w:rPr>
          <w:rFonts w:ascii="Times New Roman" w:hAnsi="Times New Roman" w:eastAsia="Times New Roman" w:cs="Times New Roman"/>
          <w:b/>
          <w:bCs/>
          <w:i w:val="0"/>
          <w:color w:val="000000" w:themeColor="text1"/>
          <w:sz w:val="24"/>
          <w:szCs w:val="24"/>
        </w:rPr>
        <w:t xml:space="preserve">Modules, and Equipments</w:t>
      </w:r>
      <w:commentRangeEnd w:id="12"/>
      <w:r>
        <w:rPr>
          <w:rStyle w:val="CommentReference"/>
        </w:rPr>
        <w:commentReference w:id="12"/>
      </w:r>
      <w:bookmarkEnd w:id="14"/>
      <w:r/>
      <w:r>
        <w:rPr>
          <w:rFonts w:ascii="Times New Roman" w:hAnsi="Times New Roman" w:eastAsia="Times New Roman" w:cs="Times New Roman"/>
          <w:b/>
          <w:bCs/>
          <w:i w:val="0"/>
          <w:color w:val="000000" w:themeColor="text1"/>
          <w:sz w:val="24"/>
          <w:szCs w:val="24"/>
          <w:highlight w:val="yellow"/>
        </w:rPr>
      </w:r>
    </w:p>
    <w:tbl>
      <w:tblPr>
        <w:tblStyle w:val="810"/>
        <w:tblInd w:w="0" w:type="dxa"/>
        <w:tblW w:w="99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1839"/>
        <w:gridCol w:w="1739"/>
        <w:gridCol w:w="1043"/>
        <w:gridCol w:w="2372"/>
        <w:gridCol w:w="2907"/>
      </w:tblGrid>
      <w:tr>
        <w:trPr>
          <w:trHeight w:val="73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71BF3DEA" w14:textId="7777777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50B726A7" w14:textId="7777777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Study Location (PTU Sub-Unit)</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1D52BD32" w14:textId="7777777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Size (SQM)</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0A30E98E" w14:textId="7777777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Primary Learning Modules</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117C9D84" w14:textId="7777777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Equipment and Tools</w:t>
            </w:r>
          </w:p>
        </w:tc>
      </w:tr>
      <w:tr>
        <w:trPr>
          <w:trHeight w:val="310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296FF928" w14:textId="66373B57">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Water Storage &amp; Pumping</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47B63518"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PTU – Irrigation Central Water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341FB116"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300 SQM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3ED96AE4"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Water storage; Pumping systems; Water distribution management; Reservoir operation and safety</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35E674C3"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Underground reinforced concrete reservoir (30,000 m³), submersible pumps, control panel, flow meters, pressure gauges, valves, inlet/outlet pipelines.</w:t>
            </w:r>
          </w:p>
          <w:p w14:paraId="651A1EB3"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Pipe wrenches, spanners, welding tools, multimeter, maintenance kits, safety equipment, measuring tapes.</w:t>
            </w:r>
          </w:p>
        </w:tc>
      </w:tr>
      <w:tr>
        <w:trPr>
          <w:trHeight w:val="2910"/>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6B95947A" w14:textId="6612359B">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Solar Powered Irrigation System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646DFC1D"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PTU – Renewable Irrigation Energy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6A6DBEAC"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100 SQM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0F38BA08"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Solar pumping systems; Energy-water integration; Irrigation automation; Sustainable irrigation management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0E458DD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Solar panels (20–35 kW), solar inverter, solar pump system, controller, batteries, mounting structures, electrical protection system.</w:t>
            </w:r>
          </w:p>
          <w:p w14:paraId="1D5E344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p w14:paraId="4208B88D"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Electrical tool kit, multimeter, wire cutters, screwdrivers, insulation testers, safety gloves.</w:t>
            </w:r>
          </w:p>
        </w:tc>
      </w:tr>
      <w:tr>
        <w:trPr>
          <w:trHeight w:val="2550"/>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0F6BA03E" w14:textId="7850DC53">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Drip Irrigation System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2EEF1EFA"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PTU – Micro Irrigation Training Area</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268415FE"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250*2 SQM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344C7B74"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Drip irrigation design; Installation; Water efficiency; Fertigation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7528E43C"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Mainlines, sub-mainlines, lateral pipes (16 mm), emitters, filters (sand/disc), fertigation unit, pressure regulators, valves, flow meters.</w:t>
            </w:r>
          </w:p>
          <w:p w14:paraId="3CC8BC7F"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Pipe cutters, punch tools, repair kits, measuring tapes, pressure gauges, wrench sets.</w:t>
            </w:r>
          </w:p>
        </w:tc>
      </w:tr>
      <w:tr>
        <w:trPr>
          <w:trHeight w:val="226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5F9AB840" w14:textId="4F927BBA">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Sprinkler Irrigation System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4D9B6B8E"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PTU – Field Irrigation Demonstration Area</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5E7A0D89"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150 SQM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0B6630A4"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Sprinkler irrigation design; Water distribution uniformity; System maintenance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6A64BE52"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Sprinkler heads, risers, pipelines, control valves, pressure regulators, flow meter, filtration unit.</w:t>
            </w:r>
          </w:p>
          <w:p w14:paraId="35E63937"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Spanners, pipe wrenches, pressure gauges, repair kits, measuring tapes.</w:t>
            </w:r>
          </w:p>
        </w:tc>
      </w:tr>
      <w:tr>
        <w:trPr>
          <w:trHeight w:val="1830"/>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38" w:type="dxa"/>
            <w:textDirection w:val="lrTb"/>
            <w:noWrap w:val="false"/>
          </w:tcPr>
          <w:p w14:paraId="619C228A" w14:textId="11A3248A">
            <w:pPr>
              <w:pBdr/>
              <w:spacing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Climate Smart Irrigation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739" w:type="dxa"/>
            <w:textDirection w:val="lrTb"/>
            <w:noWrap w:val="false"/>
          </w:tcPr>
          <w:p w14:paraId="3DE5FDEC"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PTU – Agrometeorology Station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1043" w:type="dxa"/>
            <w:textDirection w:val="lrTb"/>
            <w:noWrap w:val="false"/>
          </w:tcPr>
          <w:p w14:paraId="3B4B0EE4"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50 SQM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372" w:type="dxa"/>
            <w:textDirection w:val="lrTb"/>
            <w:noWrap w:val="false"/>
          </w:tcPr>
          <w:p w14:paraId="49871798"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Climate-based irrigation scheduling; Evapotranspiration; Drought monitoring</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906" w:type="dxa"/>
            <w:textDirection w:val="lrTb"/>
            <w:noWrap w:val="false"/>
          </w:tcPr>
          <w:p w14:paraId="5EA10918"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Equipment:</w:t>
            </w:r>
            <w:r>
              <w:rPr>
                <w:rFonts w:ascii="Times New Roman" w:hAnsi="Times New Roman" w:eastAsia="Times New Roman" w:cs="Times New Roman"/>
              </w:rPr>
              <w:t xml:space="preserve"> Automatic weather station, soil moisture sensors, evapotranspiration sensors, data logger. </w:t>
            </w:r>
          </w:p>
          <w:p w14:paraId="62E6C69E" w14:textId="77777777">
            <w:pPr>
              <w:pBdr/>
              <w:spacing w:line="276"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Tools:</w:t>
            </w:r>
            <w:r>
              <w:rPr>
                <w:rFonts w:ascii="Times New Roman" w:hAnsi="Times New Roman" w:eastAsia="Times New Roman" w:cs="Times New Roman"/>
              </w:rPr>
              <w:t xml:space="preserve"> Soil auger, GPS device, field notebooks, soil sampling kits.</w:t>
            </w:r>
          </w:p>
        </w:tc>
      </w:tr>
    </w:tbl>
    <w:p w14:paraId="2679632D" w14:textId="77777777">
      <w:pPr>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0833CC9E" w14:textId="2A62DC37">
      <w:pPr>
        <w:pStyle w:val="828"/>
        <w:pBdr/>
        <w:spacing/>
        <w:ind/>
        <w:rPr>
          <w:rFonts w:ascii="Times New Roman" w:hAnsi="Times New Roman" w:eastAsia="Times New Roman" w:cs="Times New Roman"/>
          <w:b/>
          <w:bCs/>
          <w:i w:val="0"/>
          <w:color w:val="000000" w:themeColor="text1"/>
          <w:sz w:val="24"/>
          <w:szCs w:val="24"/>
        </w:rPr>
      </w:pPr>
      <w:r/>
      <w:bookmarkStart w:id="15" w:name="_Toc233888972"/>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8</w:t>
        <w:fldChar w:fldCharType="end"/>
        <w:t xml:space="preserve">: </w:t>
      </w:r>
      <w:r>
        <w:rPr>
          <w:rFonts w:ascii="Times New Roman" w:hAnsi="Times New Roman" w:eastAsia="Times New Roman" w:cs="Times New Roman"/>
          <w:b/>
          <w:bCs/>
          <w:i w:val="0"/>
          <w:color w:val="000000" w:themeColor="text1"/>
          <w:sz w:val="24"/>
          <w:szCs w:val="24"/>
        </w:rPr>
        <w:t xml:space="preserve">Water management and irrigation system equipment and specifications</w:t>
      </w:r>
      <w:bookmarkEnd w:id="15"/>
      <w:r/>
      <w:r>
        <w:rPr>
          <w:rFonts w:ascii="Times New Roman" w:hAnsi="Times New Roman" w:eastAsia="Times New Roman" w:cs="Times New Roman"/>
          <w:b/>
          <w:bCs/>
          <w:i w:val="0"/>
          <w:color w:val="000000" w:themeColor="text1"/>
          <w:sz w:val="24"/>
          <w:szCs w:val="24"/>
        </w:rPr>
      </w:r>
    </w:p>
    <w:tbl>
      <w:tblPr>
        <w:tblStyle w:val="811"/>
        <w:tblInd w:w="0" w:type="dxa"/>
        <w:tblW w:w="969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1890"/>
        <w:gridCol w:w="2565"/>
        <w:gridCol w:w="5235"/>
      </w:tblGrid>
      <w:tr>
        <w:trPr>
          <w:trHeight w:val="2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463D7096"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E150442"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Equipment</w:t>
            </w:r>
          </w:p>
        </w:tc>
        <w:tc>
          <w:tcPr>
            <w:tcBorders>
              <w:top w:val="single" w:color="000000" w:sz="8"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75122AE" w14:textId="77777777">
            <w:pPr>
              <w:pBdr/>
              <w:spacing w:after="0" w:line="276"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Recommended Specifications</w:t>
            </w:r>
          </w:p>
        </w:tc>
      </w:tr>
      <w:tr>
        <w:trPr>
          <w:trHeight w:val="82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2BB6910" w14:textId="3EF34691">
            <w:pPr>
              <w:pBdr/>
              <w:spacing w:after="0"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Water Storage &amp; Pumping</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ABA33B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Underground reinforced concrete reservoir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45F20C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Capacity: 30,000 m³; reinforced concrete construction; waterproof lining; access manhole; overflow and drainage system</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DE28EC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78B4C8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Submersible pump</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6034C0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Power: 5–15 HP; discharge: 20–80 m³/h; total head: 20–60 m; stainless steel impellers</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7CB6877C"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1788F1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Pump control panel</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91646B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Automatic operation; overload protection; dry-run protection; IP65 enclosure</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8C37DB4"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EBA180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Flow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439139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Electromagnetic or turbine type; accuracy ±1%; flow range 1–100 m³/h</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E842ED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004E0B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 gauge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62DAFA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Glycerin-filled; range 0–10 bar; stainless steel body</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4D066197"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8DAB48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Gate valve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94D55C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Cast iron or PVC; pressure rating PN10–PN16; sizes 50–200 mm</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597B5F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82DBDC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Check valve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DD6090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Non-return type; cast iron or brass body; PN10–PN16</w:t>
            </w:r>
          </w:p>
        </w:tc>
      </w:tr>
      <w:tr>
        <w:trPr>
          <w:trHeight w:val="360"/>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6E13DA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7A07274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Butterfly valve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7F79BE8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Wafer type; diameter 50–200 mm; PN10–PN16</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433F3B95"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BDDA72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HDPE pipelines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162962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Diameter 63–200 mm; pressure rating PN10–PN16; UV resistant</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51B67C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7687B2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Pipe wrench</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E48924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Heavy-duty steel; 12–24 inch size</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BAEF91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4297513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Spanner set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213344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Chrome vanadium steel; 6–32 mm sizes</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4136374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7F419E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Welding machine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A919A3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200–300 A inverter type; single or three phase</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3355B1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0F56B0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Multimeter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21809A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Digital; AC/DC voltage and resistance measurement</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755B2B8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45A10BB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Maintenance tool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E4C590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Complete mechanical maintenance set</w:t>
            </w:r>
          </w:p>
        </w:tc>
      </w:tr>
      <w:tr>
        <w:trPr>
          <w:trHeight w:val="55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677BB1E5"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F64906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Safety equipment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003D28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Helmets, gloves, safety boots, goggles, reflective jackets</w:t>
            </w:r>
          </w:p>
        </w:tc>
      </w:tr>
      <w:tr>
        <w:trPr>
          <w:trHeight w:val="82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1F63A5A8" w14:textId="3F13024D">
            <w:pPr>
              <w:pBdr/>
              <w:spacing w:after="0"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Solar Powered Irrigation System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4CD6F02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Solar panels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CC7E500" w14:textId="77777777">
            <w:pPr>
              <w:pBdr/>
              <w:spacing w:after="0" w:line="276" w:lineRule="auto"/>
              <w:ind/>
              <w:jc w:val="both"/>
              <w:rPr>
                <w:rFonts w:ascii="Times New Roman" w:hAnsi="Times New Roman" w:eastAsia="Times New Roman" w:cs="Times New Roman"/>
              </w:rPr>
            </w:pPr>
            <w:r>
              <w:rPr>
                <w:rFonts w:ascii="Times New Roman" w:hAnsi="Times New Roman" w:eastAsia="Gungsuh" w:cs="Times New Roman"/>
              </w:rPr>
              <w:t xml:space="preserve">Monocrystalline; 20–35 kW system capacity; efficiency ≥20%</w:t>
            </w:r>
            <w:r>
              <w:rPr>
                <w:rFonts w:ascii="Times New Roman" w:hAnsi="Times New Roman" w:eastAsia="Times New Roman" w:cs="Times New Roman"/>
              </w:rPr>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51F063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23E7D7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Solar inverter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2611ADF" w14:textId="77777777">
            <w:pPr>
              <w:pBdr/>
              <w:spacing w:after="0" w:line="276" w:lineRule="auto"/>
              <w:ind/>
              <w:jc w:val="both"/>
              <w:rPr>
                <w:rFonts w:ascii="Times New Roman" w:hAnsi="Times New Roman" w:eastAsia="Times New Roman" w:cs="Times New Roman"/>
              </w:rPr>
            </w:pPr>
            <w:r>
              <w:rPr>
                <w:rFonts w:ascii="Times New Roman" w:hAnsi="Times New Roman" w:eastAsia="Gungsuh" w:cs="Times New Roman"/>
              </w:rPr>
              <w:t xml:space="preserve">20–40 kW; MPPT technology; efficiency ≥95%</w:t>
            </w:r>
            <w:r>
              <w:rPr>
                <w:rFonts w:ascii="Times New Roman" w:hAnsi="Times New Roman" w:eastAsia="Times New Roman" w:cs="Times New Roman"/>
              </w:rPr>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7E83865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6C6589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Solar pump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241FC6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5–15 HP; DC or AC powered; discharge 20–80 m³/h</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73F47A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1AD5DC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Solar controller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2F2D83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Automatic operation; dry-run protection; remote monitoring capability</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7EDD7784"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13F0CA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Battery bank</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AD5F6E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Lithium-ion or deep-cycle batteries; 48–96 V system</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04028EA"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86E72A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Mounting structure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03020E4" w14:textId="77777777">
            <w:pPr>
              <w:pBdr/>
              <w:spacing w:after="0" w:line="276" w:lineRule="auto"/>
              <w:ind/>
              <w:jc w:val="both"/>
              <w:rPr>
                <w:rFonts w:ascii="Times New Roman" w:hAnsi="Times New Roman" w:eastAsia="Times New Roman" w:cs="Times New Roman"/>
              </w:rPr>
            </w:pPr>
            <w:r>
              <w:rPr>
                <w:rFonts w:ascii="Times New Roman" w:hAnsi="Times New Roman" w:eastAsia="Gungsuh" w:cs="Times New Roman"/>
              </w:rPr>
              <w:t xml:space="preserve">Hot-dip galvanized steel; wind resistance ≥120 km/h</w:t>
            </w:r>
            <w:r>
              <w:rPr>
                <w:rFonts w:ascii="Times New Roman" w:hAnsi="Times New Roman" w:eastAsia="Times New Roman" w:cs="Times New Roman"/>
              </w:rPr>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505113A" w14:textId="77777777">
            <w:pPr>
              <w:pBdr/>
              <w:spacing w:after="0" w:line="276" w:lineRule="auto"/>
              <w:ind/>
              <w:jc w:val="center"/>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E72DAC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Electrical protection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73EDB2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Surge protection devices; circuit breakers; earthing system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CC1897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7C2659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Electrical tool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7BFBB1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Screwdrivers, pliers, wire strippers, crimping tools</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05F93F8"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DBC455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Multimeter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7ABC30E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Digital, AC/DC measurement capability</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CF4D2E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74C138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Insulation tester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C95140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250–1000 V insulation resistance tester</w:t>
            </w:r>
          </w:p>
        </w:tc>
      </w:tr>
      <w:tr>
        <w:trPr>
          <w:trHeight w:val="28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5327619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8D863A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Safety gloves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073F08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Electrical insulation gloves, rated for low voltage</w:t>
            </w:r>
          </w:p>
        </w:tc>
      </w:tr>
      <w:tr>
        <w:trPr>
          <w:trHeight w:val="55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7ABFE36C" w14:textId="0DA7317A">
            <w:pPr>
              <w:pBdr/>
              <w:spacing w:after="0"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Drip Irrigation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E84A4D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Mainline pipes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1B58B3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HDPE; diameter 63–110 mm; PN10–PN16</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6663B4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7AFE35C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Sub-main pipes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5627C6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HDPE/PVC; diameter 40–75 mm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0119564"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D9CDAD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Lateral pipes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5846F2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16 mm UV-resistant polyethylene</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91A3ACC"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E4E645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Drip emitters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06B912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Pressure-compensating; discharge 2–4 L/h</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B71640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8162F0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Sand filter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61760B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Filtration capacity 10–50 m³/h</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3661C0B"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F4EB22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Disc filter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914778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120–150 mesh filtration</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767D78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5C5313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Fertigation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8FCC6A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Venturi injector or dosing pump</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255C9351"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B8C4D5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 regulator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07FBDF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Operating pressure 1–2 bar</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11472E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88822C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Control valves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9AA8AC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PVC ball valves; PN10–PN16</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46FDDBA6"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3E04AC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Flow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EA21F4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Turbine type; flow range 1–20 m³/h</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40C175C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8D06B0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Pipe cutter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EA6983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PVC/HDPE cutting capacity up to 110 mm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24C174C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CA8BC3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Punch tool</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04A963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Drip lateral punching tool for 16 mm pipes</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48551A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99B4BD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Repair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5B84EF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Couplers, connectors, clamps, sealing tape</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6A39F54"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E24365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 gauge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E45F68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Range 0–6 bar</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0EEDC7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68D7FC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Measuring tape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D6AC88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Fiberglass; length 30–50 m</w:t>
            </w:r>
          </w:p>
        </w:tc>
      </w:tr>
      <w:tr>
        <w:trPr>
          <w:trHeight w:val="28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39B47DD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C4DA07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Wrench set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910CD0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Chrome vanadium steel</w:t>
            </w:r>
          </w:p>
        </w:tc>
      </w:tr>
      <w:tr>
        <w:trPr>
          <w:trHeight w:val="82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07D5DC91" w14:textId="61CD3E06">
            <w:pPr>
              <w:pBdr/>
              <w:spacing w:after="0"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Sprinkler Irrigation System</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27B5CA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Sprinkler heads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419D3793"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Impact or rotary type; radius 8–15 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FFFCD0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36A5CB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Risers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273AF0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Galvanized steel or PVC; height 0.5–1.5 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E65E61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7637FE47"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Pipelines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D22DD6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HDPE/PVC; pressure rating PN10–PN16</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F0DEB5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409CD6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Control valves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719EB2C"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Manual or automatic valves</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8E4A4F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69AA599"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 regulators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5CFCC0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Operating pressure 2–4 bar</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1B87506"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C6E4AD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Flow meter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E39BD8D"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Electromagnetic or turbine type</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A4C734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41EE9C1E"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Filtration unit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79E80F6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Screen or disc filter; 120 mesh</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D918ABE"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384781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Spanner set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BFFAE6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Chrome vanadium steel</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F08A4A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9A0CF1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Pipe wrench</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9348E8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Heavy-duty steel</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3492BC5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7C4F7C4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Pressure gauge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10600F4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Range 0–10 bar</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E0703E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3E2CCF6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Repair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81D047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Connectors, nozzles, clamps</w:t>
            </w:r>
          </w:p>
        </w:tc>
      </w:tr>
      <w:tr>
        <w:trPr>
          <w:trHeight w:val="28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7F266F85"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09144D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Measuring tape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009D75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30–50 m fiberglass tape</w:t>
            </w:r>
          </w:p>
        </w:tc>
      </w:tr>
      <w:tr>
        <w:trPr>
          <w:trHeight w:val="55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1036A97A" w14:textId="539C51FF">
            <w:pPr>
              <w:pBdr/>
              <w:spacing w:after="0" w:line="276" w:lineRule="auto"/>
              <w:ind/>
              <w:jc w:val="both"/>
              <w:rPr>
                <w:rFonts w:ascii="Times New Roman" w:hAnsi="Times New Roman" w:eastAsia="Times New Roman" w:cs="Times New Roman"/>
                <w:b/>
                <w:bCs/>
              </w:rPr>
            </w:pPr>
            <w:r>
              <w:rPr>
                <w:rFonts w:ascii="Times New Roman" w:hAnsi="Times New Roman" w:eastAsia="Times New Roman" w:cs="Times New Roman"/>
                <w:b/>
                <w:bCs/>
              </w:rPr>
              <w:t xml:space="preserve">Climate Smart Irrigation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C10701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Automatic weather station</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3DA8A96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Measures rainfall, temperature, humidity, wind speed, solar radiation</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271268F3"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8510886"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moisture sensors</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27C0B2C8"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Capacitance or TDR type; 0–100% VWC</w:t>
            </w:r>
          </w:p>
        </w:tc>
      </w:tr>
      <w:tr>
        <w:trPr>
          <w:trHeight w:val="55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7A4DE75"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2AF6E37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Evapotranspiration sensor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5C81A944"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ET sensor or Class A evaporation pan</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5563018F"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523F9CF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Data logger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D76B881"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Wireless communication; minimum 30-day storage</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1DA6AE89"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1E827F2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auger</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0F55F782"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Stainless steel; sampling depth up to 100 cm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0791EF8D"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49F96EB"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GPS device</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796D6CAA"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Handheld GPS; accuracy ±3–5 m</w:t>
            </w:r>
          </w:p>
        </w:tc>
      </w:tr>
      <w:tr>
        <w:trPr>
          <w:trHeight w:val="285"/>
        </w:trPr>
        <w:tc>
          <w:tcPr>
            <w:tcBorders>
              <w:top w:val="none" w:color="000000" w:sz="4" w:space="0"/>
              <w:left w:val="single" w:color="000000" w:sz="8" w:space="0"/>
              <w:bottom w:val="none" w:color="000000" w:sz="4" w:space="0"/>
              <w:right w:val="single" w:color="000000" w:sz="8" w:space="0"/>
            </w:tcBorders>
            <w:tcMar>
              <w:left w:w="100" w:type="dxa"/>
              <w:top w:w="0" w:type="dxa"/>
              <w:right w:w="100" w:type="dxa"/>
              <w:bottom w:w="0" w:type="dxa"/>
            </w:tcMar>
            <w:tcW w:w="1890" w:type="dxa"/>
            <w:textDirection w:val="lrTb"/>
            <w:noWrap w:val="false"/>
          </w:tcPr>
          <w:p w14:paraId="62122CC0"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6E4BAA1F"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Soil sampling kit</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67CA687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Auger, sample bags, labels, field case</w:t>
            </w:r>
          </w:p>
        </w:tc>
      </w:tr>
      <w:tr>
        <w:trPr>
          <w:trHeight w:val="285"/>
        </w:trPr>
        <w:tc>
          <w:tcPr>
            <w:tcBorders>
              <w:top w:val="none" w:color="000000" w:sz="4" w:space="0"/>
              <w:left w:val="single" w:color="000000" w:sz="8" w:space="0"/>
              <w:bottom w:val="single" w:color="000000" w:sz="8" w:space="0"/>
              <w:right w:val="single" w:color="000000" w:sz="8" w:space="0"/>
            </w:tcBorders>
            <w:tcMar>
              <w:left w:w="100" w:type="dxa"/>
              <w:top w:w="0" w:type="dxa"/>
              <w:right w:w="100" w:type="dxa"/>
              <w:bottom w:w="0" w:type="dxa"/>
            </w:tcMar>
            <w:tcW w:w="1890" w:type="dxa"/>
            <w:textDirection w:val="lrTb"/>
            <w:noWrap w:val="false"/>
          </w:tcPr>
          <w:p w14:paraId="607F04E2" w14:textId="7777777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2565" w:type="dxa"/>
            <w:textDirection w:val="lrTb"/>
            <w:noWrap w:val="false"/>
          </w:tcPr>
          <w:p w14:paraId="03EB4B90"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Field notebook</w:t>
            </w:r>
          </w:p>
        </w:tc>
        <w:tc>
          <w:tcPr>
            <w:tcBorders>
              <w:top w:val="none" w:color="000000" w:sz="4" w:space="0"/>
              <w:left w:val="none" w:color="000000" w:sz="4" w:space="0"/>
              <w:bottom w:val="single" w:color="000000" w:sz="8" w:space="0"/>
              <w:right w:val="single" w:color="000000" w:sz="8" w:space="0"/>
            </w:tcBorders>
            <w:tcMar>
              <w:left w:w="100" w:type="dxa"/>
              <w:top w:w="0" w:type="dxa"/>
              <w:right w:w="100" w:type="dxa"/>
              <w:bottom w:w="0" w:type="dxa"/>
            </w:tcMar>
            <w:tcW w:w="5235" w:type="dxa"/>
            <w:textDirection w:val="lrTb"/>
            <w:noWrap w:val="false"/>
          </w:tcPr>
          <w:p w14:paraId="74BE97A5" w14:textId="77777777">
            <w:pPr>
              <w:pBdr/>
              <w:spacing w:after="0" w:line="276" w:lineRule="auto"/>
              <w:ind/>
              <w:jc w:val="both"/>
              <w:rPr>
                <w:rFonts w:ascii="Times New Roman" w:hAnsi="Times New Roman" w:eastAsia="Times New Roman" w:cs="Times New Roman"/>
              </w:rPr>
            </w:pPr>
            <w:r>
              <w:rPr>
                <w:rFonts w:ascii="Times New Roman" w:hAnsi="Times New Roman" w:eastAsia="Times New Roman" w:cs="Times New Roman"/>
              </w:rPr>
              <w:t xml:space="preserve">Waterproof field recording book</w:t>
            </w:r>
          </w:p>
        </w:tc>
      </w:tr>
    </w:tbl>
    <w:p w14:paraId="178894F4" w14:textId="77777777">
      <w:pPr>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6934343D" w14:textId="34FDEDB8">
      <w:pPr>
        <w:pStyle w:val="794"/>
        <w:pBdr/>
        <w:spacing/>
        <w:ind/>
        <w:rPr>
          <w:rFonts w:ascii="Times New Roman" w:hAnsi="Times New Roman" w:cs="Times New Roman"/>
          <w:b/>
          <w:color w:val="000000" w:themeColor="text1"/>
          <w:sz w:val="24"/>
          <w:szCs w:val="24"/>
        </w:rPr>
      </w:pPr>
      <w:r/>
      <w:bookmarkStart w:id="16" w:name="_Toc233892409"/>
      <w:r>
        <w:rPr>
          <w:rFonts w:ascii="Times New Roman" w:hAnsi="Times New Roman" w:cs="Times New Roman"/>
          <w:b/>
          <w:color w:val="000000" w:themeColor="text1"/>
          <w:sz w:val="24"/>
          <w:szCs w:val="24"/>
        </w:rPr>
        <w:t xml:space="preserve">2.5. Adult Learning &amp; RPL Sub Unit.</w:t>
      </w:r>
      <w:bookmarkEnd w:id="16"/>
      <w:r/>
      <w:r>
        <w:rPr>
          <w:rFonts w:ascii="Times New Roman" w:hAnsi="Times New Roman" w:cs="Times New Roman"/>
          <w:b/>
          <w:color w:val="000000" w:themeColor="text1"/>
          <w:sz w:val="24"/>
          <w:szCs w:val="24"/>
        </w:rPr>
      </w:r>
    </w:p>
    <w:p w14:paraId="4B1F4A1D"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Adult Learning and Recognition of Prior Learning (RPL) Sub Unit is designed as a large-scale, 600 SQM facility that serves as the primary hub for community outreach and the formal validation of agricultural skills. It acts as a "vital bridge" between the TVET institution and the local community, offering flexible pathways for adult learners, local farmers, and experienced practitioners to obtain formal qualifications based on their existing knowledge.</w:t>
      </w:r>
    </w:p>
    <w:p w14:paraId="0A6B0A6A" w14:textId="6B9F96A7">
      <w:pPr>
        <w:pStyle w:val="795"/>
        <w:pBdr/>
        <w:spacing/>
        <w:ind/>
        <w:rPr>
          <w:rFonts w:ascii="Times New Roman" w:hAnsi="Times New Roman" w:cs="Times New Roman"/>
          <w:b/>
          <w:color w:val="000000" w:themeColor="text1"/>
          <w:sz w:val="24"/>
          <w:szCs w:val="24"/>
          <w:lang w:val="en-US"/>
        </w:rPr>
      </w:pPr>
      <w:r/>
      <w:bookmarkStart w:id="17" w:name="_Toc233892410"/>
      <w:r>
        <w:rPr>
          <w:rFonts w:ascii="Times New Roman" w:hAnsi="Times New Roman" w:cs="Times New Roman"/>
          <w:b/>
          <w:color w:val="000000" w:themeColor="text1"/>
          <w:sz w:val="24"/>
          <w:szCs w:val="24"/>
          <w:lang w:val="en-US"/>
        </w:rPr>
        <w:t xml:space="preserve">2.5.1. Core Infrastructure and Modules</w:t>
      </w:r>
      <w:bookmarkEnd w:id="17"/>
      <w:r/>
      <w:r>
        <w:rPr>
          <w:rFonts w:ascii="Times New Roman" w:hAnsi="Times New Roman" w:cs="Times New Roman"/>
          <w:b/>
          <w:color w:val="000000" w:themeColor="text1"/>
          <w:sz w:val="24"/>
          <w:szCs w:val="24"/>
          <w:lang w:val="en-US"/>
        </w:rPr>
      </w:r>
    </w:p>
    <w:p w14:paraId="477B3822"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center is composed of several dedicated spaces designed for both theoretical instruction and practical demonstration:</w:t>
      </w:r>
    </w:p>
    <w:p w14:paraId="5D254FF5" w14:textId="77777777">
      <w:pPr>
        <w:numPr>
          <w:ilvl w:val="0"/>
          <w:numId w:val="27"/>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Flexible Classroom &amp; Theory Room (80 SQM):</w:t>
      </w:r>
      <w:r>
        <w:rPr>
          <w:rFonts w:ascii="Times New Roman" w:hAnsi="Times New Roman" w:eastAsia="Times New Roman" w:cs="Times New Roman"/>
          <w:lang w:val="en-US"/>
        </w:rPr>
        <w:t xml:space="preserve"> Used for theory sessions linked to all PTU units, including food safety (HACCP/GMP), entrepreneurship, and RPL candidate orientation.</w:t>
      </w:r>
    </w:p>
    <w:p w14:paraId="7B796183" w14:textId="77777777">
      <w:pPr>
        <w:numPr>
          <w:ilvl w:val="0"/>
          <w:numId w:val="27"/>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ICT &amp; Self-Study Room (40 SQM):</w:t>
      </w:r>
      <w:r>
        <w:rPr>
          <w:rFonts w:ascii="Times New Roman" w:hAnsi="Times New Roman" w:eastAsia="Times New Roman" w:cs="Times New Roman"/>
          <w:lang w:val="en-US"/>
        </w:rPr>
        <w:t xml:space="preserve"> Equipped with 15 computers or tablets to support digital literacy, mobile phone-based market access, and RPL portfolio preparation.</w:t>
      </w:r>
    </w:p>
    <w:p w14:paraId="7A9ED3ED" w14:textId="77777777">
      <w:pPr>
        <w:numPr>
          <w:ilvl w:val="0"/>
          <w:numId w:val="27"/>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Multipurpose Demo Room:</w:t>
      </w:r>
      <w:r>
        <w:rPr>
          <w:rFonts w:ascii="Times New Roman" w:hAnsi="Times New Roman" w:eastAsia="Times New Roman" w:cs="Times New Roman"/>
          <w:lang w:val="en-US"/>
        </w:rPr>
        <w:t xml:space="preserve"> A space for introductory practical demonstrations, small-scale value-addition trials, and cooperative enterprise simulations.</w:t>
      </w:r>
    </w:p>
    <w:p w14:paraId="3A351652" w14:textId="77777777">
      <w:pPr>
        <w:numPr>
          <w:ilvl w:val="0"/>
          <w:numId w:val="27"/>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Support &amp; Welfare Facilities (85 SQM combined):</w:t>
      </w:r>
      <w:r>
        <w:rPr>
          <w:rFonts w:ascii="Times New Roman" w:hAnsi="Times New Roman" w:eastAsia="Times New Roman" w:cs="Times New Roman"/>
          <w:lang w:val="en-US"/>
        </w:rPr>
        <w:t xml:space="preserve"> This includes a reception area (20 SQM), a sanitation block with male/female/PWD toilets (30 SQM), a nursing/mothers' room (15 SQM), and a childcare corner (20 SQM) specifically designed to support women learners.</w:t>
      </w:r>
    </w:p>
    <w:p w14:paraId="21A61EEF" w14:textId="77777777">
      <w:pPr>
        <w:numPr>
          <w:ilvl w:val="0"/>
          <w:numId w:val="27"/>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Covered Outdoor Space (100 SQM):</w:t>
      </w:r>
      <w:r>
        <w:rPr>
          <w:rFonts w:ascii="Times New Roman" w:hAnsi="Times New Roman" w:eastAsia="Times New Roman" w:cs="Times New Roman"/>
          <w:lang w:val="en-US"/>
        </w:rPr>
        <w:t xml:space="preserve"> A separate shaded structure for community events and large-scale farmer demonstrations.</w:t>
      </w:r>
    </w:p>
    <w:p w14:paraId="7CFD73D0" w14:textId="3A1ADF0B">
      <w:pPr>
        <w:pStyle w:val="795"/>
        <w:pBdr/>
        <w:spacing/>
        <w:ind/>
        <w:rPr>
          <w:rFonts w:ascii="Times New Roman" w:hAnsi="Times New Roman" w:cs="Times New Roman"/>
          <w:b/>
          <w:color w:val="000000" w:themeColor="text1"/>
          <w:sz w:val="24"/>
          <w:szCs w:val="24"/>
          <w:lang w:val="en-US"/>
        </w:rPr>
      </w:pPr>
      <w:r/>
      <w:bookmarkStart w:id="18" w:name="_Toc233892411"/>
      <w:r>
        <w:rPr>
          <w:rFonts w:ascii="Times New Roman" w:hAnsi="Times New Roman" w:cs="Times New Roman"/>
          <w:b/>
          <w:color w:val="000000" w:themeColor="text1"/>
          <w:sz w:val="24"/>
          <w:szCs w:val="24"/>
          <w:lang w:val="en-US"/>
        </w:rPr>
        <w:t xml:space="preserve">2.5.2. Key Functions and Pedagogical Approach</w:t>
      </w:r>
      <w:bookmarkEnd w:id="18"/>
      <w:r/>
      <w:r>
        <w:rPr>
          <w:rFonts w:ascii="Times New Roman" w:hAnsi="Times New Roman" w:cs="Times New Roman"/>
          <w:b/>
          <w:color w:val="000000" w:themeColor="text1"/>
          <w:sz w:val="24"/>
          <w:szCs w:val="24"/>
          <w:lang w:val="en-US"/>
        </w:rPr>
      </w:r>
    </w:p>
    <w:p w14:paraId="2250ED39" w14:textId="77777777">
      <w:pPr>
        <w:numPr>
          <w:ilvl w:val="0"/>
          <w:numId w:val="28"/>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RPL Assessment System:</w:t>
      </w:r>
      <w:r>
        <w:rPr>
          <w:rFonts w:ascii="Times New Roman" w:hAnsi="Times New Roman" w:eastAsia="Times New Roman" w:cs="Times New Roman"/>
          <w:lang w:val="en-US"/>
        </w:rPr>
        <w:t xml:space="preserve"> The center provides a formal structure for validating competencies gained through field experience, aligning them with national TVET standards established by the Rwanda TVET Board (RTB).</w:t>
      </w:r>
    </w:p>
    <w:p w14:paraId="15A96486" w14:textId="77777777">
      <w:pPr>
        <w:numPr>
          <w:ilvl w:val="0"/>
          <w:numId w:val="28"/>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Andragogy Principles:</w:t>
      </w:r>
      <w:r>
        <w:rPr>
          <w:rFonts w:ascii="Times New Roman" w:hAnsi="Times New Roman" w:eastAsia="Times New Roman" w:cs="Times New Roman"/>
          <w:lang w:val="en-US"/>
        </w:rPr>
        <w:t xml:space="preserve"> The interior design features flexible furniture arrangements to support participatory learning and adult learning methodologies (andragogy).</w:t>
      </w:r>
    </w:p>
    <w:p w14:paraId="1E8220BA" w14:textId="18EE357F">
      <w:pPr>
        <w:numPr>
          <w:ilvl w:val="0"/>
          <w:numId w:val="28"/>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Technology Transfer Hub:</w:t>
      </w:r>
      <w:r>
        <w:rPr>
          <w:rFonts w:ascii="Times New Roman" w:hAnsi="Times New Roman" w:eastAsia="Times New Roman" w:cs="Times New Roman"/>
          <w:lang w:val="en-US"/>
        </w:rPr>
        <w:t xml:space="preserve"> It hosts farmer field schools and demonstration days where the community can observe the modern, climate-smart techniques practiced within the PTU’s production sub-units.</w:t>
      </w:r>
    </w:p>
    <w:p w14:paraId="012E5452" w14:textId="77777777">
      <w:pPr>
        <w:numPr>
          <w:ilvl w:val="0"/>
          <w:numId w:val="28"/>
        </w:num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Collaborative Innovation:</w:t>
      </w:r>
      <w:r>
        <w:rPr>
          <w:rFonts w:ascii="Times New Roman" w:hAnsi="Times New Roman" w:eastAsia="Times New Roman" w:cs="Times New Roman"/>
          <w:lang w:val="en-US"/>
        </w:rPr>
        <w:t xml:space="preserve"> By bringing together formal students and experienced local practitioners, the sub-unit functions as a "collaborative innovation hub" where traditional knowledge is blended with modern techniques.</w:t>
      </w:r>
    </w:p>
    <w:p w14:paraId="69656B9C" w14:textId="734408CF">
      <w:pPr>
        <w:pStyle w:val="795"/>
        <w:pBdr/>
        <w:spacing/>
        <w:ind/>
        <w:rPr>
          <w:rFonts w:ascii="Times New Roman" w:hAnsi="Times New Roman" w:cs="Times New Roman"/>
          <w:b/>
          <w:color w:val="000000" w:themeColor="text1"/>
          <w:sz w:val="24"/>
          <w:szCs w:val="24"/>
          <w:lang w:val="en-US"/>
        </w:rPr>
      </w:pPr>
      <w:r/>
      <w:bookmarkStart w:id="19" w:name="_Toc233892412"/>
      <w:r>
        <w:rPr>
          <w:rFonts w:ascii="Times New Roman" w:hAnsi="Times New Roman" w:cs="Times New Roman"/>
          <w:b/>
          <w:color w:val="000000" w:themeColor="text1"/>
          <w:sz w:val="24"/>
          <w:szCs w:val="24"/>
          <w:lang w:val="en-US"/>
        </w:rPr>
        <w:t xml:space="preserve">2.5.3. Operational Synergies</w:t>
      </w:r>
      <w:bookmarkEnd w:id="19"/>
      <w:r/>
      <w:r>
        <w:rPr>
          <w:rFonts w:ascii="Times New Roman" w:hAnsi="Times New Roman" w:cs="Times New Roman"/>
          <w:b/>
          <w:color w:val="000000" w:themeColor="text1"/>
          <w:sz w:val="24"/>
          <w:szCs w:val="24"/>
          <w:lang w:val="en-US"/>
        </w:rPr>
      </w:r>
    </w:p>
    <w:p w14:paraId="72DE24C0"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While the Adult Learning Center has its own dedicated buildings, it shares the use of the broader PTU Production Units for hands-on training. For example, adult learners utilize the shared Crop Production Sub-Unit for modules on nursery establishment and irrigation, and the Food Processing Unit for value-addition training such as dairy and honey processing. This spatial organization allows for community engagement without disrupting the ongoing commercial production flows of the school.</w:t>
      </w:r>
    </w:p>
    <w:p w14:paraId="279D3A79" w14:textId="77777777">
      <w:pPr>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p>
    <w:p w14:paraId="7858031B" w14:textId="77777777">
      <w:pPr>
        <w:pStyle w:val="828"/>
        <w:pBdr/>
        <w:spacing/>
        <w:ind/>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r>
    </w:p>
    <w:p w14:paraId="3271BD19" w14:textId="77777777">
      <w:pPr>
        <w:pStyle w:val="828"/>
        <w:pBdr/>
        <w:spacing/>
        <w:ind/>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r>
    </w:p>
    <w:p w14:paraId="013B5092" w14:textId="244C64F8">
      <w:pPr>
        <w:pStyle w:val="828"/>
        <w:pBdr/>
        <w:spacing/>
        <w:ind/>
        <w:rPr>
          <w:rFonts w:ascii="Times New Roman" w:hAnsi="Times New Roman" w:eastAsia="Times New Roman" w:cs="Times New Roman"/>
          <w:b/>
          <w:bCs/>
          <w:i w:val="0"/>
          <w:color w:val="000000" w:themeColor="text1"/>
          <w:sz w:val="24"/>
          <w:szCs w:val="24"/>
        </w:rPr>
      </w:pPr>
      <w:r/>
      <w:bookmarkStart w:id="20" w:name="_Toc233888973"/>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9</w:t>
        <w:fldChar w:fldCharType="end"/>
        <w:t xml:space="preserve">: </w:t>
      </w:r>
      <w:r>
        <w:rPr>
          <w:rFonts w:ascii="Times New Roman" w:hAnsi="Times New Roman" w:eastAsia="Times New Roman" w:cs="Times New Roman"/>
          <w:b/>
          <w:bCs/>
          <w:i w:val="0"/>
          <w:color w:val="000000" w:themeColor="text1"/>
          <w:sz w:val="24"/>
          <w:szCs w:val="24"/>
        </w:rPr>
        <w:t xml:space="preserve">Needed equipment and tools for Adult Learning &amp; RPL Sub Unit.</w:t>
      </w:r>
      <w:bookmarkEnd w:id="20"/>
      <w:r/>
      <w:r>
        <w:rPr>
          <w:rFonts w:ascii="Times New Roman" w:hAnsi="Times New Roman" w:eastAsia="Times New Roman" w:cs="Times New Roman"/>
          <w:b/>
          <w:bCs/>
          <w:i w:val="0"/>
          <w:color w:val="000000" w:themeColor="text1"/>
          <w:sz w:val="24"/>
          <w:szCs w:val="24"/>
        </w:rPr>
      </w:r>
    </w:p>
    <w:tbl>
      <w:tblPr>
        <w:tblStyle w:val="822"/>
        <w:tblW w:w="9600" w:type="dxa"/>
        <w:tblBorders/>
        <w:tblLayout w:type="fixed"/>
        <w:tblLook w:val="0600" w:firstRow="0" w:lastRow="0" w:firstColumn="0" w:lastColumn="0" w:noHBand="1" w:noVBand="1"/>
      </w:tblPr>
      <w:tblGrid>
        <w:gridCol w:w="1890"/>
        <w:gridCol w:w="1515"/>
        <w:gridCol w:w="3480"/>
        <w:gridCol w:w="2715"/>
      </w:tblGrid>
      <w:tr>
        <w:trPr/>
        <w:tc>
          <w:tcPr>
            <w:tcBorders/>
            <w:tcW w:w="1890" w:type="dxa"/>
            <w:textDirection w:val="lrTb"/>
            <w:noWrap w:val="false"/>
          </w:tcPr>
          <w:p w14:paraId="5B8EB4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Category</w:t>
            </w:r>
          </w:p>
        </w:tc>
        <w:tc>
          <w:tcPr>
            <w:tcBorders/>
            <w:tcW w:w="1515" w:type="dxa"/>
            <w:textDirection w:val="lrTb"/>
            <w:noWrap w:val="false"/>
          </w:tcPr>
          <w:p w14:paraId="5474FA4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Size (SQM)</w:t>
            </w:r>
          </w:p>
        </w:tc>
        <w:tc>
          <w:tcPr>
            <w:tcBorders/>
            <w:tcW w:w="3480" w:type="dxa"/>
            <w:textDirection w:val="lrTb"/>
            <w:noWrap w:val="false"/>
          </w:tcPr>
          <w:p w14:paraId="26B15A6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Primary Focus</w:t>
            </w:r>
          </w:p>
        </w:tc>
        <w:tc>
          <w:tcPr>
            <w:tcBorders/>
            <w:tcW w:w="2715" w:type="dxa"/>
            <w:textDirection w:val="lrTb"/>
            <w:noWrap w:val="false"/>
          </w:tcPr>
          <w:p w14:paraId="7CE592C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Tools &amp;Equipment</w:t>
            </w:r>
          </w:p>
        </w:tc>
      </w:tr>
      <w:tr>
        <w:trPr/>
        <w:tc>
          <w:tcPr>
            <w:tcBorders/>
            <w:tcW w:w="1890" w:type="dxa"/>
            <w:textDirection w:val="lrTb"/>
            <w:noWrap w:val="false"/>
          </w:tcPr>
          <w:p w14:paraId="41993D5A"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Crop Establishment &amp; Management</w:t>
            </w:r>
            <w:r>
              <w:rPr>
                <w:rFonts w:ascii="Times New Roman" w:hAnsi="Times New Roman" w:eastAsia="Times New Roman" w:cs="Times New Roman"/>
              </w:rPr>
              <w:t xml:space="preserve"> </w:t>
            </w:r>
          </w:p>
        </w:tc>
        <w:tc>
          <w:tcPr>
            <w:tcBorders/>
            <w:tcW w:w="1515" w:type="dxa"/>
            <w:textDirection w:val="lrTb"/>
            <w:noWrap w:val="false"/>
          </w:tcPr>
          <w:p w14:paraId="0F9429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80 SQM (2 units)</w:t>
            </w:r>
            <w:r>
              <w:rPr>
                <w:rFonts w:ascii="Times New Roman" w:hAnsi="Times New Roman" w:eastAsia="Times New Roman" w:cs="Times New Roman"/>
              </w:rPr>
              <w:t xml:space="preserve"> </w:t>
            </w:r>
          </w:p>
        </w:tc>
        <w:tc>
          <w:tcPr>
            <w:tcBorders/>
            <w:tcW w:w="3480" w:type="dxa"/>
            <w:textDirection w:val="lrTb"/>
            <w:noWrap w:val="false"/>
          </w:tcPr>
          <w:p w14:paraId="4205D58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Soil preparation, seed selection &amp; nursery establishment</w:t>
            </w:r>
          </w:p>
          <w:p w14:paraId="74DC567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Transplanting, spacing &amp; crop establishment</w:t>
            </w:r>
          </w:p>
          <w:p w14:paraId="43EF10C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Soil fertility management &amp; composting</w:t>
            </w:r>
          </w:p>
          <w:p w14:paraId="456305B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Crop monitoring, IPM &amp; pesticide-free pest control </w:t>
            </w:r>
          </w:p>
          <w:p w14:paraId="02E0425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Irrigation scheduling &amp; water management</w:t>
            </w:r>
          </w:p>
          <w:p w14:paraId="705E925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Harvesting, post-harvest handling &amp; grading </w:t>
            </w:r>
          </w:p>
        </w:tc>
        <w:tc>
          <w:tcPr>
            <w:tcBorders/>
            <w:tcW w:w="2715" w:type="dxa"/>
            <w:textDirection w:val="lrTb"/>
            <w:noWrap w:val="false"/>
          </w:tcPr>
          <w:p w14:paraId="772037E4" w14:textId="5DE83FB1">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Crop Production Training Sub- Unit:</w:t>
            </w:r>
          </w:p>
          <w:p w14:paraId="2A0D3086"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Power tiller, hand tools (hoes, rakes, shovels)</w:t>
            </w:r>
          </w:p>
          <w:p w14:paraId="570B408C"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Drip &amp; sprinkler irrigation systems</w:t>
            </w:r>
          </w:p>
          <w:p w14:paraId="65B819B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Knapsack sprayers, wheelbarrows</w:t>
            </w:r>
          </w:p>
          <w:p w14:paraId="62BF800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Compost turner, shredder, sieving machine</w:t>
            </w:r>
          </w:p>
          <w:p w14:paraId="679FAB1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Seedling trays, germination chamber</w:t>
            </w:r>
          </w:p>
        </w:tc>
      </w:tr>
      <w:tr>
        <w:trPr/>
        <w:tc>
          <w:tcPr>
            <w:tcBorders/>
            <w:tcW w:w="1890" w:type="dxa"/>
            <w:textDirection w:val="lrTb"/>
            <w:noWrap w:val="false"/>
          </w:tcPr>
          <w:p w14:paraId="2FE9978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Greenhouse &amp; Protected Cultivation</w:t>
            </w:r>
            <w:r>
              <w:rPr>
                <w:rFonts w:ascii="Times New Roman" w:hAnsi="Times New Roman" w:eastAsia="Times New Roman" w:cs="Times New Roman"/>
              </w:rPr>
              <w:t xml:space="preserve"> </w:t>
            </w:r>
          </w:p>
        </w:tc>
        <w:tc>
          <w:tcPr>
            <w:tcBorders/>
            <w:tcW w:w="1515" w:type="dxa"/>
            <w:textDirection w:val="lrTb"/>
            <w:noWrap w:val="false"/>
          </w:tcPr>
          <w:p w14:paraId="471187D1" w14:textId="77777777">
            <w:pPr>
              <w:widowControl w:val="false"/>
              <w:pBdr/>
              <w:spacing/>
              <w:ind/>
              <w:rPr>
                <w:rFonts w:ascii="Times New Roman" w:hAnsi="Times New Roman" w:eastAsia="Times New Roman" w:cs="Times New Roman"/>
              </w:rPr>
            </w:pPr>
            <w:r>
              <w:rPr>
                <w:rFonts w:ascii="Times New Roman" w:hAnsi="Times New Roman" w:eastAsia="Times New Roman" w:cs="Times New Roman"/>
                <w:b/>
                <w:bCs/>
              </w:rPr>
              <w:t xml:space="preserve">80 SQM (2 units)</w:t>
            </w:r>
            <w:r>
              <w:rPr>
                <w:rFonts w:ascii="Times New Roman" w:hAnsi="Times New Roman" w:eastAsia="Times New Roman" w:cs="Times New Roman"/>
              </w:rPr>
              <w:t xml:space="preserve"> </w:t>
            </w:r>
          </w:p>
        </w:tc>
        <w:tc>
          <w:tcPr>
            <w:tcBorders/>
            <w:tcW w:w="3480" w:type="dxa"/>
            <w:textDirection w:val="lrTb"/>
            <w:noWrap w:val="false"/>
          </w:tcPr>
          <w:p w14:paraId="069432B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Greenhouse structure management &amp; climate control</w:t>
            </w:r>
          </w:p>
          <w:p w14:paraId="7E6A95D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Vegetable, legume &amp; fruit production under cover</w:t>
            </w:r>
          </w:p>
          <w:p w14:paraId="5A03EAA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Hydroponic &amp; soilless growing systems</w:t>
            </w:r>
          </w:p>
          <w:p w14:paraId="634E828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Mushroom cultivation &amp; spawn management</w:t>
            </w:r>
          </w:p>
          <w:p w14:paraId="55F352A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Nursery management &amp; seedling production </w:t>
            </w:r>
          </w:p>
        </w:tc>
        <w:tc>
          <w:tcPr>
            <w:tcBorders/>
            <w:tcW w:w="2715" w:type="dxa"/>
            <w:textDirection w:val="lrTb"/>
            <w:noWrap w:val="false"/>
          </w:tcPr>
          <w:p w14:paraId="72B6E566"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Greenhouse:</w:t>
            </w:r>
          </w:p>
          <w:p w14:paraId="6D8B693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Greenhouse structure, ventilation fans, shade nets</w:t>
            </w:r>
          </w:p>
          <w:p w14:paraId="18518502"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Drip irrigation &amp; fertigation units</w:t>
            </w:r>
          </w:p>
          <w:p w14:paraId="0A685F9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NFT hydroponic system, grow lights</w:t>
            </w:r>
          </w:p>
          <w:p w14:paraId="6127F0B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Humidifiers, sterilization drums, incubation chambers</w:t>
            </w:r>
          </w:p>
          <w:p w14:paraId="544B1D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Misting system, potting benches </w:t>
            </w:r>
          </w:p>
        </w:tc>
      </w:tr>
      <w:tr>
        <w:trPr/>
        <w:tc>
          <w:tcPr>
            <w:tcBorders/>
            <w:tcW w:w="1890" w:type="dxa"/>
            <w:textDirection w:val="lrTb"/>
            <w:noWrap w:val="false"/>
          </w:tcPr>
          <w:p w14:paraId="314C0D0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Small Farm Machinery &amp; Tools</w:t>
            </w:r>
            <w:r>
              <w:rPr>
                <w:rFonts w:ascii="Times New Roman" w:hAnsi="Times New Roman" w:eastAsia="Times New Roman" w:cs="Times New Roman"/>
              </w:rPr>
              <w:t xml:space="preserve">  </w:t>
            </w:r>
          </w:p>
        </w:tc>
        <w:tc>
          <w:tcPr>
            <w:tcBorders/>
            <w:tcW w:w="1515" w:type="dxa"/>
            <w:textDirection w:val="lrTb"/>
            <w:noWrap w:val="false"/>
          </w:tcPr>
          <w:p w14:paraId="619153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150 SQM</w:t>
            </w:r>
            <w:r>
              <w:rPr>
                <w:rFonts w:ascii="Times New Roman" w:hAnsi="Times New Roman" w:eastAsia="Times New Roman" w:cs="Times New Roman"/>
              </w:rPr>
              <w:t xml:space="preserve"> </w:t>
            </w:r>
          </w:p>
        </w:tc>
        <w:tc>
          <w:tcPr>
            <w:tcBorders/>
            <w:tcW w:w="3480" w:type="dxa"/>
            <w:textDirection w:val="lrTb"/>
            <w:noWrap w:val="false"/>
          </w:tcPr>
          <w:p w14:paraId="1F4F93E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Safe operation of hand tools &amp; small farm machinery</w:t>
            </w:r>
          </w:p>
          <w:p w14:paraId="4AEA0F4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Power tiller operation &amp; maintenance</w:t>
            </w:r>
          </w:p>
          <w:p w14:paraId="105A365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Knapsack sprayer calibration &amp; safe use</w:t>
            </w:r>
          </w:p>
          <w:p w14:paraId="6FE3B65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Water pump &amp; generator operation</w:t>
            </w:r>
          </w:p>
          <w:p w14:paraId="0DD728C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Irrigation pipe installation &amp; basic repair</w:t>
            </w:r>
          </w:p>
          <w:p w14:paraId="1244603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Machinery troubleshooting &amp; maintenance</w:t>
            </w:r>
          </w:p>
        </w:tc>
        <w:tc>
          <w:tcPr>
            <w:tcBorders/>
            <w:tcW w:w="2715" w:type="dxa"/>
            <w:textDirection w:val="lrTb"/>
            <w:noWrap w:val="false"/>
          </w:tcPr>
          <w:p w14:paraId="642B01F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Machinery :</w:t>
            </w:r>
          </w:p>
          <w:p w14:paraId="60F7CD4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Power tillers (5-12 HP), brush cutters</w:t>
            </w:r>
          </w:p>
          <w:p w14:paraId="1D8B077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Knapsack motorised sprayers (16-20 L)</w:t>
            </w:r>
          </w:p>
          <w:p w14:paraId="79AB396C"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Water pumps (2-5 HP), generators (3-10 kVA)</w:t>
            </w:r>
          </w:p>
          <w:p w14:paraId="38C6DD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Tool racks, workbenches, sharpening machine </w:t>
            </w:r>
          </w:p>
        </w:tc>
      </w:tr>
      <w:tr>
        <w:trPr/>
        <w:tc>
          <w:tcPr>
            <w:tcBorders/>
            <w:tcW w:w="1890" w:type="dxa"/>
            <w:textDirection w:val="lrTb"/>
            <w:noWrap w:val="false"/>
          </w:tcPr>
          <w:p w14:paraId="64C8413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Livestock Husbandry &amp; Management</w:t>
            </w:r>
            <w:r>
              <w:rPr>
                <w:rFonts w:ascii="Times New Roman" w:hAnsi="Times New Roman" w:eastAsia="Times New Roman" w:cs="Times New Roman"/>
              </w:rPr>
              <w:t xml:space="preserve"> </w:t>
            </w:r>
          </w:p>
        </w:tc>
        <w:tc>
          <w:tcPr>
            <w:tcBorders/>
            <w:tcW w:w="1515" w:type="dxa"/>
            <w:textDirection w:val="lrTb"/>
            <w:noWrap w:val="false"/>
          </w:tcPr>
          <w:p w14:paraId="194D0E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100 SQM per block</w:t>
            </w:r>
            <w:r>
              <w:rPr>
                <w:rFonts w:ascii="Times New Roman" w:hAnsi="Times New Roman" w:eastAsia="Times New Roman" w:cs="Times New Roman"/>
              </w:rPr>
              <w:t xml:space="preserve"> </w:t>
            </w:r>
          </w:p>
        </w:tc>
        <w:tc>
          <w:tcPr>
            <w:tcBorders/>
            <w:tcW w:w="3480" w:type="dxa"/>
            <w:textDirection w:val="lrTb"/>
            <w:noWrap w:val="false"/>
          </w:tcPr>
          <w:p w14:paraId="3C37293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Dairy cow, goat, sheep &amp; pig husbandry fundamentals</w:t>
            </w:r>
          </w:p>
          <w:p w14:paraId="2B348D4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Animal housing construction &amp; maintenance</w:t>
            </w:r>
          </w:p>
          <w:p w14:paraId="1A1BB68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Feeding systems, feed formulation &amp; rationing</w:t>
            </w:r>
          </w:p>
          <w:p w14:paraId="3436308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Milking parlor operations &amp; milk quality testing</w:t>
            </w:r>
          </w:p>
          <w:p w14:paraId="1DF1BDC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Breeding, reproduction &amp; parturition assistance</w:t>
            </w:r>
          </w:p>
          <w:p w14:paraId="5E0A87B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Disease identification, prevention &amp; basic treatment</w:t>
            </w:r>
          </w:p>
          <w:p w14:paraId="550513BA" w14:textId="77777777">
            <w:pPr>
              <w:widowControl w:val="false"/>
              <w:pBdr/>
              <w:spacing/>
              <w:ind/>
              <w:rPr>
                <w:rFonts w:ascii="Times New Roman" w:hAnsi="Times New Roman" w:eastAsia="Times New Roman" w:cs="Times New Roman"/>
              </w:rPr>
            </w:pPr>
            <w:r>
              <w:rPr>
                <w:rFonts w:ascii="Times New Roman" w:hAnsi="Times New Roman" w:eastAsia="Times New Roman" w:cs="Times New Roman"/>
              </w:rPr>
              <w:t xml:space="preserve">Animal waste management &amp; biogas linkage </w:t>
            </w:r>
          </w:p>
        </w:tc>
        <w:tc>
          <w:tcPr>
            <w:tcBorders/>
            <w:tcW w:w="2715" w:type="dxa"/>
            <w:textDirection w:val="lrTb"/>
            <w:noWrap w:val="false"/>
          </w:tcPr>
          <w:p w14:paraId="3ED2B2C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Animal Production Training Sub-Unit:</w:t>
            </w:r>
          </w:p>
          <w:p w14:paraId="3420EE22"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Milking machines, bulk milk tanks, milk claws</w:t>
            </w:r>
          </w:p>
          <w:p w14:paraId="6E5C5B86"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Feed mixer, chaff cutter, pelleting machine</w:t>
            </w:r>
          </w:p>
          <w:p w14:paraId="6830275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High-pressure sprayers, weighing bridges</w:t>
            </w:r>
          </w:p>
          <w:p w14:paraId="1A61A0E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Piggery equipment (piglet hot boxes, grinders)</w:t>
            </w:r>
          </w:p>
          <w:p w14:paraId="2E667A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Grooming &amp; feeding systems </w:t>
            </w:r>
          </w:p>
        </w:tc>
      </w:tr>
      <w:tr>
        <w:trPr/>
        <w:tc>
          <w:tcPr>
            <w:tcBorders/>
            <w:tcW w:w="1890" w:type="dxa"/>
            <w:textDirection w:val="lrTb"/>
            <w:noWrap w:val="false"/>
          </w:tcPr>
          <w:p w14:paraId="5F848B6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Poultry Production &amp; Hatchery</w:t>
            </w:r>
            <w:r>
              <w:rPr>
                <w:rFonts w:ascii="Times New Roman" w:hAnsi="Times New Roman" w:eastAsia="Times New Roman" w:cs="Times New Roman"/>
              </w:rPr>
              <w:t xml:space="preserve"> </w:t>
            </w:r>
          </w:p>
        </w:tc>
        <w:tc>
          <w:tcPr>
            <w:tcBorders/>
            <w:tcW w:w="1515" w:type="dxa"/>
            <w:textDirection w:val="lrTb"/>
            <w:noWrap w:val="false"/>
          </w:tcPr>
          <w:p w14:paraId="1838F3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commentRangeStart w:id="4"/>
            <w:r>
              <w:rPr>
                <w:rFonts w:ascii="Times New Roman" w:hAnsi="Times New Roman" w:eastAsia="Times New Roman" w:cs="Times New Roman"/>
                <w:b/>
                <w:bCs/>
              </w:rPr>
              <w:t xml:space="preserve">80 SQM (125x2)</w:t>
            </w:r>
            <w:commentRangeEnd w:id="4"/>
            <w:r>
              <w:rPr>
                <w:rStyle w:val="CommentReference"/>
              </w:rPr>
              <w:commentReference w:id="4"/>
            </w:r>
            <w:r>
              <w:rPr>
                <w:rFonts w:ascii="Times New Roman" w:hAnsi="Times New Roman" w:eastAsia="Times New Roman" w:cs="Times New Roman"/>
              </w:rPr>
              <w:t xml:space="preserve"> </w:t>
            </w:r>
          </w:p>
        </w:tc>
        <w:tc>
          <w:tcPr>
            <w:tcBorders/>
            <w:tcW w:w="3480" w:type="dxa"/>
            <w:textDirection w:val="lrTb"/>
            <w:noWrap w:val="false"/>
          </w:tcPr>
          <w:p w14:paraId="5BDBAF9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Poultry housing setup &amp; biosecurity</w:t>
            </w:r>
          </w:p>
          <w:p w14:paraId="15EAFD2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Brooding management &amp; chick care</w:t>
            </w:r>
          </w:p>
          <w:p w14:paraId="72FFADB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Layer management &amp; egg collection/grading</w:t>
            </w:r>
          </w:p>
          <w:p w14:paraId="55B7534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Broiler fattening &amp; production cycles</w:t>
            </w:r>
          </w:p>
          <w:p w14:paraId="75031E9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Hatchery operations &amp; incubation</w:t>
            </w:r>
          </w:p>
          <w:p w14:paraId="13BA59FC"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Poultry disease prevention &amp; vaccination</w:t>
            </w:r>
          </w:p>
          <w:p w14:paraId="6F1AD03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Poultry waste management &amp; composting </w:t>
            </w:r>
          </w:p>
        </w:tc>
        <w:tc>
          <w:tcPr>
            <w:tcBorders/>
            <w:tcW w:w="2715" w:type="dxa"/>
            <w:textDirection w:val="lrTb"/>
            <w:noWrap w:val="false"/>
          </w:tcPr>
          <w:p w14:paraId="72B2CC9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Poultryt:</w:t>
            </w:r>
          </w:p>
          <w:p w14:paraId="5060559C"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Incubators (setter &amp; hatcher)</w:t>
            </w:r>
          </w:p>
          <w:p w14:paraId="1AC132E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Brooders (heat lamps/heaters)</w:t>
            </w:r>
          </w:p>
          <w:p w14:paraId="00CA19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Automatic feeders &amp; drinkers </w:t>
            </w:r>
          </w:p>
        </w:tc>
      </w:tr>
      <w:tr>
        <w:trPr/>
        <w:tc>
          <w:tcPr>
            <w:tcBorders/>
            <w:tcW w:w="1890" w:type="dxa"/>
            <w:textDirection w:val="lrTb"/>
            <w:noWrap w:val="false"/>
          </w:tcPr>
          <w:p w14:paraId="0F6BDC6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Fish Farming (Aquaculture)</w:t>
            </w:r>
            <w:r>
              <w:rPr>
                <w:rFonts w:ascii="Times New Roman" w:hAnsi="Times New Roman" w:eastAsia="Times New Roman" w:cs="Times New Roman"/>
              </w:rPr>
              <w:t xml:space="preserve"> </w:t>
            </w:r>
          </w:p>
        </w:tc>
        <w:tc>
          <w:tcPr>
            <w:tcBorders/>
            <w:tcW w:w="1515" w:type="dxa"/>
            <w:textDirection w:val="lrTb"/>
            <w:noWrap w:val="false"/>
          </w:tcPr>
          <w:p w14:paraId="26B9F8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commentRangeStart w:id="5"/>
            <w:r>
              <w:rPr>
                <w:rFonts w:ascii="Times New Roman" w:hAnsi="Times New Roman" w:eastAsia="Times New Roman" w:cs="Times New Roman"/>
                <w:b/>
                <w:bCs/>
              </w:rPr>
              <w:t xml:space="preserve">60 SQM (50x4)</w:t>
            </w:r>
            <w:commentRangeEnd w:id="5"/>
            <w:r>
              <w:rPr>
                <w:rStyle w:val="CommentReference"/>
              </w:rPr>
              <w:commentReference w:id="5"/>
            </w:r>
            <w:r>
              <w:rPr>
                <w:rFonts w:ascii="Times New Roman" w:hAnsi="Times New Roman" w:eastAsia="Times New Roman" w:cs="Times New Roman"/>
              </w:rPr>
              <w:t xml:space="preserve"> </w:t>
            </w:r>
          </w:p>
        </w:tc>
        <w:tc>
          <w:tcPr>
            <w:tcBorders/>
            <w:tcW w:w="3480" w:type="dxa"/>
            <w:textDirection w:val="lrTb"/>
            <w:noWrap w:val="false"/>
          </w:tcPr>
          <w:p w14:paraId="4777A18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Pond construction &amp; water quality management</w:t>
            </w:r>
          </w:p>
          <w:p w14:paraId="537B8B2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Fish stocking, feeding &amp; growth monitoring</w:t>
            </w:r>
          </w:p>
          <w:p w14:paraId="4597623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Hatching &amp; nursery activities</w:t>
            </w:r>
          </w:p>
          <w:p w14:paraId="5B9EBCA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Fish harvesting, grading &amp; post-harvest handling</w:t>
            </w:r>
          </w:p>
          <w:p w14:paraId="73B83E1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Aquaculture waste &amp; water recycling </w:t>
            </w:r>
          </w:p>
        </w:tc>
        <w:tc>
          <w:tcPr>
            <w:tcBorders/>
            <w:tcW w:w="2715" w:type="dxa"/>
            <w:textDirection w:val="lrTb"/>
            <w:noWrap w:val="false"/>
          </w:tcPr>
          <w:p w14:paraId="7E33CA8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Aquaculture Unit:</w:t>
            </w:r>
          </w:p>
          <w:p w14:paraId="23ECAD5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Oxygenated tanks, RAS facilities</w:t>
            </w:r>
          </w:p>
          <w:p w14:paraId="49C229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Hatchery equipment  </w:t>
            </w:r>
          </w:p>
        </w:tc>
      </w:tr>
      <w:tr>
        <w:trPr/>
        <w:tc>
          <w:tcPr>
            <w:tcBorders/>
            <w:tcW w:w="1890" w:type="dxa"/>
            <w:textDirection w:val="lrTb"/>
            <w:noWrap w:val="false"/>
          </w:tcPr>
          <w:p w14:paraId="7732C9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Dairy &amp; Meat Processing</w:t>
            </w:r>
            <w:r>
              <w:rPr>
                <w:rFonts w:ascii="Times New Roman" w:hAnsi="Times New Roman" w:eastAsia="Times New Roman" w:cs="Times New Roman"/>
              </w:rPr>
              <w:t xml:space="preserve"> </w:t>
            </w:r>
          </w:p>
        </w:tc>
        <w:tc>
          <w:tcPr>
            <w:tcBorders/>
            <w:tcW w:w="1515" w:type="dxa"/>
            <w:textDirection w:val="lrTb"/>
            <w:noWrap w:val="false"/>
          </w:tcPr>
          <w:p w14:paraId="777860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80 SQM</w:t>
            </w:r>
            <w:r>
              <w:rPr>
                <w:rFonts w:ascii="Times New Roman" w:hAnsi="Times New Roman" w:eastAsia="Times New Roman" w:cs="Times New Roman"/>
              </w:rPr>
              <w:t xml:space="preserve"> </w:t>
            </w:r>
          </w:p>
        </w:tc>
        <w:tc>
          <w:tcPr>
            <w:tcBorders/>
            <w:tcW w:w="3480" w:type="dxa"/>
            <w:textDirection w:val="lrTb"/>
            <w:noWrap w:val="false"/>
          </w:tcPr>
          <w:p w14:paraId="602C396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Milk reception, quality testing &amp; pasteurisation</w:t>
            </w:r>
          </w:p>
          <w:p w14:paraId="1BA2BFE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Yogurt, fermented milk (Ikivuguto) &amp; cheese making</w:t>
            </w:r>
          </w:p>
          <w:p w14:paraId="4DA9673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Ice cream &amp; butter production</w:t>
            </w:r>
          </w:p>
          <w:p w14:paraId="76EAC3A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Meat slaughtering, butchering, grading &amp; packaging</w:t>
            </w:r>
          </w:p>
          <w:p w14:paraId="27611A3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Hygiene, HACCP &amp; food safety in animal products</w:t>
            </w:r>
          </w:p>
          <w:p w14:paraId="53367D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Cold chain management </w:t>
            </w:r>
          </w:p>
        </w:tc>
        <w:tc>
          <w:tcPr>
            <w:tcBorders/>
            <w:tcW w:w="2715" w:type="dxa"/>
            <w:textDirection w:val="lrTb"/>
            <w:noWrap w:val="false"/>
          </w:tcPr>
          <w:p w14:paraId="6C7C5DF2"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Dairy &amp; Meat Units:</w:t>
            </w:r>
          </w:p>
          <w:p w14:paraId="7A2CFC2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Pasteuriser (batch/plate), milk cooling tank</w:t>
            </w:r>
          </w:p>
          <w:p w14:paraId="2AD366E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Homogeniser, cream separator, incubators</w:t>
            </w:r>
          </w:p>
          <w:p w14:paraId="0B1E6416"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Stunning box, hoist, scalding tank, band saw</w:t>
            </w:r>
          </w:p>
          <w:p w14:paraId="27F2692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Vacuum packaging machine, chilling room/freezer </w:t>
            </w:r>
          </w:p>
        </w:tc>
      </w:tr>
      <w:tr>
        <w:trPr/>
        <w:tc>
          <w:tcPr>
            <w:tcBorders/>
            <w:tcW w:w="1890" w:type="dxa"/>
            <w:textDirection w:val="lrTb"/>
            <w:noWrap w:val="false"/>
          </w:tcPr>
          <w:p w14:paraId="36BD387F" w14:textId="77777777">
            <w:pPr>
              <w:widowControl w:val="false"/>
              <w:pBdr/>
              <w:spacing w:after="40"/>
              <w:ind/>
              <w:rPr>
                <w:rFonts w:ascii="Times New Roman" w:hAnsi="Times New Roman" w:eastAsia="Times New Roman" w:cs="Times New Roman"/>
                <w:b/>
                <w:bCs/>
              </w:rPr>
            </w:pPr>
            <w:r>
              <w:rPr>
                <w:rFonts w:ascii="Times New Roman" w:hAnsi="Times New Roman" w:eastAsia="Times New Roman" w:cs="Times New Roman"/>
                <w:b/>
                <w:bCs/>
              </w:rPr>
              <w:t xml:space="preserve">Fruit, Vegetable &amp; Grain Processing</w:t>
            </w:r>
          </w:p>
        </w:tc>
        <w:tc>
          <w:tcPr>
            <w:tcBorders/>
            <w:tcW w:w="1515" w:type="dxa"/>
            <w:textDirection w:val="lrTb"/>
            <w:noWrap w:val="false"/>
          </w:tcPr>
          <w:p w14:paraId="2352DD4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commentRangeStart w:id="6"/>
            <w:r>
              <w:rPr>
                <w:rFonts w:ascii="Times New Roman" w:hAnsi="Times New Roman" w:eastAsia="Times New Roman" w:cs="Times New Roman"/>
                <w:b/>
                <w:bCs/>
              </w:rPr>
              <w:t xml:space="preserve">120 SQM (Lab)  SQM (Dryer)</w:t>
            </w:r>
            <w:commentRangeEnd w:id="6"/>
            <w:r>
              <w:rPr>
                <w:rStyle w:val="CommentReference"/>
              </w:rPr>
              <w:commentReference w:id="6"/>
            </w:r>
            <w:r>
              <w:rPr>
                <w:rFonts w:ascii="Times New Roman" w:hAnsi="Times New Roman" w:eastAsia="Times New Roman" w:cs="Times New Roman"/>
              </w:rPr>
              <w:t xml:space="preserve"> </w:t>
            </w:r>
          </w:p>
        </w:tc>
        <w:tc>
          <w:tcPr>
            <w:tcBorders/>
            <w:tcW w:w="3480" w:type="dxa"/>
            <w:textDirection w:val="lrTb"/>
            <w:noWrap w:val="false"/>
          </w:tcPr>
          <w:p w14:paraId="3D00E30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Jam, jelly, marmalade &amp; nectar production</w:t>
            </w:r>
          </w:p>
          <w:p w14:paraId="66139B9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Fruit &amp; vegetable drying (solar &amp; mechanical)</w:t>
            </w:r>
          </w:p>
          <w:p w14:paraId="1945450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Baking: bread, cakes, biscuits, chapatti, doughnuts</w:t>
            </w:r>
          </w:p>
          <w:p w14:paraId="1175EE7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Pasta making &amp; flour processing</w:t>
            </w:r>
          </w:p>
          <w:p w14:paraId="744A2BA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Vinegar &amp; fermentation basics</w:t>
            </w:r>
          </w:p>
          <w:p w14:paraId="5C79E9D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Packaging, labelling &amp; shelf life management</w:t>
            </w:r>
          </w:p>
          <w:p w14:paraId="4C0C588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Product development from local crops </w:t>
            </w:r>
          </w:p>
        </w:tc>
        <w:tc>
          <w:tcPr>
            <w:tcBorders/>
            <w:tcW w:w="2715" w:type="dxa"/>
            <w:textDirection w:val="lrTb"/>
            <w:noWrap w:val="false"/>
          </w:tcPr>
          <w:p w14:paraId="10AD568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Plant-Based Units:</w:t>
            </w:r>
          </w:p>
          <w:p w14:paraId="64DDACA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Pulping machine, boiling pans, vacuum sealer</w:t>
            </w:r>
          </w:p>
          <w:p w14:paraId="27351ED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Solar/mechanical dryers, tunnel/belt dryers</w:t>
            </w:r>
          </w:p>
          <w:p w14:paraId="3BED0356"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Dough mixer, ovens, flour sifter, deep fryer</w:t>
            </w:r>
          </w:p>
          <w:p w14:paraId="0EA5BCE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Pasta extruder, fermentation </w:t>
            </w:r>
          </w:p>
        </w:tc>
      </w:tr>
      <w:tr>
        <w:trPr/>
        <w:tc>
          <w:tcPr>
            <w:tcBorders/>
            <w:tcW w:w="1890" w:type="dxa"/>
            <w:textDirection w:val="lrTb"/>
            <w:noWrap w:val="false"/>
          </w:tcPr>
          <w:p w14:paraId="4D48C22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Specialty Crops &amp; Honey Processing</w:t>
            </w:r>
            <w:r>
              <w:rPr>
                <w:rFonts w:ascii="Times New Roman" w:hAnsi="Times New Roman" w:eastAsia="Times New Roman" w:cs="Times New Roman"/>
              </w:rPr>
              <w:t xml:space="preserve"> </w:t>
            </w:r>
          </w:p>
        </w:tc>
        <w:tc>
          <w:tcPr>
            <w:tcBorders/>
            <w:tcW w:w="1515" w:type="dxa"/>
            <w:textDirection w:val="lrTb"/>
            <w:noWrap w:val="false"/>
          </w:tcPr>
          <w:p w14:paraId="5306F1D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b/>
                <w:bCs/>
              </w:rPr>
              <w:t xml:space="preserve">120 SQM  (Dryer)</w:t>
            </w:r>
            <w:r>
              <w:rPr>
                <w:rFonts w:ascii="Times New Roman" w:hAnsi="Times New Roman" w:eastAsia="Times New Roman" w:cs="Times New Roman"/>
              </w:rPr>
              <w:t xml:space="preserve"> </w:t>
            </w:r>
          </w:p>
        </w:tc>
        <w:tc>
          <w:tcPr>
            <w:tcBorders/>
            <w:tcW w:w="3480" w:type="dxa"/>
            <w:textDirection w:val="lrTb"/>
            <w:noWrap w:val="false"/>
          </w:tcPr>
          <w:p w14:paraId="4C77F68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Coffee pulping, fermentation, washing &amp; roasting</w:t>
            </w:r>
          </w:p>
          <w:p w14:paraId="31389E5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Coffee cupping &amp; sensory evaluation</w:t>
            </w:r>
          </w:p>
          <w:p w14:paraId="641E28A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Tea leaf processing (CTC &amp; orthodox)</w:t>
            </w:r>
          </w:p>
          <w:p w14:paraId="740B1E8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Sugarcane juice extraction &amp; sugar production</w:t>
            </w:r>
          </w:p>
          <w:p w14:paraId="699E3AC3"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Soymilk &amp; tofu production</w:t>
            </w:r>
          </w:p>
          <w:p w14:paraId="76414D7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Honey extraction, filtering &amp; quality testing</w:t>
            </w:r>
          </w:p>
          <w:p w14:paraId="4244B28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Beeswax recovery &amp; value addition</w:t>
            </w:r>
          </w:p>
          <w:p w14:paraId="6081D4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Packaging &amp; export standards </w:t>
            </w:r>
          </w:p>
        </w:tc>
        <w:tc>
          <w:tcPr>
            <w:tcBorders/>
            <w:tcW w:w="2715" w:type="dxa"/>
            <w:textDirection w:val="lrTb"/>
            <w:noWrap w:val="false"/>
          </w:tcPr>
          <w:p w14:paraId="6FB5110B"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Shared with PTU Specialty Crop &amp; Honey Units:</w:t>
            </w:r>
          </w:p>
          <w:p w14:paraId="105BBF4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Coffee pulper/roaster/grinder, CTC rollers</w:t>
            </w:r>
          </w:p>
          <w:p w14:paraId="2AC57FA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Sugarcane mill, clarifier, centrifuge</w:t>
            </w:r>
          </w:p>
          <w:p w14:paraId="75BFDFD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Soy grinder/presser, freeze dryer</w:t>
            </w:r>
          </w:p>
          <w:p w14:paraId="5CFC478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Centrifugal honey extractor, uncapping machine</w:t>
            </w:r>
          </w:p>
          <w:p w14:paraId="5551C87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rPr>
            </w:pPr>
            <w:r>
              <w:rPr>
                <w:rFonts w:ascii="Times New Roman" w:hAnsi="Times New Roman" w:eastAsia="Times New Roman" w:cs="Times New Roman"/>
              </w:rPr>
              <w:t xml:space="preserve">Wax press, heating jackets, filtering machine </w:t>
            </w:r>
          </w:p>
        </w:tc>
      </w:tr>
      <w:tr>
        <w:trPr/>
        <w:tc>
          <w:tcPr>
            <w:tcBorders/>
            <w:tcW w:w="1890" w:type="dxa"/>
            <w:textDirection w:val="lrTb"/>
            <w:noWrap w:val="false"/>
          </w:tcPr>
          <w:p w14:paraId="4CE25D9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Flexible Classroom &amp; Theory Room </w:t>
            </w:r>
          </w:p>
        </w:tc>
        <w:tc>
          <w:tcPr>
            <w:tcBorders/>
            <w:tcW w:w="1515" w:type="dxa"/>
            <w:textDirection w:val="lrTb"/>
            <w:noWrap w:val="false"/>
          </w:tcPr>
          <w:p w14:paraId="7AA464B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80 SQM </w:t>
            </w:r>
          </w:p>
        </w:tc>
        <w:tc>
          <w:tcPr>
            <w:tcBorders/>
            <w:tcW w:w="3480" w:type="dxa"/>
            <w:textDirection w:val="lrTb"/>
            <w:noWrap w:val="false"/>
          </w:tcPr>
          <w:p w14:paraId="0FB9FA43"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Theory sessions linked to all practical PTU units</w:t>
            </w:r>
          </w:p>
          <w:p w14:paraId="6CC28E0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Food safety, HACCP &amp; GMP principles</w:t>
            </w:r>
          </w:p>
          <w:p w14:paraId="7ECF19B3"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Entrepreneurship &amp; cooperative business models</w:t>
            </w:r>
          </w:p>
          <w:p w14:paraId="6A19D7B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Environmental sustainability &amp; circular agriculture</w:t>
            </w:r>
          </w:p>
          <w:p w14:paraId="7C768DA1"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Record keeping, workplace communication</w:t>
            </w:r>
          </w:p>
          <w:p w14:paraId="6B24521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Adult literacy &amp; contextualised numeracy</w:t>
            </w:r>
          </w:p>
          <w:p w14:paraId="6B6F5A2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RPL candidate orientation &amp; gap-training </w:t>
            </w:r>
          </w:p>
        </w:tc>
        <w:tc>
          <w:tcPr>
            <w:tcBorders/>
            <w:tcW w:w="2715" w:type="dxa"/>
            <w:textDirection w:val="lrTb"/>
            <w:noWrap w:val="false"/>
          </w:tcPr>
          <w:p w14:paraId="29E39EB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Projector &amp; screen</w:t>
            </w:r>
          </w:p>
          <w:p w14:paraId="1C4C534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Facilitator laptop/computer</w:t>
            </w:r>
          </w:p>
          <w:p w14:paraId="3724B11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Speaker system</w:t>
            </w:r>
          </w:p>
          <w:p w14:paraId="15AAFD27"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Flip chart stands (x2)</w:t>
            </w:r>
          </w:p>
        </w:tc>
      </w:tr>
      <w:tr>
        <w:trPr/>
        <w:tc>
          <w:tcPr>
            <w:tcBorders/>
            <w:tcW w:w="1890" w:type="dxa"/>
            <w:textDirection w:val="lrTb"/>
            <w:noWrap w:val="false"/>
          </w:tcPr>
          <w:p w14:paraId="351A894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ICT &amp; Self-Study Room </w:t>
            </w:r>
          </w:p>
        </w:tc>
        <w:tc>
          <w:tcPr>
            <w:tcBorders/>
            <w:tcW w:w="1515" w:type="dxa"/>
            <w:textDirection w:val="lrTb"/>
            <w:noWrap w:val="false"/>
          </w:tcPr>
          <w:p w14:paraId="6DA0C4C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40 SQM</w:t>
            </w:r>
          </w:p>
        </w:tc>
        <w:tc>
          <w:tcPr>
            <w:tcBorders/>
            <w:tcW w:w="3480" w:type="dxa"/>
            <w:textDirection w:val="lrTb"/>
            <w:noWrap w:val="false"/>
          </w:tcPr>
          <w:p w14:paraId="4BA9257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Digital literacy for youth &amp; women</w:t>
            </w:r>
          </w:p>
          <w:p w14:paraId="330FEC2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Offline e-learning modules (Moodle)</w:t>
            </w:r>
          </w:p>
          <w:p w14:paraId="04E443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Mobile phone use for agri-market access</w:t>
            </w:r>
          </w:p>
          <w:p w14:paraId="440EC32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Portfolio preparation &amp; RPL self-assessment</w:t>
            </w:r>
          </w:p>
          <w:p w14:paraId="056254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40"/>
              <w:ind/>
              <w:rPr>
                <w:rFonts w:ascii="Times New Roman" w:hAnsi="Times New Roman" w:eastAsia="Times New Roman" w:cs="Times New Roman"/>
              </w:rPr>
            </w:pPr>
            <w:r>
              <w:rPr>
                <w:rFonts w:ascii="Times New Roman" w:hAnsi="Times New Roman" w:eastAsia="Times New Roman" w:cs="Times New Roman"/>
              </w:rPr>
              <w:t xml:space="preserve">Online farm &amp; processing management skills</w:t>
            </w:r>
          </w:p>
        </w:tc>
        <w:tc>
          <w:tcPr>
            <w:tcBorders/>
            <w:tcW w:w="2715" w:type="dxa"/>
            <w:textDirection w:val="lrTb"/>
            <w:noWrap w:val="false"/>
          </w:tcPr>
          <w:p w14:paraId="2848648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Computers or tablets (x15)</w:t>
            </w:r>
          </w:p>
          <w:p w14:paraId="7C45CAC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Router/switch, UPS backup (x2)</w:t>
            </w:r>
          </w:p>
          <w:p w14:paraId="1C826EB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Projector &amp; printer </w:t>
            </w:r>
          </w:p>
        </w:tc>
      </w:tr>
      <w:tr>
        <w:trPr/>
        <w:tc>
          <w:tcPr>
            <w:tcBorders/>
            <w:tcW w:w="1890" w:type="dxa"/>
            <w:textDirection w:val="lrTb"/>
            <w:noWrap w:val="false"/>
          </w:tcPr>
          <w:p w14:paraId="5E5F30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Multipurpose Demo Room </w:t>
            </w:r>
          </w:p>
        </w:tc>
        <w:tc>
          <w:tcPr>
            <w:tcBorders/>
            <w:tcW w:w="1515" w:type="dxa"/>
            <w:textDirection w:val="lrTb"/>
            <w:noWrap w:val="false"/>
          </w:tcPr>
          <w:p w14:paraId="33A3ED2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r>
          </w:p>
        </w:tc>
        <w:tc>
          <w:tcPr>
            <w:tcBorders/>
            <w:tcW w:w="3480" w:type="dxa"/>
            <w:textDirection w:val="lrTb"/>
            <w:noWrap w:val="false"/>
          </w:tcPr>
          <w:p w14:paraId="32CDC79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Introductory practical demos before PTU lab use</w:t>
            </w:r>
          </w:p>
          <w:p w14:paraId="1B6DA35A"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Basic food safety &amp; product quality checks</w:t>
            </w:r>
          </w:p>
          <w:p w14:paraId="5820647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Small-scale value addition product trials</w:t>
            </w:r>
          </w:p>
          <w:p w14:paraId="6DBB594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Cooperative enterprise simulations</w:t>
            </w:r>
          </w:p>
          <w:p w14:paraId="475E265B" w14:textId="77777777">
            <w:pPr>
              <w:widowControl w:val="false"/>
              <w:pBdr/>
              <w:spacing/>
              <w:ind/>
              <w:rPr>
                <w:rFonts w:ascii="Times New Roman" w:hAnsi="Times New Roman" w:eastAsia="Times New Roman" w:cs="Times New Roman"/>
              </w:rPr>
            </w:pPr>
            <w:r>
              <w:rPr>
                <w:rFonts w:ascii="Times New Roman" w:hAnsi="Times New Roman" w:eastAsia="Times New Roman" w:cs="Times New Roman"/>
              </w:rPr>
              <w:t xml:space="preserve">Numeracy in practice: weighing, costing, recipe scaling </w:t>
            </w:r>
          </w:p>
        </w:tc>
        <w:tc>
          <w:tcPr>
            <w:tcBorders/>
            <w:tcW w:w="2715" w:type="dxa"/>
            <w:textDirection w:val="lrTb"/>
            <w:noWrap w:val="false"/>
          </w:tcPr>
          <w:p w14:paraId="01F2583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Basic weighing scales</w:t>
            </w:r>
          </w:p>
          <w:p w14:paraId="492FD435"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pH meter, thermometer</w:t>
            </w:r>
          </w:p>
          <w:p w14:paraId="4AECCA00"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Measuring jugs &amp; cylinders</w:t>
            </w:r>
          </w:p>
          <w:p w14:paraId="790E3D2F"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Fire extinguisher, first aid kit </w:t>
            </w:r>
          </w:p>
        </w:tc>
      </w:tr>
      <w:tr>
        <w:trPr/>
        <w:tc>
          <w:tcPr>
            <w:tcBorders/>
            <w:tcW w:w="1890" w:type="dxa"/>
            <w:textDirection w:val="lrTb"/>
            <w:noWrap w:val="false"/>
          </w:tcPr>
          <w:p w14:paraId="7D8BB5B6" w14:textId="77777777">
            <w:pPr>
              <w:widowControl w:val="false"/>
              <w:pBdr/>
              <w:spacing w:after="40"/>
              <w:ind/>
              <w:rPr>
                <w:rFonts w:ascii="Times New Roman" w:hAnsi="Times New Roman" w:eastAsia="Times New Roman" w:cs="Times New Roman"/>
                <w:b/>
                <w:bCs/>
              </w:rPr>
            </w:pPr>
            <w:r>
              <w:rPr>
                <w:rFonts w:ascii="Times New Roman" w:hAnsi="Times New Roman" w:eastAsia="Times New Roman" w:cs="Times New Roman"/>
                <w:b/>
                <w:bCs/>
              </w:rPr>
              <w:t xml:space="preserve">Support &amp; Welfare Facilities</w:t>
            </w:r>
          </w:p>
        </w:tc>
        <w:tc>
          <w:tcPr>
            <w:tcBorders/>
            <w:tcW w:w="1515" w:type="dxa"/>
            <w:textDirection w:val="lrTb"/>
            <w:noWrap w:val="false"/>
          </w:tcPr>
          <w:p w14:paraId="34B5CF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rPr>
            </w:pPr>
            <w:r>
              <w:rPr>
                <w:rFonts w:ascii="Times New Roman" w:hAnsi="Times New Roman" w:eastAsia="Times New Roman" w:cs="Times New Roman"/>
                <w:b/>
                <w:bCs/>
              </w:rPr>
              <w:t xml:space="preserve">85 SQM (combined) </w:t>
            </w:r>
          </w:p>
        </w:tc>
        <w:tc>
          <w:tcPr>
            <w:tcBorders/>
            <w:tcW w:w="3480" w:type="dxa"/>
            <w:textDirection w:val="lrTb"/>
            <w:noWrap w:val="false"/>
          </w:tcPr>
          <w:p w14:paraId="3DD3B32E"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Reception &amp; candidate registration (20 SQM)</w:t>
            </w:r>
          </w:p>
          <w:p w14:paraId="7D8DC6AC"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Sanitation block - male/female/PWD toilets (30 SQM)</w:t>
            </w:r>
          </w:p>
          <w:p w14:paraId="430BA1F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Nursing/first aid &amp; mothers' room (15 SQM)</w:t>
            </w:r>
          </w:p>
          <w:p w14:paraId="3050F604"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Childcare corner - supports women learners (20 SQM)</w:t>
            </w:r>
          </w:p>
          <w:p w14:paraId="2CFAD245" w14:textId="77777777">
            <w:pPr>
              <w:widowControl w:val="false"/>
              <w:pBdr/>
              <w:spacing/>
              <w:ind/>
              <w:rPr>
                <w:rFonts w:ascii="Times New Roman" w:hAnsi="Times New Roman" w:eastAsia="Times New Roman" w:cs="Times New Roman"/>
              </w:rPr>
            </w:pPr>
            <w:r>
              <w:rPr>
                <w:rFonts w:ascii="Times New Roman" w:hAnsi="Times New Roman" w:eastAsia="Times New Roman" w:cs="Times New Roman"/>
              </w:rPr>
              <w:t xml:space="preserve">Covered outdoor space for community events (100 SQM covered shade - separate structure)</w:t>
            </w:r>
          </w:p>
        </w:tc>
        <w:tc>
          <w:tcPr>
            <w:tcBorders/>
            <w:tcW w:w="2715" w:type="dxa"/>
            <w:textDirection w:val="lrTb"/>
            <w:noWrap w:val="false"/>
          </w:tcPr>
          <w:p w14:paraId="2D615A3D"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Computer (x1), printer/scanner</w:t>
            </w:r>
          </w:p>
          <w:p w14:paraId="0ACFA058"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Soap dispensers, hand dryers</w:t>
            </w:r>
          </w:p>
          <w:p w14:paraId="5A46FCB3"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First aid kit, blood pressure cuff</w:t>
            </w:r>
          </w:p>
          <w:p w14:paraId="705949B9" w14:textId="77777777">
            <w:pPr>
              <w:widowControl w:val="false"/>
              <w:pBdr/>
              <w:spacing w:after="40"/>
              <w:ind/>
              <w:rPr>
                <w:rFonts w:ascii="Times New Roman" w:hAnsi="Times New Roman" w:eastAsia="Times New Roman" w:cs="Times New Roman"/>
              </w:rPr>
            </w:pPr>
            <w:r>
              <w:rPr>
                <w:rFonts w:ascii="Times New Roman" w:hAnsi="Times New Roman" w:eastAsia="Times New Roman" w:cs="Times New Roman"/>
              </w:rPr>
              <w:t xml:space="preserve">Portable PA system (outdoor events </w:t>
            </w:r>
          </w:p>
        </w:tc>
      </w:tr>
    </w:tbl>
    <w:p w14:paraId="0FC9C0AF" w14:textId="77777777">
      <w:pPr>
        <w:pStyle w:val="794"/>
        <w:pBdr/>
        <w:spacing/>
        <w:ind/>
        <w:rPr>
          <w:rFonts w:ascii="Times New Roman" w:hAnsi="Times New Roman" w:cs="Times New Roman"/>
          <w:b/>
          <w:color w:val="000000" w:themeColor="text1"/>
          <w:sz w:val="24"/>
          <w:szCs w:val="24"/>
        </w:rPr>
      </w:pPr>
      <w:r/>
      <w:bookmarkStart w:id="21" w:name="_Toc233892413"/>
      <w:commentRangeStart w:id="0"/>
      <w:r>
        <w:rPr>
          <w:rFonts w:ascii="Times New Roman" w:hAnsi="Times New Roman" w:cs="Times New Roman"/>
          <w:b/>
          <w:color w:val="000000" w:themeColor="text1"/>
          <w:sz w:val="24"/>
          <w:szCs w:val="24"/>
        </w:rPr>
        <w:t xml:space="preserve">2.4. Specialized Training and Support Facilities</w:t>
      </w:r>
      <w:commentRangeEnd w:id="0"/>
      <w:r>
        <w:rPr>
          <w:rStyle w:val="CommentReference"/>
        </w:rPr>
        <w:commentReference w:id="0"/>
      </w:r>
      <w:bookmarkEnd w:id="21"/>
      <w:r/>
      <w:r>
        <w:rPr>
          <w:rFonts w:ascii="Times New Roman" w:hAnsi="Times New Roman" w:cs="Times New Roman"/>
          <w:b/>
          <w:color w:val="000000" w:themeColor="text1"/>
          <w:sz w:val="24"/>
          <w:szCs w:val="24"/>
        </w:rPr>
      </w:r>
    </w:p>
    <w:p w14:paraId="49F1B00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development of </w:t>
      </w:r>
      <w:r>
        <w:rPr>
          <w:rFonts w:ascii="Times New Roman" w:hAnsi="Times New Roman" w:eastAsia="Times New Roman" w:cs="Times New Roman"/>
          <w:b/>
          <w:bCs/>
        </w:rPr>
        <w:t xml:space="preserve">Specialized Training and Support Facilities</w:t>
      </w:r>
      <w:r>
        <w:rPr>
          <w:rFonts w:ascii="Times New Roman" w:hAnsi="Times New Roman" w:eastAsia="Times New Roman" w:cs="Times New Roman"/>
        </w:rPr>
        <w:t xml:space="preserve"> is essential to the Practical Training Unit (PTU) model, as these spaces bridge the gap between institutional learning and community-wide agricultural transformation. These facilities are designed to support the </w:t>
      </w:r>
      <w:r>
        <w:rPr>
          <w:rFonts w:ascii="Times New Roman" w:hAnsi="Times New Roman" w:eastAsia="Times New Roman" w:cs="Times New Roman"/>
          <w:b/>
          <w:bCs/>
        </w:rPr>
        <w:t xml:space="preserve">"Learn by Doing"</w:t>
      </w:r>
      <w:r>
        <w:rPr>
          <w:rFonts w:ascii="Times New Roman" w:hAnsi="Times New Roman" w:eastAsia="Times New Roman" w:cs="Times New Roman"/>
        </w:rPr>
        <w:t xml:space="preserve"> methodology while ensuring the PTU operates as a </w:t>
      </w:r>
      <w:r>
        <w:rPr>
          <w:rFonts w:ascii="Times New Roman" w:hAnsi="Times New Roman" w:eastAsia="Times New Roman" w:cs="Times New Roman"/>
          <w:b/>
          <w:bCs/>
        </w:rPr>
        <w:t xml:space="preserve">circular agricultural ecosystem</w:t>
      </w:r>
      <w:r>
        <w:rPr>
          <w:rFonts w:ascii="Times New Roman" w:hAnsi="Times New Roman" w:eastAsia="Times New Roman" w:cs="Times New Roman"/>
        </w:rPr>
        <w:t xml:space="preserve">.</w:t>
      </w:r>
    </w:p>
    <w:p w14:paraId="57FB9838" w14:textId="01C62226">
      <w:pPr>
        <w:pStyle w:val="795"/>
        <w:pBdr/>
        <w:spacing/>
        <w:ind/>
        <w:rPr>
          <w:rFonts w:ascii="Times New Roman" w:hAnsi="Times New Roman" w:cs="Times New Roman"/>
          <w:b/>
          <w:color w:val="000000" w:themeColor="text1"/>
          <w:sz w:val="24"/>
          <w:szCs w:val="24"/>
        </w:rPr>
      </w:pPr>
      <w:r/>
      <w:bookmarkStart w:id="22" w:name="_Toc233892414"/>
      <w:r>
        <w:rPr>
          <w:rFonts w:ascii="Times New Roman" w:hAnsi="Times New Roman" w:cs="Times New Roman"/>
          <w:b/>
          <w:color w:val="000000" w:themeColor="text1"/>
          <w:sz w:val="24"/>
          <w:szCs w:val="24"/>
        </w:rPr>
        <w:t xml:space="preserve">2.4.1 Adult Learning and Recognition of Prior Learning (RPL) Center</w:t>
      </w:r>
      <w:bookmarkEnd w:id="22"/>
      <w:r/>
      <w:r>
        <w:rPr>
          <w:rFonts w:ascii="Times New Roman" w:hAnsi="Times New Roman" w:cs="Times New Roman"/>
          <w:b/>
          <w:color w:val="000000" w:themeColor="text1"/>
          <w:sz w:val="24"/>
          <w:szCs w:val="24"/>
        </w:rPr>
      </w:r>
    </w:p>
    <w:p w14:paraId="6A0B90B5" w14:textId="18747B3D">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Adult Training Centre</w:t>
      </w:r>
      <w:r>
        <w:rPr>
          <w:rFonts w:ascii="Times New Roman" w:hAnsi="Times New Roman" w:eastAsia="Times New Roman" w:cs="Times New Roman"/>
          <w:b/>
          <w:bCs/>
        </w:rPr>
        <w:t xml:space="preserve"> </w:t>
      </w:r>
      <w:r>
        <w:rPr>
          <w:rFonts w:ascii="Times New Roman" w:hAnsi="Times New Roman" w:eastAsia="Times New Roman" w:cs="Times New Roman"/>
        </w:rPr>
        <w:t xml:space="preserve">designed as a large-scale facility of approximately 600 SQM, serves as the primary hub for community outreach and the formal validation of agricultural skills. This center is conceptualized to offer flexible pathways for adult learners, experienced agricultural practitioners, and local farmers who lack formal certification. It facilitates Recognition of Prior Learning (RPL), a system that validates the knowledge and competencies gained through years of field experience, allowing individuals to obtain formal qualifications aligned with national TVET standards.</w:t>
      </w:r>
    </w:p>
    <w:p w14:paraId="58BB4CF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interior is designed with flexible furniture arrangements to support participatory learning and andragogy principles (adult learning methodologies). The layout includes dedicated assessment workstations, candidate preparation areas, and spaces for theoretical instruction and short courses. Beyond formal assessments, the center acts as a site for technology transfer, hosting farmer field schools and demonstration days where the community can observe modern value-addition and climate-smart techniques practiced within the PTU. This strengthens the link between the TVET institution and local agricultural development.</w:t>
      </w:r>
    </w:p>
    <w:p w14:paraId="24847813" w14:textId="0D7B821C">
      <w:pPr>
        <w:pStyle w:val="795"/>
        <w:pBdr/>
        <w:spacing/>
        <w:ind/>
        <w:rPr>
          <w:rFonts w:ascii="Times New Roman" w:hAnsi="Times New Roman" w:cs="Times New Roman"/>
          <w:b/>
          <w:color w:val="000000" w:themeColor="text1"/>
          <w:sz w:val="24"/>
          <w:szCs w:val="24"/>
        </w:rPr>
      </w:pPr>
      <w:r/>
      <w:bookmarkStart w:id="23" w:name="_Toc233892415"/>
      <w:commentRangeStart w:id="13"/>
      <w:r>
        <w:rPr>
          <w:rFonts w:ascii="Times New Roman" w:hAnsi="Times New Roman" w:cs="Times New Roman"/>
          <w:b/>
          <w:color w:val="000000" w:themeColor="text1"/>
          <w:sz w:val="24"/>
          <w:szCs w:val="24"/>
        </w:rPr>
        <w:t xml:space="preserve">2.4.2 Waste Management and Circular Energy Zone</w:t>
      </w:r>
      <w:commentRangeEnd w:id="13"/>
      <w:r>
        <w:rPr>
          <w:rStyle w:val="CommentReference"/>
        </w:rPr>
        <w:commentReference w:id="13"/>
      </w:r>
      <w:bookmarkEnd w:id="23"/>
      <w:r/>
      <w:r>
        <w:rPr>
          <w:rFonts w:ascii="Times New Roman" w:hAnsi="Times New Roman" w:cs="Times New Roman"/>
          <w:b/>
          <w:color w:val="000000" w:themeColor="text1"/>
          <w:sz w:val="24"/>
          <w:szCs w:val="24"/>
        </w:rPr>
      </w:r>
    </w:p>
    <w:p w14:paraId="08FF2A4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Waste Management Zone serves as the operational heart of the PTU’s circular economy model, transforming agricultural byproducts into valuable production inputs. This facility is strategically positioned to utilize organic waste and manure from the livestock units; specifically the Dairy, Pig, and Small Ruminant blocks; to produce both high-quality organic fertilizers and renewable energy.</w:t>
      </w:r>
    </w:p>
    <w:p w14:paraId="400684B2" w14:textId="30469063">
      <w:pPr>
        <w:pStyle w:val="795"/>
        <w:pBdr/>
        <w:spacing/>
        <w:ind/>
        <w:rPr>
          <w:rFonts w:ascii="Times New Roman" w:hAnsi="Times New Roman" w:cs="Times New Roman"/>
          <w:b/>
          <w:color w:val="000000" w:themeColor="text1"/>
          <w:sz w:val="24"/>
          <w:szCs w:val="24"/>
        </w:rPr>
      </w:pPr>
      <w:r/>
      <w:bookmarkStart w:id="24" w:name="_Toc233892416"/>
      <w:r>
        <w:rPr>
          <w:rFonts w:ascii="Times New Roman" w:hAnsi="Times New Roman" w:cs="Times New Roman"/>
          <w:b/>
          <w:color w:val="000000" w:themeColor="text1"/>
          <w:sz w:val="24"/>
          <w:szCs w:val="24"/>
        </w:rPr>
        <w:t xml:space="preserve">2.4.3 Composting and Biofertilizer Production</w:t>
      </w:r>
      <w:bookmarkEnd w:id="24"/>
      <w:r>
        <w:rPr>
          <w:rFonts w:ascii="Times New Roman" w:hAnsi="Times New Roman" w:cs="Times New Roman"/>
          <w:b/>
          <w:color w:val="000000" w:themeColor="text1"/>
          <w:sz w:val="24"/>
          <w:szCs w:val="24"/>
        </w:rPr>
        <w:t xml:space="preserve"> </w:t>
      </w:r>
    </w:p>
    <w:p w14:paraId="551D6765"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Centered in a </w:t>
      </w:r>
      <w:r>
        <w:rPr>
          <w:rFonts w:ascii="Times New Roman" w:hAnsi="Times New Roman" w:eastAsia="Times New Roman" w:cs="Times New Roman"/>
          <w:b/>
          <w:bCs/>
        </w:rPr>
        <w:t xml:space="preserve">150 SQM semi-open structure</w:t>
      </w:r>
      <w:r>
        <w:rPr>
          <w:rFonts w:ascii="Times New Roman" w:hAnsi="Times New Roman" w:eastAsia="Times New Roman" w:cs="Times New Roman"/>
        </w:rPr>
        <w:t xml:space="preserve">, this unit is dedicated to aerobic composting, shredding, and sieving. By converting livestock manure and crop residues into nutrient-rich organic and biofertilizers, the PTU significantly reduces its reliance on external chemical inputs while actively enhancing the soil health of its production plots. Key equipment for this unit includes </w:t>
      </w:r>
      <w:r>
        <w:rPr>
          <w:rFonts w:ascii="Times New Roman" w:hAnsi="Times New Roman" w:eastAsia="Times New Roman" w:cs="Times New Roman"/>
          <w:b/>
          <w:bCs/>
        </w:rPr>
        <w:t xml:space="preserve">compost turners, mechanical shredders</w:t>
      </w:r>
      <w:r>
        <w:rPr>
          <w:rFonts w:ascii="Times New Roman" w:hAnsi="Times New Roman" w:eastAsia="Times New Roman" w:cs="Times New Roman"/>
        </w:rPr>
        <w:t xml:space="preserve">, and specialized moisture and temperature monitoring tools to maintain strict quality standards for the final output.</w:t>
      </w:r>
    </w:p>
    <w:p w14:paraId="64147983" w14:textId="35EFD8AD">
      <w:pPr>
        <w:pStyle w:val="795"/>
        <w:pBdr/>
        <w:spacing/>
        <w:ind/>
        <w:rPr>
          <w:rFonts w:ascii="Times New Roman" w:hAnsi="Times New Roman" w:cs="Times New Roman"/>
          <w:b/>
          <w:color w:val="000000" w:themeColor="text1"/>
          <w:sz w:val="24"/>
          <w:szCs w:val="24"/>
        </w:rPr>
      </w:pPr>
      <w:r/>
      <w:bookmarkStart w:id="25" w:name="_Toc233892417"/>
      <w:r>
        <w:rPr>
          <w:rFonts w:ascii="Times New Roman" w:hAnsi="Times New Roman" w:cs="Times New Roman"/>
          <w:b/>
          <w:color w:val="000000" w:themeColor="text1"/>
          <w:sz w:val="24"/>
          <w:szCs w:val="24"/>
        </w:rPr>
        <w:t xml:space="preserve">2.4.4 Biogas and Waste-to-Energy System</w:t>
      </w:r>
      <w:bookmarkEnd w:id="25"/>
      <w:r/>
      <w:r>
        <w:rPr>
          <w:rFonts w:ascii="Times New Roman" w:hAnsi="Times New Roman" w:cs="Times New Roman"/>
          <w:b/>
          <w:color w:val="000000" w:themeColor="text1"/>
          <w:sz w:val="24"/>
          <w:szCs w:val="24"/>
        </w:rPr>
      </w:r>
    </w:p>
    <w:p w14:paraId="00867F0B"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 critical addition to the circular model is the integrated biogas system, which utilizes animal waste to produce renewable energy through anaerobic digestion. This system features modern biogas digesters designed to capture methane for a variety of institutional needs:</w:t>
      </w:r>
    </w:p>
    <w:p w14:paraId="2FEB5B80" w14:textId="77777777">
      <w:pPr>
        <w:pStyle w:val="819"/>
        <w:numPr>
          <w:ilvl w:val="0"/>
          <w:numId w:val="30"/>
        </w:numPr>
        <w:pBdr/>
        <w:spacing/>
        <w:ind/>
        <w:jc w:val="both"/>
        <w:rPr>
          <w:rFonts w:ascii="Times New Roman" w:hAnsi="Times New Roman" w:cs="Times New Roman"/>
        </w:rPr>
      </w:pPr>
      <w:r>
        <w:rPr>
          <w:rFonts w:ascii="Times New Roman" w:hAnsi="Times New Roman" w:eastAsia="Times New Roman" w:cs="Times New Roman"/>
          <w:b/>
          <w:bCs/>
        </w:rPr>
        <w:t xml:space="preserve">Energy for Processing:</w:t>
      </w:r>
      <w:r>
        <w:rPr>
          <w:rFonts w:ascii="Times New Roman" w:hAnsi="Times New Roman" w:eastAsia="Times New Roman" w:cs="Times New Roman"/>
        </w:rPr>
        <w:t xml:space="preserve"> Providing clean energy for thermal requirements in the Food Processing Unit, such as pasteurization or drying.</w:t>
      </w:r>
      <w:r>
        <w:rPr>
          <w:rFonts w:ascii="Times New Roman" w:hAnsi="Times New Roman" w:cs="Times New Roman"/>
        </w:rPr>
      </w:r>
    </w:p>
    <w:p w14:paraId="000FF220" w14:textId="77777777">
      <w:pPr>
        <w:pStyle w:val="819"/>
        <w:numPr>
          <w:ilvl w:val="0"/>
          <w:numId w:val="30"/>
        </w:numPr>
        <w:pBdr/>
        <w:spacing/>
        <w:ind/>
        <w:jc w:val="both"/>
        <w:rPr>
          <w:rFonts w:ascii="Times New Roman" w:hAnsi="Times New Roman" w:cs="Times New Roman"/>
        </w:rPr>
      </w:pPr>
      <w:r>
        <w:rPr>
          <w:rFonts w:ascii="Times New Roman" w:hAnsi="Times New Roman" w:eastAsia="Times New Roman" w:cs="Times New Roman"/>
          <w:b/>
          <w:bCs/>
        </w:rPr>
        <w:t xml:space="preserve">Institutional Use:</w:t>
      </w:r>
      <w:r>
        <w:rPr>
          <w:rFonts w:ascii="Times New Roman" w:hAnsi="Times New Roman" w:eastAsia="Times New Roman" w:cs="Times New Roman"/>
        </w:rPr>
        <w:t xml:space="preserve"> Generating energy for cooking and other school facilities, thereby reducing operational costs and the carbon footprint of the campus.</w:t>
      </w:r>
      <w:r>
        <w:rPr>
          <w:rFonts w:ascii="Times New Roman" w:hAnsi="Times New Roman" w:cs="Times New Roman"/>
        </w:rPr>
      </w:r>
    </w:p>
    <w:p w14:paraId="366E80C1" w14:textId="66A91823">
      <w:pPr>
        <w:pStyle w:val="819"/>
        <w:numPr>
          <w:ilvl w:val="0"/>
          <w:numId w:val="30"/>
        </w:numPr>
        <w:pBdr/>
        <w:spacing/>
        <w:ind/>
        <w:jc w:val="both"/>
        <w:rPr>
          <w:rFonts w:ascii="Times New Roman" w:hAnsi="Times New Roman" w:cs="Times New Roman"/>
        </w:rPr>
      </w:pPr>
      <w:r>
        <w:rPr>
          <w:rFonts w:ascii="Times New Roman" w:hAnsi="Times New Roman" w:eastAsia="Times New Roman" w:cs="Times New Roman"/>
          <w:b/>
          <w:bCs/>
        </w:rPr>
        <w:t xml:space="preserve">Bio-slurry Utilization:</w:t>
      </w:r>
      <w:r>
        <w:rPr>
          <w:rFonts w:ascii="Times New Roman" w:hAnsi="Times New Roman" w:eastAsia="Times New Roman" w:cs="Times New Roman"/>
        </w:rPr>
        <w:t xml:space="preserve"> The byproduct of the biogas process (bio-slurry) is recycled back into the composting unit as a high-potency liquid fertilizer for the crop fields.</w:t>
      </w:r>
      <w:r>
        <w:rPr>
          <w:rFonts w:ascii="Times New Roman" w:hAnsi="Times New Roman" w:cs="Times New Roman"/>
        </w:rPr>
      </w:r>
    </w:p>
    <w:p w14:paraId="484E33AB"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Primary Equipment</w:t>
      </w:r>
      <w:r>
        <w:rPr>
          <w:rFonts w:ascii="Times New Roman" w:hAnsi="Times New Roman" w:eastAsia="Times New Roman" w:cs="Times New Roman"/>
        </w:rPr>
      </w:r>
    </w:p>
    <w:p w14:paraId="7B2112DD"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Biogas Digesters:</w:t>
      </w:r>
      <w:r>
        <w:rPr>
          <w:rFonts w:ascii="Times New Roman" w:hAnsi="Times New Roman" w:eastAsia="Times New Roman" w:cs="Times New Roman"/>
        </w:rPr>
        <w:t xml:space="preserve"> Modern anaerobic digestion units designed to capture methane from animal waste.</w:t>
      </w:r>
      <w:r>
        <w:rPr>
          <w:rFonts w:ascii="Times New Roman" w:hAnsi="Times New Roman" w:cs="Times New Roman"/>
        </w:rPr>
      </w:r>
    </w:p>
    <w:p w14:paraId="3EDDB021"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Wastewater Treatment System:</w:t>
      </w:r>
      <w:r>
        <w:rPr>
          <w:rFonts w:ascii="Times New Roman" w:hAnsi="Times New Roman" w:eastAsia="Times New Roman" w:cs="Times New Roman"/>
        </w:rPr>
        <w:t xml:space="preserve"> Integrated infrastructure for treating and recycling water from livestock and processing facilities.</w:t>
      </w:r>
      <w:r>
        <w:rPr>
          <w:rFonts w:ascii="Times New Roman" w:hAnsi="Times New Roman" w:cs="Times New Roman"/>
        </w:rPr>
      </w:r>
    </w:p>
    <w:p w14:paraId="59BAC7F7"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Recycling Pumps:</w:t>
      </w:r>
      <w:r>
        <w:rPr>
          <w:rFonts w:ascii="Times New Roman" w:hAnsi="Times New Roman" w:eastAsia="Times New Roman" w:cs="Times New Roman"/>
        </w:rPr>
        <w:t xml:space="preserve"> Used for the movement of fluids within the waste treatment and resource recovery loop.</w:t>
      </w:r>
      <w:r>
        <w:rPr>
          <w:rFonts w:ascii="Times New Roman" w:hAnsi="Times New Roman" w:cs="Times New Roman"/>
        </w:rPr>
      </w:r>
    </w:p>
    <w:p w14:paraId="6D9630BC"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Water Quality Testing Laboratory Facilities:</w:t>
      </w:r>
      <w:r>
        <w:rPr>
          <w:rFonts w:ascii="Times New Roman" w:hAnsi="Times New Roman" w:eastAsia="Times New Roman" w:cs="Times New Roman"/>
        </w:rPr>
        <w:t xml:space="preserve"> Dedicated space and hardware for verifying the safety and composition of waste-related outputs.</w:t>
      </w:r>
      <w:r>
        <w:rPr>
          <w:rFonts w:ascii="Times New Roman" w:hAnsi="Times New Roman" w:cs="Times New Roman"/>
        </w:rPr>
      </w:r>
    </w:p>
    <w:p w14:paraId="35D88C9E"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Composting Bins and Turners:</w:t>
      </w:r>
      <w:r>
        <w:rPr>
          <w:rFonts w:ascii="Times New Roman" w:hAnsi="Times New Roman" w:eastAsia="Times New Roman" w:cs="Times New Roman"/>
        </w:rPr>
        <w:t xml:space="preserve"> Used in conjunction with the biogas system to process bio-slurry and other organic residues into fertilizer.</w:t>
      </w:r>
      <w:r>
        <w:rPr>
          <w:rFonts w:ascii="Times New Roman" w:hAnsi="Times New Roman" w:cs="Times New Roman"/>
        </w:rPr>
      </w:r>
    </w:p>
    <w:p w14:paraId="4F9747AA"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Mechanical Shredders and Sieving Machines:</w:t>
      </w:r>
      <w:r>
        <w:rPr>
          <w:rFonts w:ascii="Times New Roman" w:hAnsi="Times New Roman" w:eastAsia="Times New Roman" w:cs="Times New Roman"/>
        </w:rPr>
        <w:t xml:space="preserve"> For preparing organic materials to be used in the circular waste loop.</w:t>
      </w:r>
      <w:r>
        <w:rPr>
          <w:rFonts w:ascii="Times New Roman" w:hAnsi="Times New Roman" w:cs="Times New Roman"/>
        </w:rPr>
      </w:r>
    </w:p>
    <w:p w14:paraId="79A51C6C"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Weighing Scales:</w:t>
      </w:r>
      <w:r>
        <w:rPr>
          <w:rFonts w:ascii="Times New Roman" w:hAnsi="Times New Roman" w:eastAsia="Times New Roman" w:cs="Times New Roman"/>
        </w:rPr>
        <w:t xml:space="preserve"> For measuring input manure and output bio-fertilizers.</w:t>
      </w:r>
      <w:r>
        <w:rPr>
          <w:rFonts w:ascii="Times New Roman" w:hAnsi="Times New Roman" w:cs="Times New Roman"/>
        </w:rPr>
      </w:r>
    </w:p>
    <w:p w14:paraId="4E404901" w14:textId="77777777">
      <w:pPr>
        <w:numPr>
          <w:ilvl w:val="0"/>
          <w:numId w:val="9"/>
        </w:numPr>
        <w:pBdr/>
        <w:spacing/>
        <w:ind/>
        <w:jc w:val="both"/>
        <w:rPr>
          <w:rFonts w:ascii="Times New Roman" w:hAnsi="Times New Roman" w:cs="Times New Roman"/>
        </w:rPr>
      </w:pPr>
      <w:r>
        <w:rPr>
          <w:rFonts w:ascii="Times New Roman" w:hAnsi="Times New Roman" w:eastAsia="Times New Roman" w:cs="Times New Roman"/>
          <w:b/>
          <w:bCs/>
        </w:rPr>
        <w:t xml:space="preserve">Storage Mechanism:</w:t>
      </w:r>
      <w:r>
        <w:rPr>
          <w:rFonts w:ascii="Times New Roman" w:hAnsi="Times New Roman" w:eastAsia="Times New Roman" w:cs="Times New Roman"/>
        </w:rPr>
        <w:t xml:space="preserve"> The system typically utilizes flexible gas holders (high-strength PVC bags) or fixed-dome expansion chambers integrated into the digester design. These units allow for the continuous collection of gas even when consumption (e.g., for pasteurization or cooking) is not active</w:t>
      </w:r>
      <w:r>
        <w:rPr>
          <w:rFonts w:ascii="Times New Roman" w:hAnsi="Times New Roman" w:cs="Times New Roman"/>
        </w:rPr>
      </w:r>
    </w:p>
    <w:p w14:paraId="133D8940" w14:textId="77777777">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Essential Tools</w:t>
      </w:r>
      <w:r>
        <w:rPr>
          <w:rFonts w:ascii="Times New Roman" w:hAnsi="Times New Roman" w:eastAsia="Times New Roman" w:cs="Times New Roman"/>
        </w:rPr>
      </w:r>
    </w:p>
    <w:p w14:paraId="3AC72694" w14:textId="77777777">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Water Testing Kits:</w:t>
      </w:r>
      <w:r>
        <w:rPr>
          <w:rFonts w:ascii="Times New Roman" w:hAnsi="Times New Roman" w:eastAsia="Times New Roman" w:cs="Times New Roman"/>
        </w:rPr>
        <w:t xml:space="preserve"> For monitoring the chemical and biological status of the integrated system.</w:t>
      </w:r>
      <w:r>
        <w:rPr>
          <w:rFonts w:ascii="Times New Roman" w:hAnsi="Times New Roman" w:cs="Times New Roman"/>
        </w:rPr>
      </w:r>
    </w:p>
    <w:p w14:paraId="051FDCCD" w14:textId="77777777">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pH Meters:</w:t>
      </w:r>
      <w:r>
        <w:rPr>
          <w:rFonts w:ascii="Times New Roman" w:hAnsi="Times New Roman" w:eastAsia="Times New Roman" w:cs="Times New Roman"/>
        </w:rPr>
        <w:t xml:space="preserve"> Used to monitor the acidity levels, which are critical for optimal anaerobic digestion and bio-slurry quality.</w:t>
      </w:r>
      <w:r>
        <w:rPr>
          <w:rFonts w:ascii="Times New Roman" w:hAnsi="Times New Roman" w:cs="Times New Roman"/>
        </w:rPr>
      </w:r>
    </w:p>
    <w:p w14:paraId="32666091" w14:textId="77777777">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Sampling Containers:</w:t>
      </w:r>
      <w:r>
        <w:rPr>
          <w:rFonts w:ascii="Times New Roman" w:hAnsi="Times New Roman" w:eastAsia="Times New Roman" w:cs="Times New Roman"/>
        </w:rPr>
        <w:t xml:space="preserve"> For collecting waste and byproduct samples for laboratory analysis.</w:t>
      </w:r>
      <w:r>
        <w:rPr>
          <w:rFonts w:ascii="Times New Roman" w:hAnsi="Times New Roman" w:cs="Times New Roman"/>
        </w:rPr>
      </w:r>
    </w:p>
    <w:p w14:paraId="1C936814" w14:textId="77777777">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Moisture Meters and Thermometers:</w:t>
      </w:r>
      <w:r>
        <w:rPr>
          <w:rFonts w:ascii="Times New Roman" w:hAnsi="Times New Roman" w:eastAsia="Times New Roman" w:cs="Times New Roman"/>
        </w:rPr>
        <w:t xml:space="preserve"> To monitor the physical conditions of the waste processing environment.</w:t>
      </w:r>
      <w:r>
        <w:rPr>
          <w:rFonts w:ascii="Times New Roman" w:hAnsi="Times New Roman" w:cs="Times New Roman"/>
        </w:rPr>
      </w:r>
    </w:p>
    <w:p w14:paraId="5E0C9317" w14:textId="77777777">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Pressure Gauges:</w:t>
      </w:r>
      <w:r>
        <w:rPr>
          <w:rFonts w:ascii="Times New Roman" w:hAnsi="Times New Roman" w:eastAsia="Times New Roman" w:cs="Times New Roman"/>
        </w:rPr>
        <w:t xml:space="preserve"> Required for monitoring the gas pressure within the digesters and associated steam or utility pipes.</w:t>
      </w:r>
      <w:r>
        <w:rPr>
          <w:rFonts w:ascii="Times New Roman" w:hAnsi="Times New Roman" w:cs="Times New Roman"/>
        </w:rPr>
      </w:r>
    </w:p>
    <w:p w14:paraId="2373D2AB" w14:textId="5523FD2B">
      <w:pPr>
        <w:numPr>
          <w:ilvl w:val="0"/>
          <w:numId w:val="8"/>
        </w:numPr>
        <w:pBdr/>
        <w:spacing/>
        <w:ind/>
        <w:jc w:val="both"/>
        <w:rPr>
          <w:rFonts w:ascii="Times New Roman" w:hAnsi="Times New Roman" w:cs="Times New Roman"/>
        </w:rPr>
      </w:pPr>
      <w:r>
        <w:rPr>
          <w:rFonts w:ascii="Times New Roman" w:hAnsi="Times New Roman" w:eastAsia="Times New Roman" w:cs="Times New Roman"/>
          <w:b/>
          <w:bCs/>
        </w:rPr>
        <w:t xml:space="preserve">Boiler Water Level Check Tools:</w:t>
      </w:r>
      <w:r>
        <w:rPr>
          <w:rFonts w:ascii="Times New Roman" w:hAnsi="Times New Roman" w:eastAsia="Times New Roman" w:cs="Times New Roman"/>
        </w:rPr>
        <w:t xml:space="preserve"> Specifically, for systems where biogas is utilized to fuel institutional steam boilers.</w:t>
      </w:r>
      <w:r>
        <w:rPr>
          <w:rFonts w:ascii="Times New Roman" w:hAnsi="Times New Roman" w:cs="Times New Roman"/>
        </w:rPr>
      </w:r>
    </w:p>
    <w:p w14:paraId="4EBC7F7B" w14:textId="33954CC4">
      <w:pPr>
        <w:pStyle w:val="828"/>
        <w:pBdr/>
        <w:spacing/>
        <w:ind/>
        <w:rPr>
          <w:rFonts w:ascii="Times New Roman" w:hAnsi="Times New Roman" w:cs="Times New Roman"/>
          <w:b/>
          <w:bCs/>
          <w:i w:val="0"/>
          <w:color w:val="000000" w:themeColor="text1"/>
          <w:sz w:val="24"/>
          <w:szCs w:val="24"/>
        </w:rPr>
      </w:pPr>
      <w:r/>
      <w:bookmarkStart w:id="26" w:name="_Toc233888974"/>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10</w:t>
        <w:fldChar w:fldCharType="end"/>
      </w:r>
      <w:r>
        <w:rPr>
          <w:rFonts w:ascii="Times New Roman" w:hAnsi="Times New Roman" w:cs="Times New Roman"/>
          <w:b/>
          <w:bCs/>
          <w:i w:val="0"/>
          <w:color w:val="000000" w:themeColor="text1"/>
          <w:sz w:val="24"/>
          <w:szCs w:val="24"/>
        </w:rPr>
        <w:t xml:space="preserve">: Biogas &amp; Waste-to-Energy System – Equipment &amp; Tools Specifications</w:t>
      </w:r>
      <w:bookmarkEnd w:id="26"/>
      <w:r>
        <w:rPr>
          <w:rFonts w:ascii="Times New Roman" w:hAnsi="Times New Roman" w:cs="Times New Roman"/>
          <w:b/>
          <w:bCs/>
          <w:i w:val="0"/>
          <w:color w:val="000000" w:themeColor="text1"/>
          <w:sz w:val="24"/>
          <w:szCs w:val="24"/>
        </w:rPr>
        <w:t xml:space="preserve"> </w:t>
      </w:r>
    </w:p>
    <w:tbl>
      <w:tblPr>
        <w:tblStyle w:val="822"/>
        <w:tblW w:w="0" w:type="auto"/>
        <w:tblBorders/>
        <w:tblLook w:val="04A0" w:firstRow="1" w:lastRow="0" w:firstColumn="1" w:lastColumn="0" w:noHBand="0" w:noVBand="1"/>
      </w:tblPr>
      <w:tblGrid>
        <w:gridCol w:w="2620"/>
        <w:gridCol w:w="2303"/>
        <w:gridCol w:w="4967"/>
      </w:tblGrid>
      <w:tr>
        <w:trPr/>
        <w:tc>
          <w:tcPr>
            <w:tcBorders/>
            <w:tcW w:w="0" w:type="auto"/>
            <w:textDirection w:val="lrTb"/>
            <w:noWrap w:val="false"/>
          </w:tcPr>
          <w:p w14:paraId="30737A49" w14:textId="77777777">
            <w:pPr>
              <w:pBdr/>
              <w:spacing/>
              <w:ind/>
              <w:jc w:val="both"/>
              <w:rPr>
                <w:rFonts w:ascii="Times New Roman" w:hAnsi="Times New Roman" w:cs="Times New Roman"/>
                <w:b/>
                <w:bCs/>
              </w:rPr>
            </w:pPr>
            <w:r>
              <w:rPr>
                <w:rStyle w:val="823"/>
                <w:rFonts w:ascii="Times New Roman" w:hAnsi="Times New Roman" w:cs="Times New Roman"/>
              </w:rPr>
              <w:t xml:space="preserve">Category</w:t>
            </w:r>
            <w:r>
              <w:rPr>
                <w:rFonts w:ascii="Times New Roman" w:hAnsi="Times New Roman" w:cs="Times New Roman"/>
                <w:b/>
                <w:bCs/>
              </w:rPr>
            </w:r>
          </w:p>
        </w:tc>
        <w:tc>
          <w:tcPr>
            <w:tcBorders/>
            <w:tcW w:w="0" w:type="auto"/>
            <w:textDirection w:val="lrTb"/>
            <w:noWrap w:val="false"/>
          </w:tcPr>
          <w:p w14:paraId="59270BE0" w14:textId="77777777">
            <w:pPr>
              <w:pBdr/>
              <w:spacing/>
              <w:ind/>
              <w:jc w:val="both"/>
              <w:rPr>
                <w:rFonts w:ascii="Times New Roman" w:hAnsi="Times New Roman" w:cs="Times New Roman"/>
                <w:b/>
                <w:bCs/>
              </w:rPr>
            </w:pPr>
            <w:r>
              <w:rPr>
                <w:rStyle w:val="823"/>
                <w:rFonts w:ascii="Times New Roman" w:hAnsi="Times New Roman" w:cs="Times New Roman"/>
              </w:rPr>
              <w:t xml:space="preserve">Equipment/Tools</w:t>
            </w:r>
            <w:r>
              <w:rPr>
                <w:rFonts w:ascii="Times New Roman" w:hAnsi="Times New Roman" w:cs="Times New Roman"/>
                <w:b/>
                <w:bCs/>
              </w:rPr>
            </w:r>
          </w:p>
        </w:tc>
        <w:tc>
          <w:tcPr>
            <w:tcBorders/>
            <w:tcW w:w="0" w:type="auto"/>
            <w:textDirection w:val="lrTb"/>
            <w:noWrap w:val="false"/>
          </w:tcPr>
          <w:p w14:paraId="49FF638C" w14:textId="77777777">
            <w:pPr>
              <w:pBdr/>
              <w:spacing/>
              <w:ind/>
              <w:jc w:val="both"/>
              <w:rPr>
                <w:rFonts w:ascii="Times New Roman" w:hAnsi="Times New Roman" w:cs="Times New Roman"/>
                <w:b/>
                <w:bCs/>
              </w:rPr>
            </w:pPr>
            <w:r>
              <w:rPr>
                <w:rStyle w:val="823"/>
                <w:rFonts w:ascii="Times New Roman" w:hAnsi="Times New Roman" w:cs="Times New Roman"/>
              </w:rPr>
              <w:t xml:space="preserve">Recommended Specifications</w:t>
            </w:r>
            <w:r>
              <w:rPr>
                <w:rFonts w:ascii="Times New Roman" w:hAnsi="Times New Roman" w:cs="Times New Roman"/>
                <w:b/>
                <w:bCs/>
              </w:rPr>
            </w:r>
          </w:p>
        </w:tc>
      </w:tr>
      <w:tr>
        <w:trPr/>
        <w:tc>
          <w:tcPr>
            <w:tcBorders/>
            <w:tcW w:w="0" w:type="auto"/>
            <w:vMerge w:val="restart"/>
            <w:textDirection w:val="lrTb"/>
            <w:noWrap w:val="false"/>
          </w:tcPr>
          <w:p w14:paraId="7C57BCC9" w14:textId="77777777">
            <w:pPr>
              <w:pBdr/>
              <w:spacing/>
              <w:ind/>
              <w:jc w:val="both"/>
              <w:rPr>
                <w:rFonts w:ascii="Times New Roman" w:hAnsi="Times New Roman" w:cs="Times New Roman"/>
                <w:b/>
                <w:bCs/>
              </w:rPr>
            </w:pPr>
            <w:r>
              <w:rPr>
                <w:rStyle w:val="823"/>
                <w:rFonts w:ascii="Times New Roman" w:hAnsi="Times New Roman" w:cs="Times New Roman"/>
              </w:rPr>
              <w:t xml:space="preserve">Biogas Digester</w:t>
            </w:r>
            <w:r>
              <w:rPr>
                <w:rFonts w:ascii="Times New Roman" w:hAnsi="Times New Roman" w:cs="Times New Roman"/>
                <w:b/>
                <w:bCs/>
              </w:rPr>
            </w:r>
          </w:p>
        </w:tc>
        <w:tc>
          <w:tcPr>
            <w:tcBorders/>
            <w:tcW w:w="0" w:type="auto"/>
            <w:textDirection w:val="lrTb"/>
            <w:noWrap w:val="false"/>
          </w:tcPr>
          <w:p w14:paraId="4CF264A1" w14:textId="77777777">
            <w:pPr>
              <w:pBdr/>
              <w:spacing/>
              <w:ind/>
              <w:jc w:val="both"/>
              <w:rPr>
                <w:rFonts w:ascii="Times New Roman" w:hAnsi="Times New Roman" w:cs="Times New Roman"/>
              </w:rPr>
            </w:pPr>
            <w:r>
              <w:rPr>
                <w:rFonts w:ascii="Times New Roman" w:hAnsi="Times New Roman" w:cs="Times New Roman"/>
              </w:rPr>
              <w:t xml:space="preserve">Fixed-dome digester</w:t>
            </w:r>
          </w:p>
        </w:tc>
        <w:tc>
          <w:tcPr>
            <w:tcBorders/>
            <w:tcW w:w="0" w:type="auto"/>
            <w:textDirection w:val="lrTb"/>
            <w:noWrap w:val="false"/>
          </w:tcPr>
          <w:p w14:paraId="0A0B46D7" w14:textId="77777777">
            <w:pPr>
              <w:pBdr/>
              <w:spacing/>
              <w:ind/>
              <w:jc w:val="both"/>
              <w:rPr>
                <w:rFonts w:ascii="Times New Roman" w:hAnsi="Times New Roman" w:cs="Times New Roman"/>
              </w:rPr>
            </w:pPr>
            <w:r>
              <w:rPr>
                <w:rFonts w:ascii="Times New Roman" w:hAnsi="Times New Roman" w:cs="Times New Roman"/>
              </w:rPr>
              <w:t xml:space="preserve">10–15 m³ capacity, reinforced concrete, gas-tight dome</w:t>
            </w:r>
          </w:p>
        </w:tc>
      </w:tr>
      <w:tr>
        <w:trPr/>
        <w:tc>
          <w:tcPr>
            <w:tcBorders/>
            <w:tcW w:w="0" w:type="auto"/>
            <w:vMerge w:val="continue"/>
            <w:textDirection w:val="lrTb"/>
            <w:noWrap w:val="false"/>
          </w:tcPr>
          <w:p w14:paraId="12B3B3C4"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13040F0B" w14:textId="77777777">
            <w:pPr>
              <w:pBdr/>
              <w:spacing/>
              <w:ind/>
              <w:jc w:val="both"/>
              <w:rPr>
                <w:rFonts w:ascii="Times New Roman" w:hAnsi="Times New Roman" w:cs="Times New Roman"/>
              </w:rPr>
            </w:pPr>
            <w:r>
              <w:rPr>
                <w:rFonts w:ascii="Times New Roman" w:hAnsi="Times New Roman" w:cs="Times New Roman"/>
              </w:rPr>
              <w:t xml:space="preserve">Floating drum digester</w:t>
            </w:r>
          </w:p>
        </w:tc>
        <w:tc>
          <w:tcPr>
            <w:tcBorders/>
            <w:tcW w:w="0" w:type="auto"/>
            <w:textDirection w:val="lrTb"/>
            <w:noWrap w:val="false"/>
          </w:tcPr>
          <w:p w14:paraId="1DC1CC40" w14:textId="77777777">
            <w:pPr>
              <w:pBdr/>
              <w:spacing/>
              <w:ind/>
              <w:jc w:val="both"/>
              <w:rPr>
                <w:rFonts w:ascii="Times New Roman" w:hAnsi="Times New Roman" w:cs="Times New Roman"/>
              </w:rPr>
            </w:pPr>
            <w:r>
              <w:rPr>
                <w:rFonts w:ascii="Times New Roman" w:hAnsi="Times New Roman" w:cs="Times New Roman"/>
              </w:rPr>
              <w:t xml:space="preserve">8–12 m³, mild steel drum, anti-corrosion coating</w:t>
            </w:r>
          </w:p>
        </w:tc>
      </w:tr>
      <w:tr>
        <w:trPr/>
        <w:tc>
          <w:tcPr>
            <w:tcBorders/>
            <w:tcW w:w="0" w:type="auto"/>
            <w:vMerge w:val="continue"/>
            <w:textDirection w:val="lrTb"/>
            <w:noWrap w:val="false"/>
          </w:tcPr>
          <w:p w14:paraId="67672F34"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7C8AD15A" w14:textId="77777777">
            <w:pPr>
              <w:pBdr/>
              <w:spacing/>
              <w:ind/>
              <w:jc w:val="both"/>
              <w:rPr>
                <w:rFonts w:ascii="Times New Roman" w:hAnsi="Times New Roman" w:cs="Times New Roman"/>
              </w:rPr>
            </w:pPr>
            <w:r>
              <w:rPr>
                <w:rFonts w:ascii="Times New Roman" w:hAnsi="Times New Roman" w:cs="Times New Roman"/>
              </w:rPr>
              <w:t xml:space="preserve">Inlet/outlet tanks</w:t>
            </w:r>
          </w:p>
        </w:tc>
        <w:tc>
          <w:tcPr>
            <w:tcBorders/>
            <w:tcW w:w="0" w:type="auto"/>
            <w:textDirection w:val="lrTb"/>
            <w:noWrap w:val="false"/>
          </w:tcPr>
          <w:p w14:paraId="748E6660" w14:textId="77777777">
            <w:pPr>
              <w:pBdr/>
              <w:spacing/>
              <w:ind/>
              <w:jc w:val="both"/>
              <w:rPr>
                <w:rFonts w:ascii="Times New Roman" w:hAnsi="Times New Roman" w:cs="Times New Roman"/>
              </w:rPr>
            </w:pPr>
            <w:r>
              <w:rPr>
                <w:rFonts w:ascii="Times New Roman" w:hAnsi="Times New Roman" w:cs="Times New Roman"/>
              </w:rPr>
              <w:t xml:space="preserve">200–300 L, reinforced concrete/plastic</w:t>
            </w:r>
          </w:p>
        </w:tc>
      </w:tr>
      <w:tr>
        <w:trPr/>
        <w:tc>
          <w:tcPr>
            <w:tcBorders/>
            <w:tcW w:w="0" w:type="auto"/>
            <w:vMerge w:val="continue"/>
            <w:textDirection w:val="lrTb"/>
            <w:noWrap w:val="false"/>
          </w:tcPr>
          <w:p w14:paraId="3F810FAD"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5543236F" w14:textId="77777777">
            <w:pPr>
              <w:pBdr/>
              <w:spacing/>
              <w:ind/>
              <w:jc w:val="both"/>
              <w:rPr>
                <w:rFonts w:ascii="Times New Roman" w:hAnsi="Times New Roman" w:cs="Times New Roman"/>
              </w:rPr>
            </w:pPr>
            <w:r>
              <w:rPr>
                <w:rFonts w:ascii="Times New Roman" w:hAnsi="Times New Roman" w:cs="Times New Roman"/>
              </w:rPr>
              <w:t xml:space="preserve">Gas storage balloons</w:t>
            </w:r>
          </w:p>
        </w:tc>
        <w:tc>
          <w:tcPr>
            <w:tcBorders/>
            <w:tcW w:w="0" w:type="auto"/>
            <w:textDirection w:val="lrTb"/>
            <w:noWrap w:val="false"/>
          </w:tcPr>
          <w:p w14:paraId="0BB32D06" w14:textId="77777777">
            <w:pPr>
              <w:pBdr/>
              <w:spacing/>
              <w:ind/>
              <w:jc w:val="both"/>
              <w:rPr>
                <w:rFonts w:ascii="Times New Roman" w:hAnsi="Times New Roman" w:cs="Times New Roman"/>
              </w:rPr>
            </w:pPr>
            <w:r>
              <w:rPr>
                <w:rFonts w:ascii="Times New Roman" w:hAnsi="Times New Roman" w:cs="Times New Roman"/>
              </w:rPr>
              <w:t xml:space="preserve">5–10 m³, PVC-coated fabric</w:t>
            </w:r>
          </w:p>
        </w:tc>
      </w:tr>
      <w:tr>
        <w:trPr/>
        <w:tc>
          <w:tcPr>
            <w:tcBorders/>
            <w:tcW w:w="0" w:type="auto"/>
            <w:vMerge w:val="continue"/>
            <w:textDirection w:val="lrTb"/>
            <w:noWrap w:val="false"/>
          </w:tcPr>
          <w:p w14:paraId="7E15CFD0"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25D25ADF" w14:textId="77777777">
            <w:pPr>
              <w:pBdr/>
              <w:spacing/>
              <w:ind/>
              <w:jc w:val="both"/>
              <w:rPr>
                <w:rFonts w:ascii="Times New Roman" w:hAnsi="Times New Roman" w:cs="Times New Roman"/>
              </w:rPr>
            </w:pPr>
            <w:r>
              <w:rPr>
                <w:rFonts w:ascii="Times New Roman" w:hAnsi="Times New Roman" w:cs="Times New Roman"/>
              </w:rPr>
              <w:t xml:space="preserve">Tools</w:t>
            </w:r>
          </w:p>
        </w:tc>
        <w:tc>
          <w:tcPr>
            <w:tcBorders/>
            <w:tcW w:w="0" w:type="auto"/>
            <w:textDirection w:val="lrTb"/>
            <w:noWrap w:val="false"/>
          </w:tcPr>
          <w:p w14:paraId="11F4DDAE" w14:textId="77777777">
            <w:pPr>
              <w:pBdr/>
              <w:spacing/>
              <w:ind/>
              <w:jc w:val="both"/>
              <w:rPr>
                <w:rFonts w:ascii="Times New Roman" w:hAnsi="Times New Roman" w:cs="Times New Roman"/>
              </w:rPr>
            </w:pPr>
            <w:r>
              <w:rPr>
                <w:rFonts w:ascii="Times New Roman" w:hAnsi="Times New Roman" w:cs="Times New Roman"/>
              </w:rPr>
              <w:t xml:space="preserve">Shovels, spades, wheelbarrows, protective gloves, gas leak detectors</w:t>
            </w:r>
          </w:p>
        </w:tc>
      </w:tr>
      <w:tr>
        <w:trPr/>
        <w:tc>
          <w:tcPr>
            <w:tcBorders/>
            <w:tcW w:w="0" w:type="auto"/>
            <w:vMerge w:val="restart"/>
            <w:textDirection w:val="lrTb"/>
            <w:noWrap w:val="false"/>
          </w:tcPr>
          <w:p w14:paraId="7BA454C6" w14:textId="77777777">
            <w:pPr>
              <w:pBdr/>
              <w:spacing/>
              <w:ind/>
              <w:jc w:val="both"/>
              <w:rPr>
                <w:rFonts w:ascii="Times New Roman" w:hAnsi="Times New Roman" w:cs="Times New Roman"/>
                <w:b/>
                <w:bCs/>
              </w:rPr>
            </w:pPr>
            <w:r>
              <w:rPr>
                <w:rStyle w:val="823"/>
                <w:rFonts w:ascii="Times New Roman" w:hAnsi="Times New Roman" w:cs="Times New Roman"/>
              </w:rPr>
              <w:t xml:space="preserve">Gas Utilization</w:t>
            </w:r>
            <w:r>
              <w:rPr>
                <w:rFonts w:ascii="Times New Roman" w:hAnsi="Times New Roman" w:cs="Times New Roman"/>
                <w:b/>
                <w:bCs/>
              </w:rPr>
            </w:r>
          </w:p>
        </w:tc>
        <w:tc>
          <w:tcPr>
            <w:tcBorders/>
            <w:tcW w:w="0" w:type="auto"/>
            <w:textDirection w:val="lrTb"/>
            <w:noWrap w:val="false"/>
          </w:tcPr>
          <w:p w14:paraId="6A5519CD" w14:textId="77777777">
            <w:pPr>
              <w:pBdr/>
              <w:spacing/>
              <w:ind/>
              <w:jc w:val="both"/>
              <w:rPr>
                <w:rFonts w:ascii="Times New Roman" w:hAnsi="Times New Roman" w:cs="Times New Roman"/>
              </w:rPr>
            </w:pPr>
            <w:r>
              <w:rPr>
                <w:rFonts w:ascii="Times New Roman" w:hAnsi="Times New Roman" w:cs="Times New Roman"/>
              </w:rPr>
              <w:t xml:space="preserve">Biogas stove</w:t>
            </w:r>
          </w:p>
        </w:tc>
        <w:tc>
          <w:tcPr>
            <w:tcBorders/>
            <w:tcW w:w="0" w:type="auto"/>
            <w:textDirection w:val="lrTb"/>
            <w:noWrap w:val="false"/>
          </w:tcPr>
          <w:p w14:paraId="5DCBC0A3" w14:textId="77777777">
            <w:pPr>
              <w:pBdr/>
              <w:spacing/>
              <w:ind/>
              <w:jc w:val="both"/>
              <w:rPr>
                <w:rFonts w:ascii="Times New Roman" w:hAnsi="Times New Roman" w:cs="Times New Roman"/>
              </w:rPr>
            </w:pPr>
            <w:r>
              <w:rPr>
                <w:rFonts w:ascii="Times New Roman" w:hAnsi="Times New Roman" w:cs="Times New Roman"/>
              </w:rPr>
              <w:t xml:space="preserve">2–3 burner, stainless steel, 0.2–0.3 m³/hr gas consumption</w:t>
            </w:r>
          </w:p>
        </w:tc>
      </w:tr>
      <w:tr>
        <w:trPr/>
        <w:tc>
          <w:tcPr>
            <w:tcBorders/>
            <w:tcW w:w="0" w:type="auto"/>
            <w:vMerge w:val="continue"/>
            <w:textDirection w:val="lrTb"/>
            <w:noWrap w:val="false"/>
          </w:tcPr>
          <w:p w14:paraId="52E8C9BB"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478FE4C6" w14:textId="77777777">
            <w:pPr>
              <w:pBdr/>
              <w:spacing/>
              <w:ind/>
              <w:jc w:val="both"/>
              <w:rPr>
                <w:rFonts w:ascii="Times New Roman" w:hAnsi="Times New Roman" w:cs="Times New Roman"/>
              </w:rPr>
            </w:pPr>
            <w:r>
              <w:rPr>
                <w:rFonts w:ascii="Times New Roman" w:hAnsi="Times New Roman" w:cs="Times New Roman"/>
              </w:rPr>
              <w:t xml:space="preserve">Biogas lamps</w:t>
            </w:r>
          </w:p>
        </w:tc>
        <w:tc>
          <w:tcPr>
            <w:tcBorders/>
            <w:tcW w:w="0" w:type="auto"/>
            <w:textDirection w:val="lrTb"/>
            <w:noWrap w:val="false"/>
          </w:tcPr>
          <w:p w14:paraId="76485199" w14:textId="77777777">
            <w:pPr>
              <w:pBdr/>
              <w:spacing/>
              <w:ind/>
              <w:jc w:val="both"/>
              <w:rPr>
                <w:rFonts w:ascii="Times New Roman" w:hAnsi="Times New Roman" w:cs="Times New Roman"/>
              </w:rPr>
            </w:pPr>
            <w:r>
              <w:rPr>
                <w:rFonts w:ascii="Times New Roman" w:hAnsi="Times New Roman" w:cs="Times New Roman"/>
              </w:rPr>
              <w:t xml:space="preserve">100–200 candle power, 0.1–0.2 m³/hr gas consumption</w:t>
            </w:r>
          </w:p>
        </w:tc>
      </w:tr>
      <w:tr>
        <w:trPr/>
        <w:tc>
          <w:tcPr>
            <w:tcBorders/>
            <w:tcW w:w="0" w:type="auto"/>
            <w:vMerge w:val="continue"/>
            <w:textDirection w:val="lrTb"/>
            <w:noWrap w:val="false"/>
          </w:tcPr>
          <w:p w14:paraId="7DE9638A"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7D9C9E37" w14:textId="77777777">
            <w:pPr>
              <w:pBdr/>
              <w:spacing/>
              <w:ind/>
              <w:jc w:val="both"/>
              <w:rPr>
                <w:rFonts w:ascii="Times New Roman" w:hAnsi="Times New Roman" w:cs="Times New Roman"/>
              </w:rPr>
            </w:pPr>
            <w:r>
              <w:rPr>
                <w:rFonts w:ascii="Times New Roman" w:hAnsi="Times New Roman" w:cs="Times New Roman"/>
              </w:rPr>
              <w:t xml:space="preserve">Biogas generator</w:t>
            </w:r>
          </w:p>
        </w:tc>
        <w:tc>
          <w:tcPr>
            <w:tcBorders/>
            <w:tcW w:w="0" w:type="auto"/>
            <w:textDirection w:val="lrTb"/>
            <w:noWrap w:val="false"/>
          </w:tcPr>
          <w:p w14:paraId="7C6E9232" w14:textId="77777777">
            <w:pPr>
              <w:pBdr/>
              <w:spacing/>
              <w:ind/>
              <w:jc w:val="both"/>
              <w:rPr>
                <w:rFonts w:ascii="Times New Roman" w:hAnsi="Times New Roman" w:cs="Times New Roman"/>
              </w:rPr>
            </w:pPr>
            <w:r>
              <w:rPr>
                <w:rFonts w:ascii="Times New Roman" w:hAnsi="Times New Roman" w:cs="Times New Roman"/>
              </w:rPr>
              <w:t xml:space="preserve">3–5 kVA, dual-fuel (biogas/diesel)</w:t>
            </w:r>
          </w:p>
        </w:tc>
      </w:tr>
      <w:tr>
        <w:trPr/>
        <w:tc>
          <w:tcPr>
            <w:tcBorders/>
            <w:tcW w:w="0" w:type="auto"/>
            <w:vMerge w:val="continue"/>
            <w:textDirection w:val="lrTb"/>
            <w:noWrap w:val="false"/>
          </w:tcPr>
          <w:p w14:paraId="3FFAC2F7"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1216419E" w14:textId="77777777">
            <w:pPr>
              <w:pBdr/>
              <w:spacing/>
              <w:ind/>
              <w:jc w:val="both"/>
              <w:rPr>
                <w:rFonts w:ascii="Times New Roman" w:hAnsi="Times New Roman" w:cs="Times New Roman"/>
              </w:rPr>
            </w:pPr>
            <w:r>
              <w:rPr>
                <w:rFonts w:ascii="Times New Roman" w:hAnsi="Times New Roman" w:cs="Times New Roman"/>
              </w:rPr>
              <w:t xml:space="preserve">Tools</w:t>
            </w:r>
          </w:p>
        </w:tc>
        <w:tc>
          <w:tcPr>
            <w:tcBorders/>
            <w:tcW w:w="0" w:type="auto"/>
            <w:textDirection w:val="lrTb"/>
            <w:noWrap w:val="false"/>
          </w:tcPr>
          <w:p w14:paraId="7AE0139A" w14:textId="77777777">
            <w:pPr>
              <w:pBdr/>
              <w:spacing/>
              <w:ind/>
              <w:jc w:val="both"/>
              <w:rPr>
                <w:rFonts w:ascii="Times New Roman" w:hAnsi="Times New Roman" w:cs="Times New Roman"/>
              </w:rPr>
            </w:pPr>
            <w:r>
              <w:rPr>
                <w:rFonts w:ascii="Times New Roman" w:hAnsi="Times New Roman" w:cs="Times New Roman"/>
              </w:rPr>
              <w:t xml:space="preserve">Pressure gauges, flow meters, safety valves</w:t>
            </w:r>
          </w:p>
        </w:tc>
      </w:tr>
      <w:tr>
        <w:trPr/>
        <w:tc>
          <w:tcPr>
            <w:tcBorders/>
            <w:tcW w:w="0" w:type="auto"/>
            <w:vMerge w:val="restart"/>
            <w:textDirection w:val="lrTb"/>
            <w:noWrap w:val="false"/>
          </w:tcPr>
          <w:p w14:paraId="6405360A" w14:textId="77777777">
            <w:pPr>
              <w:pBdr/>
              <w:spacing/>
              <w:ind/>
              <w:jc w:val="both"/>
              <w:rPr>
                <w:rFonts w:ascii="Times New Roman" w:hAnsi="Times New Roman" w:cs="Times New Roman"/>
                <w:b/>
                <w:bCs/>
              </w:rPr>
            </w:pPr>
            <w:r>
              <w:rPr>
                <w:rStyle w:val="823"/>
                <w:rFonts w:ascii="Times New Roman" w:hAnsi="Times New Roman" w:cs="Times New Roman"/>
              </w:rPr>
              <w:t xml:space="preserve">Waste-to-Energy Processing</w:t>
            </w:r>
            <w:r>
              <w:rPr>
                <w:rFonts w:ascii="Times New Roman" w:hAnsi="Times New Roman" w:cs="Times New Roman"/>
                <w:b/>
                <w:bCs/>
              </w:rPr>
            </w:r>
          </w:p>
        </w:tc>
        <w:tc>
          <w:tcPr>
            <w:tcBorders/>
            <w:tcW w:w="0" w:type="auto"/>
            <w:textDirection w:val="lrTb"/>
            <w:noWrap w:val="false"/>
          </w:tcPr>
          <w:p w14:paraId="36F70BC8" w14:textId="77777777">
            <w:pPr>
              <w:pBdr/>
              <w:spacing/>
              <w:ind/>
              <w:jc w:val="both"/>
              <w:rPr>
                <w:rFonts w:ascii="Times New Roman" w:hAnsi="Times New Roman" w:cs="Times New Roman"/>
              </w:rPr>
            </w:pPr>
            <w:r>
              <w:rPr>
                <w:rFonts w:ascii="Times New Roman" w:hAnsi="Times New Roman" w:cs="Times New Roman"/>
              </w:rPr>
              <w:t xml:space="preserve">Organic waste shredder</w:t>
            </w:r>
          </w:p>
        </w:tc>
        <w:tc>
          <w:tcPr>
            <w:tcBorders/>
            <w:tcW w:w="0" w:type="auto"/>
            <w:textDirection w:val="lrTb"/>
            <w:noWrap w:val="false"/>
          </w:tcPr>
          <w:p w14:paraId="3E8BB70C" w14:textId="77777777">
            <w:pPr>
              <w:pBdr/>
              <w:spacing/>
              <w:ind/>
              <w:jc w:val="both"/>
              <w:rPr>
                <w:rFonts w:ascii="Times New Roman" w:hAnsi="Times New Roman" w:cs="Times New Roman"/>
              </w:rPr>
            </w:pPr>
            <w:r>
              <w:rPr>
                <w:rFonts w:ascii="Times New Roman" w:hAnsi="Times New Roman" w:cs="Times New Roman"/>
              </w:rPr>
              <w:t xml:space="preserve">3–5 HP motor, 200–300 kg/hr</w:t>
            </w:r>
          </w:p>
        </w:tc>
      </w:tr>
      <w:tr>
        <w:trPr/>
        <w:tc>
          <w:tcPr>
            <w:tcBorders/>
            <w:tcW w:w="0" w:type="auto"/>
            <w:vMerge w:val="continue"/>
            <w:textDirection w:val="lrTb"/>
            <w:noWrap w:val="false"/>
          </w:tcPr>
          <w:p w14:paraId="64EFC92F"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5E05F381" w14:textId="77777777">
            <w:pPr>
              <w:pBdr/>
              <w:spacing/>
              <w:ind/>
              <w:jc w:val="both"/>
              <w:rPr>
                <w:rFonts w:ascii="Times New Roman" w:hAnsi="Times New Roman" w:cs="Times New Roman"/>
              </w:rPr>
            </w:pPr>
            <w:r>
              <w:rPr>
                <w:rFonts w:ascii="Times New Roman" w:hAnsi="Times New Roman" w:cs="Times New Roman"/>
              </w:rPr>
              <w:t xml:space="preserve">Slurry mixing tank</w:t>
            </w:r>
          </w:p>
        </w:tc>
        <w:tc>
          <w:tcPr>
            <w:tcBorders/>
            <w:tcW w:w="0" w:type="auto"/>
            <w:textDirection w:val="lrTb"/>
            <w:noWrap w:val="false"/>
          </w:tcPr>
          <w:p w14:paraId="255B7721" w14:textId="77777777">
            <w:pPr>
              <w:pBdr/>
              <w:spacing/>
              <w:ind/>
              <w:jc w:val="both"/>
              <w:rPr>
                <w:rFonts w:ascii="Times New Roman" w:hAnsi="Times New Roman" w:cs="Times New Roman"/>
              </w:rPr>
            </w:pPr>
            <w:r>
              <w:rPr>
                <w:rFonts w:ascii="Times New Roman" w:hAnsi="Times New Roman" w:cs="Times New Roman"/>
              </w:rPr>
              <w:t xml:space="preserve">200–300 L, stainless steel</w:t>
            </w:r>
          </w:p>
        </w:tc>
      </w:tr>
      <w:tr>
        <w:trPr/>
        <w:tc>
          <w:tcPr>
            <w:tcBorders/>
            <w:tcW w:w="0" w:type="auto"/>
            <w:vMerge w:val="continue"/>
            <w:textDirection w:val="lrTb"/>
            <w:noWrap w:val="false"/>
          </w:tcPr>
          <w:p w14:paraId="350FB720"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36F11BF8" w14:textId="77777777">
            <w:pPr>
              <w:pBdr/>
              <w:spacing/>
              <w:ind/>
              <w:jc w:val="both"/>
              <w:rPr>
                <w:rFonts w:ascii="Times New Roman" w:hAnsi="Times New Roman" w:cs="Times New Roman"/>
              </w:rPr>
            </w:pPr>
            <w:r>
              <w:rPr>
                <w:rFonts w:ascii="Times New Roman" w:hAnsi="Times New Roman" w:cs="Times New Roman"/>
              </w:rPr>
              <w:t xml:space="preserve">Composting unit</w:t>
            </w:r>
          </w:p>
        </w:tc>
        <w:tc>
          <w:tcPr>
            <w:tcBorders/>
            <w:tcW w:w="0" w:type="auto"/>
            <w:textDirection w:val="lrTb"/>
            <w:noWrap w:val="false"/>
          </w:tcPr>
          <w:p w14:paraId="5ACACEA9" w14:textId="77777777">
            <w:pPr>
              <w:pBdr/>
              <w:spacing/>
              <w:ind/>
              <w:jc w:val="both"/>
              <w:rPr>
                <w:rFonts w:ascii="Times New Roman" w:hAnsi="Times New Roman" w:cs="Times New Roman"/>
              </w:rPr>
            </w:pPr>
            <w:r>
              <w:rPr>
                <w:rFonts w:ascii="Times New Roman" w:hAnsi="Times New Roman" w:cs="Times New Roman"/>
              </w:rPr>
              <w:t xml:space="preserve">100–150 m², aerated static pile system</w:t>
            </w:r>
          </w:p>
        </w:tc>
      </w:tr>
      <w:tr>
        <w:trPr/>
        <w:tc>
          <w:tcPr>
            <w:tcBorders/>
            <w:tcW w:w="0" w:type="auto"/>
            <w:vMerge w:val="continue"/>
            <w:textDirection w:val="lrTb"/>
            <w:noWrap w:val="false"/>
          </w:tcPr>
          <w:p w14:paraId="5A7209C2"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63ED36B5" w14:textId="77777777">
            <w:pPr>
              <w:pBdr/>
              <w:spacing/>
              <w:ind/>
              <w:jc w:val="both"/>
              <w:rPr>
                <w:rFonts w:ascii="Times New Roman" w:hAnsi="Times New Roman" w:cs="Times New Roman"/>
              </w:rPr>
            </w:pPr>
            <w:r>
              <w:rPr>
                <w:rFonts w:ascii="Times New Roman" w:hAnsi="Times New Roman" w:cs="Times New Roman"/>
              </w:rPr>
              <w:t xml:space="preserve">Tools</w:t>
            </w:r>
          </w:p>
        </w:tc>
        <w:tc>
          <w:tcPr>
            <w:tcBorders/>
            <w:tcW w:w="0" w:type="auto"/>
            <w:textDirection w:val="lrTb"/>
            <w:noWrap w:val="false"/>
          </w:tcPr>
          <w:p w14:paraId="1E58B8CA" w14:textId="77777777">
            <w:pPr>
              <w:pBdr/>
              <w:spacing/>
              <w:ind/>
              <w:jc w:val="both"/>
              <w:rPr>
                <w:rFonts w:ascii="Times New Roman" w:hAnsi="Times New Roman" w:cs="Times New Roman"/>
              </w:rPr>
            </w:pPr>
            <w:r>
              <w:rPr>
                <w:rFonts w:ascii="Times New Roman" w:hAnsi="Times New Roman" w:cs="Times New Roman"/>
              </w:rPr>
              <w:t xml:space="preserve">Moisture meters, compost thermometers, weighing scales</w:t>
            </w:r>
          </w:p>
        </w:tc>
      </w:tr>
      <w:tr>
        <w:trPr/>
        <w:tc>
          <w:tcPr>
            <w:tcBorders/>
            <w:tcW w:w="0" w:type="auto"/>
            <w:vMerge w:val="restart"/>
            <w:textDirection w:val="lrTb"/>
            <w:noWrap w:val="false"/>
          </w:tcPr>
          <w:p w14:paraId="779008C7" w14:textId="77777777">
            <w:pPr>
              <w:pBdr/>
              <w:spacing/>
              <w:ind/>
              <w:jc w:val="both"/>
              <w:rPr>
                <w:rFonts w:ascii="Times New Roman" w:hAnsi="Times New Roman" w:cs="Times New Roman"/>
                <w:b/>
                <w:bCs/>
              </w:rPr>
            </w:pPr>
            <w:r>
              <w:rPr>
                <w:rStyle w:val="823"/>
                <w:rFonts w:ascii="Times New Roman" w:hAnsi="Times New Roman" w:cs="Times New Roman"/>
              </w:rPr>
              <w:t xml:space="preserve">Gas Cleaning &amp; Safety</w:t>
            </w:r>
            <w:r>
              <w:rPr>
                <w:rFonts w:ascii="Times New Roman" w:hAnsi="Times New Roman" w:cs="Times New Roman"/>
                <w:b/>
                <w:bCs/>
              </w:rPr>
            </w:r>
          </w:p>
        </w:tc>
        <w:tc>
          <w:tcPr>
            <w:tcBorders/>
            <w:tcW w:w="0" w:type="auto"/>
            <w:textDirection w:val="lrTb"/>
            <w:noWrap w:val="false"/>
          </w:tcPr>
          <w:p w14:paraId="6BADBB64" w14:textId="77777777">
            <w:pPr>
              <w:pBdr/>
              <w:spacing/>
              <w:ind/>
              <w:jc w:val="both"/>
              <w:rPr>
                <w:rFonts w:ascii="Times New Roman" w:hAnsi="Times New Roman" w:cs="Times New Roman"/>
              </w:rPr>
            </w:pPr>
            <w:r>
              <w:rPr>
                <w:rFonts w:ascii="Times New Roman" w:hAnsi="Times New Roman" w:cs="Times New Roman"/>
              </w:rPr>
              <w:t xml:space="preserve">H₂S scrubber</w:t>
            </w:r>
          </w:p>
        </w:tc>
        <w:tc>
          <w:tcPr>
            <w:tcBorders/>
            <w:tcW w:w="0" w:type="auto"/>
            <w:textDirection w:val="lrTb"/>
            <w:noWrap w:val="false"/>
          </w:tcPr>
          <w:p w14:paraId="02FAEA56" w14:textId="77777777">
            <w:pPr>
              <w:pBdr/>
              <w:spacing/>
              <w:ind/>
              <w:jc w:val="both"/>
              <w:rPr>
                <w:rFonts w:ascii="Times New Roman" w:hAnsi="Times New Roman" w:cs="Times New Roman"/>
              </w:rPr>
            </w:pPr>
            <w:r>
              <w:rPr>
                <w:rFonts w:ascii="Times New Roman" w:hAnsi="Times New Roman" w:cs="Times New Roman"/>
              </w:rPr>
              <w:t xml:space="preserve">Iron filings/activated carbon, 0.5–1 m³/hr</w:t>
            </w:r>
          </w:p>
        </w:tc>
      </w:tr>
      <w:tr>
        <w:trPr/>
        <w:tc>
          <w:tcPr>
            <w:tcBorders/>
            <w:tcW w:w="0" w:type="auto"/>
            <w:vMerge w:val="continue"/>
            <w:textDirection w:val="lrTb"/>
            <w:noWrap w:val="false"/>
          </w:tcPr>
          <w:p w14:paraId="6ACF2446"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27AF92FC" w14:textId="77777777">
            <w:pPr>
              <w:pBdr/>
              <w:spacing/>
              <w:ind/>
              <w:jc w:val="both"/>
              <w:rPr>
                <w:rFonts w:ascii="Times New Roman" w:hAnsi="Times New Roman" w:cs="Times New Roman"/>
              </w:rPr>
            </w:pPr>
            <w:r>
              <w:rPr>
                <w:rFonts w:ascii="Times New Roman" w:hAnsi="Times New Roman" w:cs="Times New Roman"/>
              </w:rPr>
              <w:t xml:space="preserve">Moisture trap</w:t>
            </w:r>
          </w:p>
        </w:tc>
        <w:tc>
          <w:tcPr>
            <w:tcBorders/>
            <w:tcW w:w="0" w:type="auto"/>
            <w:textDirection w:val="lrTb"/>
            <w:noWrap w:val="false"/>
          </w:tcPr>
          <w:p w14:paraId="15A68346" w14:textId="77777777">
            <w:pPr>
              <w:pBdr/>
              <w:spacing/>
              <w:ind/>
              <w:jc w:val="both"/>
              <w:rPr>
                <w:rFonts w:ascii="Times New Roman" w:hAnsi="Times New Roman" w:cs="Times New Roman"/>
              </w:rPr>
            </w:pPr>
            <w:r>
              <w:rPr>
                <w:rFonts w:ascii="Times New Roman" w:hAnsi="Times New Roman" w:cs="Times New Roman"/>
              </w:rPr>
              <w:t xml:space="preserve">PVC/stainless steel, 10–20 L</w:t>
            </w:r>
          </w:p>
        </w:tc>
      </w:tr>
      <w:tr>
        <w:trPr/>
        <w:tc>
          <w:tcPr>
            <w:tcBorders/>
            <w:tcW w:w="0" w:type="auto"/>
            <w:vMerge w:val="continue"/>
            <w:textDirection w:val="lrTb"/>
            <w:noWrap w:val="false"/>
          </w:tcPr>
          <w:p w14:paraId="108BB14F"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5A1DD6CD" w14:textId="77777777">
            <w:pPr>
              <w:pBdr/>
              <w:spacing/>
              <w:ind/>
              <w:jc w:val="both"/>
              <w:rPr>
                <w:rFonts w:ascii="Times New Roman" w:hAnsi="Times New Roman" w:cs="Times New Roman"/>
              </w:rPr>
            </w:pPr>
            <w:r>
              <w:rPr>
                <w:rFonts w:ascii="Times New Roman" w:hAnsi="Times New Roman" w:cs="Times New Roman"/>
              </w:rPr>
              <w:t xml:space="preserve">Gas filter</w:t>
            </w:r>
          </w:p>
        </w:tc>
        <w:tc>
          <w:tcPr>
            <w:tcBorders/>
            <w:tcW w:w="0" w:type="auto"/>
            <w:textDirection w:val="lrTb"/>
            <w:noWrap w:val="false"/>
          </w:tcPr>
          <w:p w14:paraId="45C64BAB" w14:textId="77777777">
            <w:pPr>
              <w:pBdr/>
              <w:spacing/>
              <w:ind/>
              <w:jc w:val="both"/>
              <w:rPr>
                <w:rFonts w:ascii="Times New Roman" w:hAnsi="Times New Roman" w:cs="Times New Roman"/>
              </w:rPr>
            </w:pPr>
            <w:r>
              <w:rPr>
                <w:rFonts w:ascii="Times New Roman" w:hAnsi="Times New Roman" w:cs="Times New Roman"/>
              </w:rPr>
              <w:t xml:space="preserve">Activated carbon, 0.5–1 m³/hr</w:t>
            </w:r>
          </w:p>
        </w:tc>
      </w:tr>
      <w:tr>
        <w:trPr/>
        <w:tc>
          <w:tcPr>
            <w:tcBorders/>
            <w:tcW w:w="0" w:type="auto"/>
            <w:vMerge w:val="continue"/>
            <w:textDirection w:val="lrTb"/>
            <w:noWrap w:val="false"/>
          </w:tcPr>
          <w:p w14:paraId="4E770677"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473FE097" w14:textId="77777777">
            <w:pPr>
              <w:pBdr/>
              <w:spacing/>
              <w:ind/>
              <w:jc w:val="both"/>
              <w:rPr>
                <w:rFonts w:ascii="Times New Roman" w:hAnsi="Times New Roman" w:cs="Times New Roman"/>
              </w:rPr>
            </w:pPr>
            <w:r>
              <w:rPr>
                <w:rFonts w:ascii="Times New Roman" w:hAnsi="Times New Roman" w:cs="Times New Roman"/>
              </w:rPr>
              <w:t xml:space="preserve">Tools</w:t>
            </w:r>
          </w:p>
        </w:tc>
        <w:tc>
          <w:tcPr>
            <w:tcBorders/>
            <w:tcW w:w="0" w:type="auto"/>
            <w:textDirection w:val="lrTb"/>
            <w:noWrap w:val="false"/>
          </w:tcPr>
          <w:p w14:paraId="7897E721" w14:textId="77777777">
            <w:pPr>
              <w:pBdr/>
              <w:spacing/>
              <w:ind/>
              <w:jc w:val="both"/>
              <w:rPr>
                <w:rFonts w:ascii="Times New Roman" w:hAnsi="Times New Roman" w:cs="Times New Roman"/>
              </w:rPr>
            </w:pPr>
            <w:r>
              <w:rPr>
                <w:rFonts w:ascii="Times New Roman" w:hAnsi="Times New Roman" w:cs="Times New Roman"/>
              </w:rPr>
              <w:t xml:space="preserve">Leak detection kits, pH meters, sampling containers</w:t>
            </w:r>
          </w:p>
        </w:tc>
      </w:tr>
      <w:tr>
        <w:trPr/>
        <w:tc>
          <w:tcPr>
            <w:tcBorders/>
            <w:tcW w:w="0" w:type="auto"/>
            <w:vMerge w:val="restart"/>
            <w:textDirection w:val="lrTb"/>
            <w:noWrap w:val="false"/>
          </w:tcPr>
          <w:p w14:paraId="47FB567B" w14:textId="77777777">
            <w:pPr>
              <w:pBdr/>
              <w:spacing/>
              <w:ind/>
              <w:jc w:val="both"/>
              <w:rPr>
                <w:rFonts w:ascii="Times New Roman" w:hAnsi="Times New Roman" w:cs="Times New Roman"/>
                <w:b/>
                <w:bCs/>
              </w:rPr>
            </w:pPr>
            <w:r>
              <w:rPr>
                <w:rStyle w:val="823"/>
                <w:rFonts w:ascii="Times New Roman" w:hAnsi="Times New Roman" w:cs="Times New Roman"/>
              </w:rPr>
              <w:t xml:space="preserve">Training &amp; Demonstration</w:t>
            </w:r>
            <w:r>
              <w:rPr>
                <w:rFonts w:ascii="Times New Roman" w:hAnsi="Times New Roman" w:cs="Times New Roman"/>
                <w:b/>
                <w:bCs/>
              </w:rPr>
            </w:r>
          </w:p>
        </w:tc>
        <w:tc>
          <w:tcPr>
            <w:tcBorders/>
            <w:tcW w:w="0" w:type="auto"/>
            <w:textDirection w:val="lrTb"/>
            <w:noWrap w:val="false"/>
          </w:tcPr>
          <w:p w14:paraId="103192D0" w14:textId="77777777">
            <w:pPr>
              <w:pBdr/>
              <w:spacing/>
              <w:ind/>
              <w:jc w:val="both"/>
              <w:rPr>
                <w:rFonts w:ascii="Times New Roman" w:hAnsi="Times New Roman" w:cs="Times New Roman"/>
              </w:rPr>
            </w:pPr>
            <w:r>
              <w:rPr>
                <w:rFonts w:ascii="Times New Roman" w:hAnsi="Times New Roman" w:cs="Times New Roman"/>
              </w:rPr>
              <w:t xml:space="preserve">Mini biogas model</w:t>
            </w:r>
          </w:p>
        </w:tc>
        <w:tc>
          <w:tcPr>
            <w:tcBorders/>
            <w:tcW w:w="0" w:type="auto"/>
            <w:textDirection w:val="lrTb"/>
            <w:noWrap w:val="false"/>
          </w:tcPr>
          <w:p w14:paraId="58D9FF24" w14:textId="77777777">
            <w:pPr>
              <w:pBdr/>
              <w:spacing/>
              <w:ind/>
              <w:jc w:val="both"/>
              <w:rPr>
                <w:rFonts w:ascii="Times New Roman" w:hAnsi="Times New Roman" w:cs="Times New Roman"/>
              </w:rPr>
            </w:pPr>
            <w:r>
              <w:rPr>
                <w:rFonts w:ascii="Times New Roman" w:hAnsi="Times New Roman" w:cs="Times New Roman"/>
              </w:rPr>
              <w:t xml:space="preserve">1–2 m³, transparent acrylic for demonstration</w:t>
            </w:r>
          </w:p>
        </w:tc>
      </w:tr>
      <w:tr>
        <w:trPr/>
        <w:tc>
          <w:tcPr>
            <w:tcBorders/>
            <w:tcW w:w="0" w:type="auto"/>
            <w:vMerge w:val="continue"/>
            <w:textDirection w:val="lrTb"/>
            <w:noWrap w:val="false"/>
          </w:tcPr>
          <w:p w14:paraId="1D92ED79"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28AD049D" w14:textId="77777777">
            <w:pPr>
              <w:pBdr/>
              <w:spacing/>
              <w:ind/>
              <w:jc w:val="both"/>
              <w:rPr>
                <w:rFonts w:ascii="Times New Roman" w:hAnsi="Times New Roman" w:cs="Times New Roman"/>
              </w:rPr>
            </w:pPr>
            <w:r>
              <w:rPr>
                <w:rFonts w:ascii="Times New Roman" w:hAnsi="Times New Roman" w:cs="Times New Roman"/>
              </w:rPr>
              <w:t xml:space="preserve">Laboratory kits</w:t>
            </w:r>
          </w:p>
        </w:tc>
        <w:tc>
          <w:tcPr>
            <w:tcBorders/>
            <w:tcW w:w="0" w:type="auto"/>
            <w:textDirection w:val="lrTb"/>
            <w:noWrap w:val="false"/>
          </w:tcPr>
          <w:p w14:paraId="1096C3B8" w14:textId="77777777">
            <w:pPr>
              <w:pBdr/>
              <w:spacing/>
              <w:ind/>
              <w:jc w:val="both"/>
              <w:rPr>
                <w:rFonts w:ascii="Times New Roman" w:hAnsi="Times New Roman" w:cs="Times New Roman"/>
              </w:rPr>
            </w:pPr>
            <w:r>
              <w:rPr>
                <w:rFonts w:ascii="Times New Roman" w:hAnsi="Times New Roman" w:cs="Times New Roman"/>
              </w:rPr>
              <w:t xml:space="preserve">Gas composition analyzer (CH₄, CO₂, H₂S), portable</w:t>
            </w:r>
          </w:p>
        </w:tc>
      </w:tr>
      <w:tr>
        <w:trPr/>
        <w:tc>
          <w:tcPr>
            <w:tcBorders/>
            <w:tcW w:w="0" w:type="auto"/>
            <w:vMerge w:val="continue"/>
            <w:textDirection w:val="lrTb"/>
            <w:noWrap w:val="false"/>
          </w:tcPr>
          <w:p w14:paraId="458E57C9" w14:textId="77777777">
            <w:pPr>
              <w:pBdr/>
              <w:spacing/>
              <w:ind/>
              <w:jc w:val="both"/>
              <w:rPr>
                <w:rFonts w:ascii="Times New Roman" w:hAnsi="Times New Roman" w:cs="Times New Roman"/>
              </w:rPr>
            </w:pPr>
            <w:r>
              <w:rPr>
                <w:rFonts w:ascii="Times New Roman" w:hAnsi="Times New Roman" w:cs="Times New Roman"/>
              </w:rPr>
            </w:r>
          </w:p>
        </w:tc>
        <w:tc>
          <w:tcPr>
            <w:tcBorders/>
            <w:tcW w:w="0" w:type="auto"/>
            <w:textDirection w:val="lrTb"/>
            <w:noWrap w:val="false"/>
          </w:tcPr>
          <w:p w14:paraId="00CAA58C" w14:textId="77777777">
            <w:pPr>
              <w:pBdr/>
              <w:spacing/>
              <w:ind/>
              <w:jc w:val="both"/>
              <w:rPr>
                <w:rFonts w:ascii="Times New Roman" w:hAnsi="Times New Roman" w:cs="Times New Roman"/>
              </w:rPr>
            </w:pPr>
            <w:r>
              <w:rPr>
                <w:rFonts w:ascii="Times New Roman" w:hAnsi="Times New Roman" w:cs="Times New Roman"/>
              </w:rPr>
              <w:t xml:space="preserve">Tools</w:t>
            </w:r>
          </w:p>
        </w:tc>
        <w:tc>
          <w:tcPr>
            <w:tcBorders/>
            <w:tcW w:w="0" w:type="auto"/>
            <w:textDirection w:val="lrTb"/>
            <w:noWrap w:val="false"/>
          </w:tcPr>
          <w:p w14:paraId="793DA913" w14:textId="77777777">
            <w:pPr>
              <w:pBdr/>
              <w:spacing/>
              <w:ind/>
              <w:jc w:val="both"/>
              <w:rPr>
                <w:rFonts w:ascii="Times New Roman" w:hAnsi="Times New Roman" w:cs="Times New Roman"/>
              </w:rPr>
            </w:pPr>
            <w:r>
              <w:rPr>
                <w:rFonts w:ascii="Times New Roman" w:hAnsi="Times New Roman" w:cs="Times New Roman"/>
              </w:rPr>
              <w:t xml:space="preserve">Safety goggles (25 units), lab coats, gloves, notebooks</w:t>
            </w:r>
          </w:p>
        </w:tc>
      </w:tr>
    </w:tbl>
    <w:p w14:paraId="756B9632" w14:textId="77777777">
      <w:pPr>
        <w:pBdr/>
        <w:spacing/>
        <w:ind/>
        <w:jc w:val="both"/>
        <w:rPr>
          <w:rFonts w:ascii="Times New Roman" w:hAnsi="Times New Roman" w:cs="Times New Roman"/>
        </w:rPr>
      </w:pPr>
      <w:r>
        <w:rPr>
          <w:rFonts w:ascii="Times New Roman" w:hAnsi="Times New Roman" w:cs="Times New Roman"/>
        </w:rPr>
      </w:r>
    </w:p>
    <w:p w14:paraId="2D65A085" w14:textId="4CA8AB97">
      <w:pPr>
        <w:pBdr/>
        <w:spacing/>
        <w:ind/>
        <w:jc w:val="both"/>
        <w:rPr>
          <w:rFonts w:ascii="Times New Roman" w:hAnsi="Times New Roman" w:eastAsia="Times New Roman" w:cs="Times New Roman"/>
        </w:rPr>
      </w:pPr>
      <w:commentRangeStart w:id="1"/>
      <w:r>
        <w:rPr>
          <w:rFonts w:ascii="Times New Roman" w:hAnsi="Times New Roman" w:eastAsia="Times New Roman" w:cs="Times New Roman"/>
          <w:b/>
          <w:bCs/>
        </w:rPr>
        <w:t xml:space="preserve">2.4.5. Integrated Wastewater Treatment</w:t>
      </w:r>
      <w:commentRangeEnd w:id="1"/>
      <w:r>
        <w:rPr>
          <w:rStyle w:val="CommentReference"/>
        </w:rPr>
        <w:commentReference w:id="1"/>
      </w:r>
      <w:r>
        <w:rPr>
          <w:rFonts w:ascii="Times New Roman" w:hAnsi="Times New Roman" w:eastAsia="Times New Roman" w:cs="Times New Roman"/>
        </w:rPr>
        <w:t xml:space="preserve"> </w:t>
      </w:r>
    </w:p>
    <w:p w14:paraId="2ECBE33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To ensure full resource recovery, the zone is integrated with the PTU’s </w:t>
      </w:r>
      <w:r>
        <w:rPr>
          <w:rFonts w:ascii="Times New Roman" w:hAnsi="Times New Roman" w:eastAsia="Times New Roman" w:cs="Times New Roman"/>
          <w:b/>
          <w:bCs/>
        </w:rPr>
        <w:t xml:space="preserve">wastewater treatment strategies</w:t>
      </w:r>
      <w:r>
        <w:rPr>
          <w:rFonts w:ascii="Times New Roman" w:hAnsi="Times New Roman" w:eastAsia="Times New Roman" w:cs="Times New Roman"/>
        </w:rPr>
        <w:t xml:space="preserve">. Recycled water from food processing and livestock facilities is treated through dedicated systems and reused for irrigation, demonstrating an advanced, climate-resilient approach to water management.</w:t>
      </w:r>
    </w:p>
    <w:p w14:paraId="5ED860BD" w14:textId="77777777">
      <w:pPr>
        <w:numPr>
          <w:ilvl w:val="0"/>
          <w:numId w:val="10"/>
        </w:numPr>
        <w:pBdr/>
        <w:spacing/>
        <w:ind/>
        <w:jc w:val="both"/>
        <w:rPr>
          <w:rFonts w:ascii="Times New Roman" w:hAnsi="Times New Roman" w:cs="Times New Roman"/>
        </w:rPr>
      </w:pPr>
      <w:r>
        <w:rPr>
          <w:rFonts w:ascii="Times New Roman" w:hAnsi="Times New Roman" w:eastAsia="Times New Roman" w:cs="Times New Roman"/>
          <w:b/>
          <w:bCs/>
        </w:rPr>
        <w:t xml:space="preserve">Space Allocation:</w:t>
      </w:r>
      <w:r>
        <w:rPr>
          <w:rFonts w:ascii="Times New Roman" w:hAnsi="Times New Roman" w:eastAsia="Times New Roman" w:cs="Times New Roman"/>
        </w:rPr>
        <w:t xml:space="preserve"> The wastewater treatment facility is integrated into the 150 SQM Waste Management Zone. Rather than being a standalone block, it is strategically co-located with composting and biogas operations to centralize the PTU's resource recovery workflows.</w:t>
      </w:r>
      <w:r>
        <w:rPr>
          <w:rFonts w:ascii="Times New Roman" w:hAnsi="Times New Roman" w:cs="Times New Roman"/>
        </w:rPr>
      </w:r>
    </w:p>
    <w:p w14:paraId="2E040F7F" w14:textId="77777777">
      <w:pPr>
        <w:numPr>
          <w:ilvl w:val="0"/>
          <w:numId w:val="10"/>
        </w:numPr>
        <w:pBdr/>
        <w:spacing/>
        <w:ind/>
        <w:jc w:val="both"/>
        <w:rPr>
          <w:rFonts w:ascii="Times New Roman" w:hAnsi="Times New Roman" w:cs="Times New Roman"/>
        </w:rPr>
      </w:pPr>
      <w:r>
        <w:rPr>
          <w:rFonts w:ascii="Times New Roman" w:hAnsi="Times New Roman" w:eastAsia="Times New Roman" w:cs="Times New Roman"/>
          <w:b/>
          <w:bCs/>
        </w:rPr>
        <w:t xml:space="preserve">Circular Resource Loops:</w:t>
      </w:r>
      <w:r>
        <w:rPr>
          <w:rFonts w:ascii="Times New Roman" w:hAnsi="Times New Roman" w:eastAsia="Times New Roman" w:cs="Times New Roman"/>
        </w:rPr>
        <w:t xml:space="preserve"> The system is designed to handle runoff and "greywater" from two primary sources:</w:t>
      </w:r>
      <w:r>
        <w:rPr>
          <w:rFonts w:ascii="Times New Roman" w:hAnsi="Times New Roman" w:cs="Times New Roman"/>
        </w:rPr>
      </w:r>
    </w:p>
    <w:p w14:paraId="6CD356FF" w14:textId="7C9294D2">
      <w:pPr>
        <w:numPr>
          <w:ilvl w:val="1"/>
          <w:numId w:val="11"/>
        </w:numPr>
        <w:pBdr/>
        <w:spacing/>
        <w:ind/>
        <w:jc w:val="both"/>
        <w:rPr>
          <w:rFonts w:ascii="Times New Roman" w:hAnsi="Times New Roman" w:cs="Times New Roman"/>
        </w:rPr>
      </w:pPr>
      <w:r>
        <w:rPr>
          <w:rFonts w:ascii="Times New Roman" w:hAnsi="Times New Roman" w:eastAsia="Times New Roman" w:cs="Times New Roman"/>
          <w:b/>
          <w:bCs/>
        </w:rPr>
        <w:t xml:space="preserve">Food Processing: </w:t>
      </w:r>
      <w:r>
        <w:rPr>
          <w:rFonts w:ascii="Times New Roman" w:hAnsi="Times New Roman" w:eastAsia="Times New Roman" w:cs="Times New Roman"/>
        </w:rPr>
        <w:t xml:space="preserve">Capturing water used in the </w:t>
      </w:r>
      <w:r>
        <w:rPr>
          <w:rFonts w:ascii="Times New Roman" w:hAnsi="Times New Roman" w:eastAsia="Times New Roman" w:cs="Times New Roman"/>
          <w:b/>
          <w:bCs/>
        </w:rPr>
        <w:t xml:space="preserve">Cleaning-In-Place (CIP)</w:t>
      </w:r>
      <w:r>
        <w:rPr>
          <w:rFonts w:ascii="Times New Roman" w:hAnsi="Times New Roman" w:eastAsia="Times New Roman" w:cs="Times New Roman"/>
        </w:rPr>
        <w:t xml:space="preserve"> systems and laboratory washdowns.</w:t>
      </w:r>
      <w:r>
        <w:rPr>
          <w:rFonts w:ascii="Times New Roman" w:hAnsi="Times New Roman" w:cs="Times New Roman"/>
        </w:rPr>
      </w:r>
    </w:p>
    <w:p w14:paraId="02BD6901" w14:textId="1EB9D0FC">
      <w:pPr>
        <w:numPr>
          <w:ilvl w:val="1"/>
          <w:numId w:val="11"/>
        </w:numPr>
        <w:pBdr/>
        <w:spacing/>
        <w:ind/>
        <w:jc w:val="both"/>
        <w:rPr>
          <w:rFonts w:ascii="Times New Roman" w:hAnsi="Times New Roman" w:cs="Times New Roman"/>
        </w:rPr>
      </w:pPr>
      <w:r>
        <w:rPr>
          <w:rFonts w:ascii="Times New Roman" w:hAnsi="Times New Roman" w:eastAsia="Times New Roman" w:cs="Times New Roman"/>
          <w:b/>
          <w:bCs/>
        </w:rPr>
        <w:t xml:space="preserve">Animal production:</w:t>
      </w:r>
      <w:r>
        <w:rPr>
          <w:rFonts w:ascii="Times New Roman" w:hAnsi="Times New Roman" w:eastAsia="Times New Roman" w:cs="Times New Roman"/>
        </w:rPr>
        <w:t xml:space="preserve"> Managing wastewater from cleaning dairy parlors, pig pens, and poultry blocks.</w:t>
      </w:r>
      <w:r>
        <w:rPr>
          <w:rFonts w:ascii="Times New Roman" w:hAnsi="Times New Roman" w:cs="Times New Roman"/>
        </w:rPr>
      </w:r>
    </w:p>
    <w:p w14:paraId="37720249" w14:textId="77777777">
      <w:pPr>
        <w:numPr>
          <w:ilvl w:val="0"/>
          <w:numId w:val="10"/>
        </w:numPr>
        <w:pBdr/>
        <w:spacing/>
        <w:ind/>
        <w:jc w:val="both"/>
        <w:rPr>
          <w:rFonts w:ascii="Times New Roman" w:hAnsi="Times New Roman" w:cs="Times New Roman"/>
        </w:rPr>
      </w:pPr>
      <w:r>
        <w:rPr>
          <w:rFonts w:ascii="Times New Roman" w:hAnsi="Times New Roman" w:eastAsia="Times New Roman" w:cs="Times New Roman"/>
          <w:b/>
          <w:bCs/>
        </w:rPr>
        <w:t xml:space="preserve">Technical Infrastructure:</w:t>
      </w:r>
      <w:r>
        <w:rPr>
          <w:rFonts w:ascii="Times New Roman" w:hAnsi="Times New Roman" w:eastAsia="Times New Roman" w:cs="Times New Roman"/>
        </w:rPr>
        <w:t xml:space="preserve"> To support its function as a training platform, the facility must include:</w:t>
      </w:r>
      <w:r>
        <w:rPr>
          <w:rFonts w:ascii="Times New Roman" w:hAnsi="Times New Roman" w:cs="Times New Roman"/>
        </w:rPr>
      </w:r>
    </w:p>
    <w:p w14:paraId="2BCE89D5" w14:textId="77777777">
      <w:pPr>
        <w:numPr>
          <w:ilvl w:val="1"/>
          <w:numId w:val="12"/>
        </w:numPr>
        <w:pBdr/>
        <w:spacing/>
        <w:ind/>
        <w:jc w:val="both"/>
        <w:rPr>
          <w:rFonts w:ascii="Times New Roman" w:hAnsi="Times New Roman" w:cs="Times New Roman"/>
        </w:rPr>
      </w:pPr>
      <w:r>
        <w:rPr>
          <w:rFonts w:ascii="Times New Roman" w:hAnsi="Times New Roman" w:eastAsia="Times New Roman" w:cs="Times New Roman"/>
          <w:b/>
          <w:bCs/>
        </w:rPr>
        <w:t xml:space="preserve">Recycling Pumps:</w:t>
      </w:r>
      <w:r>
        <w:rPr>
          <w:rFonts w:ascii="Times New Roman" w:hAnsi="Times New Roman" w:eastAsia="Times New Roman" w:cs="Times New Roman"/>
        </w:rPr>
        <w:t xml:space="preserve"> For moving treated water back to the irrigation network.</w:t>
      </w:r>
      <w:r>
        <w:rPr>
          <w:rFonts w:ascii="Times New Roman" w:hAnsi="Times New Roman" w:cs="Times New Roman"/>
        </w:rPr>
      </w:r>
    </w:p>
    <w:p w14:paraId="2D8A7CA8" w14:textId="77777777">
      <w:pPr>
        <w:numPr>
          <w:ilvl w:val="1"/>
          <w:numId w:val="12"/>
        </w:numPr>
        <w:pBdr/>
        <w:spacing/>
        <w:ind/>
        <w:jc w:val="both"/>
        <w:rPr>
          <w:rFonts w:ascii="Times New Roman" w:hAnsi="Times New Roman" w:cs="Times New Roman"/>
        </w:rPr>
      </w:pPr>
      <w:r>
        <w:rPr>
          <w:rFonts w:ascii="Times New Roman" w:hAnsi="Times New Roman" w:eastAsia="Times New Roman" w:cs="Times New Roman"/>
          <w:b/>
          <w:bCs/>
        </w:rPr>
        <w:t xml:space="preserve">Water Quality Testing Laboratory:</w:t>
      </w:r>
      <w:r>
        <w:rPr>
          <w:rFonts w:ascii="Times New Roman" w:hAnsi="Times New Roman" w:eastAsia="Times New Roman" w:cs="Times New Roman"/>
        </w:rPr>
        <w:t xml:space="preserve"> A specialized area equipped with pH meters, water testing kits, and sampling containers to ensure the recycled water meets safety standards for crop application.</w:t>
      </w:r>
      <w:r>
        <w:rPr>
          <w:rFonts w:ascii="Times New Roman" w:hAnsi="Times New Roman" w:cs="Times New Roman"/>
        </w:rPr>
      </w:r>
    </w:p>
    <w:p w14:paraId="34DD0F6D" w14:textId="77777777">
      <w:pPr>
        <w:numPr>
          <w:ilvl w:val="1"/>
          <w:numId w:val="12"/>
        </w:numPr>
        <w:pBdr/>
        <w:spacing/>
        <w:ind/>
        <w:jc w:val="both"/>
        <w:rPr>
          <w:rFonts w:ascii="Times New Roman" w:hAnsi="Times New Roman" w:cs="Times New Roman"/>
        </w:rPr>
      </w:pPr>
      <w:r>
        <w:rPr>
          <w:rFonts w:ascii="Times New Roman" w:hAnsi="Times New Roman" w:eastAsia="Times New Roman" w:cs="Times New Roman"/>
          <w:b/>
          <w:bCs/>
        </w:rPr>
        <w:t xml:space="preserve">Demonstration Capacity:</w:t>
      </w:r>
      <w:r>
        <w:rPr>
          <w:rFonts w:ascii="Times New Roman" w:hAnsi="Times New Roman" w:eastAsia="Times New Roman" w:cs="Times New Roman"/>
        </w:rPr>
        <w:t xml:space="preserve"> The system functions as a climate-smart demonstration platform, showcasing how digital agriculture tools—such as IoT sensors—can monitor water quality and reuse efficiency in real-time.</w:t>
      </w:r>
      <w:r>
        <w:rPr>
          <w:rFonts w:ascii="Times New Roman" w:hAnsi="Times New Roman" w:cs="Times New Roman"/>
        </w:rPr>
      </w:r>
    </w:p>
    <w:p w14:paraId="1FA58CA3"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ind/>
        <w:jc w:val="both"/>
        <w:rPr>
          <w:rFonts w:ascii="Times New Roman" w:hAnsi="Times New Roman" w:cs="Times New Roman"/>
          <w:color w:val="000000"/>
        </w:rPr>
      </w:pPr>
      <w:r>
        <w:rPr>
          <w:rFonts w:ascii="Times New Roman" w:hAnsi="Times New Roman" w:eastAsia="Times New Roman" w:cs="Times New Roman"/>
          <w:b/>
          <w:bCs/>
          <w:color w:val="000000"/>
        </w:rPr>
        <w:t xml:space="preserve">Operational Purpose:</w:t>
      </w:r>
      <w:r>
        <w:rPr>
          <w:rFonts w:ascii="Times New Roman" w:hAnsi="Times New Roman" w:eastAsia="Times New Roman" w:cs="Times New Roman"/>
          <w:color w:val="000000"/>
        </w:rPr>
        <w:t xml:space="preserve"> Beyond recycling, this unit is a key part of the PTU’s drought adaptation strategy. By providing a consistent, alternative water source for irrigation, it reduces the institution's reliance on external water supplies and demonstrates environmentally sustainable farming practices to students and the surrounding community.</w:t>
      </w:r>
      <w:r>
        <w:rPr>
          <w:rFonts w:ascii="Times New Roman" w:hAnsi="Times New Roman" w:cs="Times New Roman"/>
          <w:color w:val="000000"/>
        </w:rPr>
      </w:r>
    </w:p>
    <w:p w14:paraId="2D10F9FF" w14:textId="1920226D">
      <w:pPr>
        <w:pStyle w:val="795"/>
        <w:pBdr/>
        <w:spacing/>
        <w:ind/>
        <w:rPr>
          <w:rFonts w:ascii="Times New Roman" w:hAnsi="Times New Roman" w:cs="Times New Roman"/>
          <w:b/>
          <w:color w:val="000000" w:themeColor="text1"/>
          <w:sz w:val="24"/>
          <w:szCs w:val="24"/>
        </w:rPr>
      </w:pPr>
      <w:r/>
      <w:bookmarkStart w:id="27" w:name="_Toc233892418"/>
      <w:r>
        <w:rPr>
          <w:rFonts w:ascii="Times New Roman" w:hAnsi="Times New Roman" w:cs="Times New Roman"/>
          <w:b/>
          <w:color w:val="000000" w:themeColor="text1"/>
          <w:sz w:val="24"/>
          <w:szCs w:val="24"/>
        </w:rPr>
        <w:t xml:space="preserve">2.4.6 Machinery and Tool Storage: The "Mini Garage"</w:t>
      </w:r>
      <w:bookmarkEnd w:id="27"/>
      <w:r/>
      <w:r>
        <w:rPr>
          <w:rFonts w:ascii="Times New Roman" w:hAnsi="Times New Roman" w:cs="Times New Roman"/>
          <w:b/>
          <w:color w:val="000000" w:themeColor="text1"/>
          <w:sz w:val="24"/>
          <w:szCs w:val="24"/>
        </w:rPr>
      </w:r>
    </w:p>
    <w:p w14:paraId="7F5368A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w:t>
      </w:r>
      <w:r>
        <w:rPr>
          <w:rFonts w:ascii="Times New Roman" w:hAnsi="Times New Roman" w:eastAsia="Times New Roman" w:cs="Times New Roman"/>
          <w:b/>
          <w:bCs/>
        </w:rPr>
        <w:t xml:space="preserve">Tool &amp; Mini Garage Storage</w:t>
      </w:r>
      <w:r>
        <w:rPr>
          <w:rFonts w:ascii="Times New Roman" w:hAnsi="Times New Roman" w:eastAsia="Times New Roman" w:cs="Times New Roman"/>
        </w:rPr>
        <w:t xml:space="preserve">, covering</w:t>
      </w:r>
      <w:r>
        <w:rPr>
          <w:rFonts w:ascii="Times New Roman" w:hAnsi="Times New Roman" w:eastAsia="Times New Roman" w:cs="Times New Roman"/>
          <w:b/>
          <w:bCs/>
        </w:rPr>
        <w:t xml:space="preserve"> 150 SQM</w:t>
      </w:r>
      <w:r>
        <w:rPr>
          <w:rFonts w:ascii="Times New Roman" w:hAnsi="Times New Roman" w:eastAsia="Times New Roman" w:cs="Times New Roman"/>
        </w:rPr>
        <w:t xml:space="preserve">, functions as a specialized training unit for farm mechanization and equipment maintenance.</w:t>
      </w:r>
    </w:p>
    <w:p w14:paraId="3DE1BCC8" w14:textId="77777777">
      <w:pPr>
        <w:numPr>
          <w:ilvl w:val="0"/>
          <w:numId w:val="5"/>
        </w:numPr>
        <w:pBdr/>
        <w:spacing/>
        <w:ind/>
        <w:jc w:val="both"/>
        <w:rPr>
          <w:rFonts w:ascii="Times New Roman" w:hAnsi="Times New Roman" w:cs="Times New Roman"/>
        </w:rPr>
      </w:pPr>
      <w:r>
        <w:rPr>
          <w:rFonts w:ascii="Times New Roman" w:hAnsi="Times New Roman" w:eastAsia="Times New Roman" w:cs="Times New Roman"/>
          <w:b/>
          <w:bCs/>
        </w:rPr>
        <w:t xml:space="preserve">Training Objectives</w:t>
      </w:r>
      <w:r>
        <w:rPr>
          <w:rFonts w:ascii="Times New Roman" w:hAnsi="Times New Roman" w:eastAsia="Times New Roman" w:cs="Times New Roman"/>
        </w:rPr>
        <w:t xml:space="preserve">: This unit addresses the critical need for technical skills in operating and maintaining modern agricultural machinery. Students acquire hands-on experience in the routine servicing of equipment, ensuring they are prepared for the increasing mechanization of the Rwandan agricultural sector.</w:t>
      </w:r>
      <w:r>
        <w:rPr>
          <w:rFonts w:ascii="Times New Roman" w:hAnsi="Times New Roman" w:cs="Times New Roman"/>
        </w:rPr>
      </w:r>
    </w:p>
    <w:p w14:paraId="18142BD6" w14:textId="77777777">
      <w:pPr>
        <w:numPr>
          <w:ilvl w:val="0"/>
          <w:numId w:val="5"/>
        </w:numPr>
        <w:pBdr/>
        <w:spacing/>
        <w:ind/>
        <w:jc w:val="both"/>
        <w:rPr>
          <w:rFonts w:ascii="Times New Roman" w:hAnsi="Times New Roman" w:cs="Times New Roman"/>
        </w:rPr>
      </w:pPr>
      <w:r>
        <w:rPr>
          <w:rFonts w:ascii="Times New Roman" w:hAnsi="Times New Roman" w:eastAsia="Times New Roman" w:cs="Times New Roman"/>
          <w:b/>
          <w:bCs/>
        </w:rPr>
        <w:t xml:space="preserve">Equipment and Machinery Profile:</w:t>
      </w:r>
      <w:r>
        <w:rPr>
          <w:rFonts w:ascii="Times New Roman" w:hAnsi="Times New Roman" w:eastAsia="Times New Roman" w:cs="Times New Roman"/>
        </w:rPr>
        <w:t xml:space="preserve"> The garage houses a wide range of tools and heavy machinery, including:</w:t>
      </w:r>
      <w:r>
        <w:rPr>
          <w:rFonts w:ascii="Times New Roman" w:hAnsi="Times New Roman" w:cs="Times New Roman"/>
        </w:rPr>
      </w:r>
    </w:p>
    <w:p w14:paraId="58E268CA" w14:textId="77777777">
      <w:pPr>
        <w:numPr>
          <w:ilvl w:val="1"/>
          <w:numId w:val="5"/>
        </w:numPr>
        <w:pBdr/>
        <w:spacing/>
        <w:ind/>
        <w:jc w:val="both"/>
        <w:rPr>
          <w:rFonts w:ascii="Times New Roman" w:hAnsi="Times New Roman" w:cs="Times New Roman"/>
        </w:rPr>
      </w:pPr>
      <w:r>
        <w:rPr>
          <w:rFonts w:ascii="Times New Roman" w:hAnsi="Times New Roman" w:eastAsia="Times New Roman" w:cs="Times New Roman"/>
          <w:b/>
          <w:bCs/>
        </w:rPr>
        <w:t xml:space="preserve">Heavy Machinery:</w:t>
      </w:r>
      <w:r>
        <w:rPr>
          <w:rFonts w:ascii="Times New Roman" w:hAnsi="Times New Roman" w:eastAsia="Times New Roman" w:cs="Times New Roman"/>
        </w:rPr>
        <w:t xml:space="preserve"> Tractors and their various attachments for tillage and transport, as well as </w:t>
      </w:r>
      <w:r>
        <w:rPr>
          <w:rFonts w:ascii="Times New Roman" w:hAnsi="Times New Roman" w:eastAsia="Times New Roman" w:cs="Times New Roman"/>
          <w:b/>
          <w:bCs/>
        </w:rPr>
        <w:t xml:space="preserve">balers and choppers</w:t>
      </w:r>
      <w:r>
        <w:rPr>
          <w:rFonts w:ascii="Times New Roman" w:hAnsi="Times New Roman" w:eastAsia="Times New Roman" w:cs="Times New Roman"/>
        </w:rPr>
        <w:t xml:space="preserve"> for fodder harvesting and conservation.</w:t>
      </w:r>
      <w:r>
        <w:rPr>
          <w:rFonts w:ascii="Times New Roman" w:hAnsi="Times New Roman" w:cs="Times New Roman"/>
        </w:rPr>
      </w:r>
    </w:p>
    <w:p w14:paraId="00DAE222" w14:textId="77777777">
      <w:pPr>
        <w:numPr>
          <w:ilvl w:val="1"/>
          <w:numId w:val="5"/>
        </w:numPr>
        <w:pBdr/>
        <w:spacing/>
        <w:ind/>
        <w:jc w:val="both"/>
        <w:rPr>
          <w:rFonts w:ascii="Times New Roman" w:hAnsi="Times New Roman" w:cs="Times New Roman"/>
        </w:rPr>
      </w:pPr>
      <w:r>
        <w:rPr>
          <w:rFonts w:ascii="Times New Roman" w:hAnsi="Times New Roman" w:eastAsia="Times New Roman" w:cs="Times New Roman"/>
          <w:b/>
          <w:bCs/>
        </w:rPr>
        <w:t xml:space="preserve">Small Farm Machinery:</w:t>
      </w:r>
      <w:r>
        <w:rPr>
          <w:rFonts w:ascii="Times New Roman" w:hAnsi="Times New Roman" w:eastAsia="Times New Roman" w:cs="Times New Roman"/>
        </w:rPr>
        <w:t xml:space="preserve"> Power tillers, motorized knapsack sprayers, brush cutters, and water pumps.</w:t>
      </w:r>
      <w:r>
        <w:rPr>
          <w:rFonts w:ascii="Times New Roman" w:hAnsi="Times New Roman" w:cs="Times New Roman"/>
        </w:rPr>
      </w:r>
    </w:p>
    <w:p w14:paraId="6821D02C" w14:textId="77777777">
      <w:pPr>
        <w:numPr>
          <w:ilvl w:val="1"/>
          <w:numId w:val="5"/>
        </w:numPr>
        <w:pBdr/>
        <w:spacing/>
        <w:ind/>
        <w:jc w:val="both"/>
        <w:rPr>
          <w:rFonts w:ascii="Times New Roman" w:hAnsi="Times New Roman" w:cs="Times New Roman"/>
        </w:rPr>
      </w:pPr>
      <w:r>
        <w:rPr>
          <w:rFonts w:ascii="Times New Roman" w:hAnsi="Times New Roman" w:eastAsia="Times New Roman" w:cs="Times New Roman"/>
          <w:b/>
          <w:bCs/>
        </w:rPr>
        <w:t xml:space="preserve">Small Farm Tools:</w:t>
      </w:r>
      <w:r>
        <w:rPr>
          <w:rFonts w:ascii="Times New Roman" w:hAnsi="Times New Roman" w:eastAsia="Times New Roman" w:cs="Times New Roman"/>
        </w:rPr>
        <w:t xml:space="preserve"> Basic implements such as hoes, rakes, shovels, and pruning shears, all stored in organized </w:t>
      </w:r>
      <w:r>
        <w:rPr>
          <w:rFonts w:ascii="Times New Roman" w:hAnsi="Times New Roman" w:eastAsia="Times New Roman" w:cs="Times New Roman"/>
          <w:b/>
          <w:bCs/>
        </w:rPr>
        <w:t xml:space="preserve">tool racks</w:t>
      </w:r>
      <w:r>
        <w:rPr>
          <w:rFonts w:ascii="Times New Roman" w:hAnsi="Times New Roman" w:eastAsia="Times New Roman" w:cs="Times New Roman"/>
        </w:rPr>
        <w:t xml:space="preserve">.</w:t>
      </w:r>
      <w:r>
        <w:rPr>
          <w:rFonts w:ascii="Times New Roman" w:hAnsi="Times New Roman" w:cs="Times New Roman"/>
        </w:rPr>
      </w:r>
    </w:p>
    <w:p w14:paraId="743C0D1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Based on the PTU’s pedagogical requirements for </w:t>
      </w:r>
      <w:r>
        <w:rPr>
          <w:rFonts w:ascii="Times New Roman" w:hAnsi="Times New Roman" w:eastAsia="Times New Roman" w:cs="Times New Roman"/>
          <w:b/>
          <w:bCs/>
        </w:rPr>
        <w:t xml:space="preserve">experiential learning</w:t>
      </w:r>
      <w:r>
        <w:rPr>
          <w:rFonts w:ascii="Times New Roman" w:hAnsi="Times New Roman" w:eastAsia="Times New Roman" w:cs="Times New Roman"/>
        </w:rPr>
        <w:t xml:space="preserve"> and the allocated </w:t>
      </w:r>
      <w:r>
        <w:rPr>
          <w:rFonts w:ascii="Times New Roman" w:hAnsi="Times New Roman" w:eastAsia="Times New Roman" w:cs="Times New Roman"/>
          <w:b/>
          <w:bCs/>
        </w:rPr>
        <w:t xml:space="preserve">150 SQM Tool &amp; Mini Garage Storage</w:t>
      </w:r>
      <w:r>
        <w:rPr>
          <w:rFonts w:ascii="Times New Roman" w:hAnsi="Times New Roman" w:eastAsia="Times New Roman" w:cs="Times New Roman"/>
        </w:rPr>
        <w:t xml:space="preserve">, the following estimated quantities are recommended to ensure all students gain practical experience:</w:t>
      </w:r>
    </w:p>
    <w:p w14:paraId="3ECE0564" w14:textId="77777777">
      <w:pPr>
        <w:numPr>
          <w:ilvl w:val="2"/>
          <w:numId w:val="5"/>
        </w:numPr>
        <w:pBdr>
          <w:top w:val="none" w:color="000000" w:sz="4" w:space="0"/>
          <w:left w:val="none" w:color="000000" w:sz="4" w:space="0"/>
          <w:bottom w:val="none" w:color="000000" w:sz="4" w:space="0"/>
          <w:right w:val="none" w:color="000000" w:sz="4" w:space="0"/>
          <w:between w:val="none" w:color="000000" w:sz="4" w:space="0"/>
        </w:pBdr>
        <w:spacing/>
        <w:ind w:hanging="270" w:left="360"/>
        <w:jc w:val="both"/>
        <w:rPr>
          <w:rFonts w:ascii="Times New Roman" w:hAnsi="Times New Roman" w:eastAsia="Times New Roman" w:cs="Times New Roman"/>
          <w:color w:val="000000"/>
        </w:rPr>
      </w:pPr>
      <w:r>
        <w:rPr>
          <w:rFonts w:ascii="Times New Roman" w:hAnsi="Times New Roman" w:eastAsia="Times New Roman" w:cs="Times New Roman"/>
          <w:b/>
          <w:bCs/>
          <w:color w:val="000000"/>
        </w:rPr>
        <w:t xml:space="preserve">Heavy Machinery (Group-Based Training)</w:t>
      </w:r>
      <w:r>
        <w:rPr>
          <w:rFonts w:ascii="Times New Roman" w:hAnsi="Times New Roman" w:eastAsia="Times New Roman" w:cs="Times New Roman"/>
          <w:color w:val="000000"/>
        </w:rPr>
      </w:r>
    </w:p>
    <w:p w14:paraId="00B19A6F"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Since heavy machinery is typically used for demonstration and rotated group practice, the following quantities are sufficient for a 25-student cohort:</w:t>
      </w:r>
    </w:p>
    <w:p w14:paraId="387E4447" w14:textId="77777777">
      <w:pPr>
        <w:numPr>
          <w:ilvl w:val="0"/>
          <w:numId w:val="13"/>
        </w:numPr>
        <w:pBdr/>
        <w:spacing/>
        <w:ind/>
        <w:jc w:val="both"/>
        <w:rPr>
          <w:rFonts w:ascii="Times New Roman" w:hAnsi="Times New Roman" w:cs="Times New Roman"/>
        </w:rPr>
      </w:pPr>
      <w:r>
        <w:rPr>
          <w:rFonts w:ascii="Times New Roman" w:hAnsi="Times New Roman" w:eastAsia="Times New Roman" w:cs="Times New Roman"/>
          <w:b/>
          <w:bCs/>
        </w:rPr>
        <w:t xml:space="preserve">Tractors &amp; Attachments (3 Unit + Full Set per school):</w:t>
      </w:r>
      <w:r>
        <w:rPr>
          <w:rFonts w:ascii="Times New Roman" w:hAnsi="Times New Roman" w:eastAsia="Times New Roman" w:cs="Times New Roman"/>
        </w:rPr>
        <w:t xml:space="preserve"> three versatile tractors with essential attachments (plough, harrow, trailer) for tillage and transport across PTU plots.</w:t>
      </w:r>
      <w:r>
        <w:rPr>
          <w:rFonts w:ascii="Times New Roman" w:hAnsi="Times New Roman" w:cs="Times New Roman"/>
        </w:rPr>
      </w:r>
    </w:p>
    <w:p w14:paraId="5F0E3B39" w14:textId="77777777">
      <w:pPr>
        <w:numPr>
          <w:ilvl w:val="0"/>
          <w:numId w:val="13"/>
        </w:numPr>
        <w:pBdr/>
        <w:spacing/>
        <w:ind/>
        <w:jc w:val="both"/>
        <w:rPr>
          <w:rFonts w:ascii="Times New Roman" w:hAnsi="Times New Roman" w:cs="Times New Roman"/>
        </w:rPr>
      </w:pPr>
      <w:r>
        <w:rPr>
          <w:rFonts w:ascii="Times New Roman" w:hAnsi="Times New Roman" w:eastAsia="Times New Roman" w:cs="Times New Roman"/>
          <w:b/>
          <w:bCs/>
        </w:rPr>
        <w:t xml:space="preserve">Balers (1 Unit per school):</w:t>
      </w:r>
      <w:r>
        <w:rPr>
          <w:rFonts w:ascii="Times New Roman" w:hAnsi="Times New Roman" w:eastAsia="Times New Roman" w:cs="Times New Roman"/>
        </w:rPr>
        <w:t xml:space="preserve"> One baler for training on fodder conservation and haymaking.</w:t>
      </w:r>
      <w:r>
        <w:rPr>
          <w:rFonts w:ascii="Times New Roman" w:hAnsi="Times New Roman" w:cs="Times New Roman"/>
        </w:rPr>
      </w:r>
    </w:p>
    <w:p w14:paraId="4002E06F" w14:textId="77777777">
      <w:pPr>
        <w:numPr>
          <w:ilvl w:val="0"/>
          <w:numId w:val="13"/>
        </w:numPr>
        <w:pBdr/>
        <w:spacing/>
        <w:ind/>
        <w:jc w:val="both"/>
        <w:rPr>
          <w:rFonts w:ascii="Times New Roman" w:hAnsi="Times New Roman" w:cs="Times New Roman"/>
        </w:rPr>
      </w:pPr>
      <w:r>
        <w:rPr>
          <w:rFonts w:ascii="Times New Roman" w:hAnsi="Times New Roman" w:eastAsia="Times New Roman" w:cs="Times New Roman"/>
          <w:b/>
          <w:bCs/>
        </w:rPr>
        <w:t xml:space="preserve">Choppers (Motor-driven/Manual) (2 Units per school):</w:t>
      </w:r>
      <w:r>
        <w:rPr>
          <w:rFonts w:ascii="Times New Roman" w:hAnsi="Times New Roman" w:eastAsia="Times New Roman" w:cs="Times New Roman"/>
        </w:rPr>
        <w:t xml:space="preserve"> Two high-capacity choppers (chaff cutters) to allow smaller groups (10–12 students) to practice processing fodder for the 100 SQM storage unit simultaneously.</w:t>
      </w:r>
      <w:r>
        <w:rPr>
          <w:rFonts w:ascii="Times New Roman" w:hAnsi="Times New Roman" w:cs="Times New Roman"/>
        </w:rPr>
      </w:r>
    </w:p>
    <w:p w14:paraId="4968DD49" w14:textId="7C4C5D08">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ii. Small Farm Machinery (1:5 Ratio Recommended)</w:t>
      </w:r>
      <w:r>
        <w:rPr>
          <w:rFonts w:ascii="Times New Roman" w:hAnsi="Times New Roman" w:eastAsia="Times New Roman" w:cs="Times New Roman"/>
        </w:rPr>
      </w:r>
    </w:p>
    <w:p w14:paraId="56FE26F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To minimize downtime and maximize "learning by doing," a ratio of one machine per five students is generally targeted for small-scale mechanization:</w:t>
      </w:r>
    </w:p>
    <w:p w14:paraId="6F2AA035" w14:textId="77777777">
      <w:pPr>
        <w:numPr>
          <w:ilvl w:val="0"/>
          <w:numId w:val="14"/>
        </w:numPr>
        <w:pBdr/>
        <w:spacing/>
        <w:ind/>
        <w:jc w:val="both"/>
        <w:rPr>
          <w:rFonts w:ascii="Times New Roman" w:hAnsi="Times New Roman" w:cs="Times New Roman"/>
        </w:rPr>
      </w:pPr>
      <w:r>
        <w:rPr>
          <w:rFonts w:ascii="Times New Roman" w:hAnsi="Times New Roman" w:eastAsia="Times New Roman" w:cs="Times New Roman"/>
          <w:b/>
          <w:bCs/>
        </w:rPr>
        <w:t xml:space="preserve">Power Tillers (5 Units per school):</w:t>
      </w:r>
      <w:r>
        <w:rPr>
          <w:rFonts w:ascii="Times New Roman" w:hAnsi="Times New Roman" w:eastAsia="Times New Roman" w:cs="Times New Roman"/>
        </w:rPr>
        <w:t xml:space="preserve"> Allows students to work in small teams to master seedbed preparation.</w:t>
      </w:r>
      <w:r>
        <w:rPr>
          <w:rFonts w:ascii="Times New Roman" w:hAnsi="Times New Roman" w:cs="Times New Roman"/>
        </w:rPr>
      </w:r>
    </w:p>
    <w:p w14:paraId="51510B76" w14:textId="77777777">
      <w:pPr>
        <w:numPr>
          <w:ilvl w:val="0"/>
          <w:numId w:val="14"/>
        </w:numPr>
        <w:pBdr/>
        <w:spacing/>
        <w:ind/>
        <w:jc w:val="both"/>
        <w:rPr>
          <w:rFonts w:ascii="Times New Roman" w:hAnsi="Times New Roman" w:cs="Times New Roman"/>
        </w:rPr>
      </w:pPr>
      <w:r>
        <w:rPr>
          <w:rFonts w:ascii="Times New Roman" w:hAnsi="Times New Roman" w:eastAsia="Times New Roman" w:cs="Times New Roman"/>
          <w:b/>
          <w:bCs/>
        </w:rPr>
        <w:t xml:space="preserve">Motorized Knapsack Sprayers (5 Units per school):</w:t>
      </w:r>
      <w:r>
        <w:rPr>
          <w:rFonts w:ascii="Times New Roman" w:hAnsi="Times New Roman" w:eastAsia="Times New Roman" w:cs="Times New Roman"/>
        </w:rPr>
        <w:t xml:space="preserve"> Essential for training in integrated pest management and crop protection across different plots.</w:t>
      </w:r>
      <w:r>
        <w:rPr>
          <w:rFonts w:ascii="Times New Roman" w:hAnsi="Times New Roman" w:cs="Times New Roman"/>
        </w:rPr>
      </w:r>
    </w:p>
    <w:p w14:paraId="2D319199" w14:textId="77777777">
      <w:pPr>
        <w:numPr>
          <w:ilvl w:val="0"/>
          <w:numId w:val="14"/>
        </w:numPr>
        <w:pBdr/>
        <w:spacing/>
        <w:ind/>
        <w:jc w:val="both"/>
        <w:rPr>
          <w:rFonts w:ascii="Times New Roman" w:hAnsi="Times New Roman" w:cs="Times New Roman"/>
        </w:rPr>
      </w:pPr>
      <w:r>
        <w:rPr>
          <w:rFonts w:ascii="Times New Roman" w:hAnsi="Times New Roman" w:eastAsia="Times New Roman" w:cs="Times New Roman"/>
          <w:b/>
          <w:bCs/>
        </w:rPr>
        <w:t xml:space="preserve">Brush Cutters (5 Units per school):</w:t>
      </w:r>
      <w:r>
        <w:rPr>
          <w:rFonts w:ascii="Times New Roman" w:hAnsi="Times New Roman" w:eastAsia="Times New Roman" w:cs="Times New Roman"/>
        </w:rPr>
        <w:t xml:space="preserve"> Used for plot maintenance and fodder harvesting training.</w:t>
      </w:r>
      <w:r>
        <w:rPr>
          <w:rFonts w:ascii="Times New Roman" w:hAnsi="Times New Roman" w:cs="Times New Roman"/>
        </w:rPr>
      </w:r>
    </w:p>
    <w:p w14:paraId="61AB6B5A" w14:textId="77777777">
      <w:pPr>
        <w:numPr>
          <w:ilvl w:val="0"/>
          <w:numId w:val="14"/>
        </w:numPr>
        <w:pBdr/>
        <w:spacing/>
        <w:ind/>
        <w:jc w:val="both"/>
        <w:rPr>
          <w:rFonts w:ascii="Times New Roman" w:hAnsi="Times New Roman" w:cs="Times New Roman"/>
        </w:rPr>
      </w:pPr>
      <w:r>
        <w:rPr>
          <w:rFonts w:ascii="Times New Roman" w:hAnsi="Times New Roman" w:eastAsia="Times New Roman" w:cs="Times New Roman"/>
          <w:b/>
          <w:bCs/>
        </w:rPr>
        <w:t xml:space="preserve">Water Pumps (3 Units per school):</w:t>
      </w:r>
      <w:r>
        <w:rPr>
          <w:rFonts w:ascii="Times New Roman" w:hAnsi="Times New Roman" w:eastAsia="Times New Roman" w:cs="Times New Roman"/>
        </w:rPr>
        <w:t xml:space="preserve"> Including both solar-powered and portable units to support training in micro-irrigation and water distribution.</w:t>
      </w:r>
      <w:r>
        <w:rPr>
          <w:rFonts w:ascii="Times New Roman" w:hAnsi="Times New Roman" w:cs="Times New Roman"/>
        </w:rPr>
      </w:r>
    </w:p>
    <w:p w14:paraId="0842548F" w14:textId="6EA2AE04">
      <w:p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iii. Small Farm Tools (1:1 Ratio for Core Implements)</w:t>
      </w:r>
      <w:r>
        <w:rPr>
          <w:rFonts w:ascii="Times New Roman" w:hAnsi="Times New Roman" w:eastAsia="Times New Roman" w:cs="Times New Roman"/>
        </w:rPr>
      </w:r>
    </w:p>
    <w:p w14:paraId="73B2A4E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For basic agronomic tasks, every student in the cohort should have their own set of tools to ensure full participation in field activities:</w:t>
      </w:r>
    </w:p>
    <w:p w14:paraId="276CF92D" w14:textId="77777777">
      <w:pPr>
        <w:numPr>
          <w:ilvl w:val="0"/>
          <w:numId w:val="15"/>
        </w:numPr>
        <w:pBdr/>
        <w:spacing/>
        <w:ind/>
        <w:jc w:val="both"/>
        <w:rPr>
          <w:rFonts w:ascii="Times New Roman" w:hAnsi="Times New Roman" w:cs="Times New Roman"/>
        </w:rPr>
      </w:pPr>
      <w:r>
        <w:rPr>
          <w:rFonts w:ascii="Times New Roman" w:hAnsi="Times New Roman" w:eastAsia="Times New Roman" w:cs="Times New Roman"/>
          <w:b/>
          <w:bCs/>
        </w:rPr>
        <w:t xml:space="preserve">Hoes (25 Units):</w:t>
      </w:r>
      <w:r>
        <w:rPr>
          <w:rFonts w:ascii="Times New Roman" w:hAnsi="Times New Roman" w:eastAsia="Times New Roman" w:cs="Times New Roman"/>
        </w:rPr>
        <w:t xml:space="preserve"> One per student for land preparation, weeding, and ridging.</w:t>
      </w:r>
      <w:r>
        <w:rPr>
          <w:rFonts w:ascii="Times New Roman" w:hAnsi="Times New Roman" w:cs="Times New Roman"/>
        </w:rPr>
      </w:r>
    </w:p>
    <w:p w14:paraId="1AA0034C" w14:textId="77777777">
      <w:pPr>
        <w:numPr>
          <w:ilvl w:val="0"/>
          <w:numId w:val="15"/>
        </w:numPr>
        <w:pBdr/>
        <w:spacing/>
        <w:ind/>
        <w:jc w:val="both"/>
        <w:rPr>
          <w:rFonts w:ascii="Times New Roman" w:hAnsi="Times New Roman" w:cs="Times New Roman"/>
        </w:rPr>
      </w:pPr>
      <w:r>
        <w:rPr>
          <w:rFonts w:ascii="Times New Roman" w:hAnsi="Times New Roman" w:eastAsia="Times New Roman" w:cs="Times New Roman"/>
          <w:b/>
          <w:bCs/>
        </w:rPr>
        <w:t xml:space="preserve">Rakes (25 Units):</w:t>
      </w:r>
      <w:r>
        <w:rPr>
          <w:rFonts w:ascii="Times New Roman" w:hAnsi="Times New Roman" w:eastAsia="Times New Roman" w:cs="Times New Roman"/>
        </w:rPr>
        <w:t xml:space="preserve"> One per student for leveling seedbeds and cleaning plots.</w:t>
      </w:r>
      <w:r>
        <w:rPr>
          <w:rFonts w:ascii="Times New Roman" w:hAnsi="Times New Roman" w:cs="Times New Roman"/>
        </w:rPr>
      </w:r>
    </w:p>
    <w:p w14:paraId="07AB4D2F" w14:textId="77777777">
      <w:pPr>
        <w:numPr>
          <w:ilvl w:val="0"/>
          <w:numId w:val="15"/>
        </w:numPr>
        <w:pBdr/>
        <w:spacing/>
        <w:ind/>
        <w:jc w:val="both"/>
        <w:rPr>
          <w:rFonts w:ascii="Times New Roman" w:hAnsi="Times New Roman" w:cs="Times New Roman"/>
        </w:rPr>
      </w:pPr>
      <w:r>
        <w:rPr>
          <w:rFonts w:ascii="Times New Roman" w:hAnsi="Times New Roman" w:eastAsia="Times New Roman" w:cs="Times New Roman"/>
          <w:b/>
          <w:bCs/>
        </w:rPr>
        <w:t xml:space="preserve">Shovels/Spades (25 Units):</w:t>
      </w:r>
      <w:r>
        <w:rPr>
          <w:rFonts w:ascii="Times New Roman" w:hAnsi="Times New Roman" w:eastAsia="Times New Roman" w:cs="Times New Roman"/>
        </w:rPr>
        <w:t xml:space="preserve"> One per student for composting, nursery work, and soil management.</w:t>
      </w:r>
      <w:r>
        <w:rPr>
          <w:rFonts w:ascii="Times New Roman" w:hAnsi="Times New Roman" w:cs="Times New Roman"/>
        </w:rPr>
      </w:r>
    </w:p>
    <w:p w14:paraId="51BCBDFE" w14:textId="77777777">
      <w:pPr>
        <w:numPr>
          <w:ilvl w:val="0"/>
          <w:numId w:val="15"/>
        </w:numPr>
        <w:pBdr/>
        <w:spacing/>
        <w:ind/>
        <w:jc w:val="both"/>
        <w:rPr>
          <w:rFonts w:ascii="Times New Roman" w:hAnsi="Times New Roman" w:cs="Times New Roman"/>
        </w:rPr>
      </w:pPr>
      <w:r>
        <w:rPr>
          <w:rFonts w:ascii="Times New Roman" w:hAnsi="Times New Roman" w:eastAsia="Times New Roman" w:cs="Times New Roman"/>
          <w:b/>
          <w:bCs/>
        </w:rPr>
        <w:t xml:space="preserve">Pruning Shears/Secateurs (25 Units):</w:t>
      </w:r>
      <w:r>
        <w:rPr>
          <w:rFonts w:ascii="Times New Roman" w:hAnsi="Times New Roman" w:eastAsia="Times New Roman" w:cs="Times New Roman"/>
        </w:rPr>
        <w:t xml:space="preserve"> One per student for training in specialized horticulture, orchard management, and grafting.</w:t>
      </w:r>
      <w:r>
        <w:rPr>
          <w:rFonts w:ascii="Times New Roman" w:hAnsi="Times New Roman" w:cs="Times New Roman"/>
        </w:rPr>
      </w:r>
    </w:p>
    <w:p w14:paraId="50D1A2C6" w14:textId="48EF8836">
      <w:pPr>
        <w:pStyle w:val="819"/>
        <w:numPr>
          <w:ilvl w:val="0"/>
          <w:numId w:val="4"/>
        </w:numPr>
        <w:pBdr/>
        <w:spacing/>
        <w:ind/>
        <w:jc w:val="both"/>
        <w:rPr>
          <w:rFonts w:ascii="Times New Roman" w:hAnsi="Times New Roman" w:eastAsia="Times New Roman" w:cs="Times New Roman"/>
        </w:rPr>
      </w:pPr>
      <w:r>
        <w:rPr>
          <w:rFonts w:ascii="Times New Roman" w:hAnsi="Times New Roman" w:eastAsia="Times New Roman" w:cs="Times New Roman"/>
          <w:b/>
          <w:bCs/>
        </w:rPr>
        <w:t xml:space="preserve">Support Equipment</w:t>
      </w:r>
      <w:r>
        <w:rPr>
          <w:rFonts w:ascii="Times New Roman" w:hAnsi="Times New Roman" w:eastAsia="Times New Roman" w:cs="Times New Roman"/>
        </w:rPr>
      </w:r>
    </w:p>
    <w:p w14:paraId="155E562E"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To facilitate these 25 students, the </w:t>
      </w:r>
      <w:r>
        <w:rPr>
          <w:rFonts w:ascii="Times New Roman" w:hAnsi="Times New Roman" w:eastAsia="Times New Roman" w:cs="Times New Roman"/>
          <w:b/>
          <w:bCs/>
        </w:rPr>
        <w:t xml:space="preserve">Tool &amp; Mini Garage</w:t>
      </w:r>
      <w:r>
        <w:rPr>
          <w:rFonts w:ascii="Times New Roman" w:hAnsi="Times New Roman" w:eastAsia="Times New Roman" w:cs="Times New Roman"/>
        </w:rPr>
        <w:t xml:space="preserve"> also requires:</w:t>
      </w:r>
    </w:p>
    <w:p w14:paraId="5F1CEACA" w14:textId="77777777">
      <w:pPr>
        <w:numPr>
          <w:ilvl w:val="0"/>
          <w:numId w:val="16"/>
        </w:numPr>
        <w:pBdr/>
        <w:spacing/>
        <w:ind/>
        <w:jc w:val="both"/>
        <w:rPr>
          <w:rFonts w:ascii="Times New Roman" w:hAnsi="Times New Roman" w:cs="Times New Roman"/>
        </w:rPr>
      </w:pPr>
      <w:r>
        <w:rPr>
          <w:rFonts w:ascii="Times New Roman" w:hAnsi="Times New Roman" w:eastAsia="Times New Roman" w:cs="Times New Roman"/>
          <w:b/>
          <w:bCs/>
        </w:rPr>
        <w:t xml:space="preserve">Wheelbarrows (10 Units per school):</w:t>
      </w:r>
      <w:r>
        <w:rPr>
          <w:rFonts w:ascii="Times New Roman" w:hAnsi="Times New Roman" w:eastAsia="Times New Roman" w:cs="Times New Roman"/>
        </w:rPr>
        <w:t xml:space="preserve"> For transporting inputs, compost, and harvested crops.</w:t>
      </w:r>
      <w:r>
        <w:rPr>
          <w:rFonts w:ascii="Times New Roman" w:hAnsi="Times New Roman" w:cs="Times New Roman"/>
        </w:rPr>
      </w:r>
    </w:p>
    <w:p w14:paraId="73683D8B" w14:textId="77777777">
      <w:pPr>
        <w:numPr>
          <w:ilvl w:val="0"/>
          <w:numId w:val="16"/>
        </w:numPr>
        <w:pBdr/>
        <w:spacing/>
        <w:ind/>
        <w:jc w:val="both"/>
        <w:rPr>
          <w:rFonts w:ascii="Times New Roman" w:hAnsi="Times New Roman" w:cs="Times New Roman"/>
        </w:rPr>
      </w:pPr>
      <w:r>
        <w:rPr>
          <w:rFonts w:ascii="Times New Roman" w:hAnsi="Times New Roman" w:eastAsia="Times New Roman" w:cs="Times New Roman"/>
          <w:b/>
          <w:bCs/>
        </w:rPr>
        <w:t xml:space="preserve">Watering Cans (15 Units per school):</w:t>
      </w:r>
      <w:r>
        <w:rPr>
          <w:rFonts w:ascii="Times New Roman" w:hAnsi="Times New Roman" w:eastAsia="Times New Roman" w:cs="Times New Roman"/>
        </w:rPr>
        <w:t xml:space="preserve"> To support nursery management and transplanting activities.</w:t>
      </w:r>
      <w:r>
        <w:rPr>
          <w:rFonts w:ascii="Times New Roman" w:hAnsi="Times New Roman" w:cs="Times New Roman"/>
        </w:rPr>
      </w:r>
    </w:p>
    <w:p w14:paraId="010DE87F" w14:textId="77777777">
      <w:pPr>
        <w:numPr>
          <w:ilvl w:val="0"/>
          <w:numId w:val="16"/>
        </w:numPr>
        <w:pBdr/>
        <w:spacing/>
        <w:ind/>
        <w:jc w:val="both"/>
        <w:rPr>
          <w:rFonts w:ascii="Times New Roman" w:hAnsi="Times New Roman" w:cs="Times New Roman"/>
        </w:rPr>
      </w:pPr>
      <w:r>
        <w:rPr>
          <w:rFonts w:ascii="Times New Roman" w:hAnsi="Times New Roman" w:eastAsia="Times New Roman" w:cs="Times New Roman"/>
          <w:b/>
          <w:bCs/>
        </w:rPr>
        <w:t xml:space="preserve">Personal Protective Equipment (PPE) (25 Sets per school per cohort):</w:t>
      </w:r>
      <w:r>
        <w:rPr>
          <w:rFonts w:ascii="Times New Roman" w:hAnsi="Times New Roman" w:eastAsia="Times New Roman" w:cs="Times New Roman"/>
        </w:rPr>
        <w:t xml:space="preserve"> Mandatory for all students to ensure safety during machinery operation and chemical application.</w:t>
      </w:r>
      <w:r>
        <w:rPr>
          <w:rFonts w:ascii="Times New Roman" w:hAnsi="Times New Roman" w:cs="Times New Roman"/>
        </w:rPr>
      </w:r>
    </w:p>
    <w:p w14:paraId="0D9D124D"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These quantities allow for a rotation system where one sub-group works with heavy machinery under instructor supervision, while other sub-groups utilize small machinery and hand tools in the open-field or greenhouse plots. This ensures the 150 SQM storage and training space is used efficiently without overcrowding.</w:t>
      </w:r>
    </w:p>
    <w:p w14:paraId="6AD62136" w14:textId="1353004D">
      <w:pPr>
        <w:pStyle w:val="828"/>
        <w:pBdr/>
        <w:spacing/>
        <w:ind/>
        <w:rPr>
          <w:rFonts w:ascii="Times New Roman" w:hAnsi="Times New Roman" w:eastAsia="Times New Roman" w:cs="Times New Roman"/>
          <w:b/>
          <w:bCs/>
          <w:i w:val="0"/>
          <w:color w:val="000000" w:themeColor="text1"/>
          <w:sz w:val="24"/>
          <w:szCs w:val="24"/>
        </w:rPr>
      </w:pPr>
      <w:r/>
      <w:bookmarkStart w:id="28" w:name="_Toc233888975"/>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11</w:t>
        <w:fldChar w:fldCharType="end"/>
      </w:r>
      <w:r>
        <w:rPr>
          <w:rFonts w:ascii="Times New Roman" w:hAnsi="Times New Roman" w:eastAsia="Times New Roman" w:cs="Times New Roman"/>
          <w:b/>
          <w:bCs/>
          <w:i w:val="0"/>
          <w:color w:val="000000" w:themeColor="text1"/>
          <w:sz w:val="24"/>
          <w:szCs w:val="24"/>
        </w:rPr>
        <w:t xml:space="preserve">: Integrated Wastewater Treatment &amp; Tool/Mini Garage – Equipment &amp; Tools Specifications</w:t>
      </w:r>
      <w:bookmarkEnd w:id="28"/>
      <w:r/>
      <w:r>
        <w:rPr>
          <w:rFonts w:ascii="Times New Roman" w:hAnsi="Times New Roman" w:eastAsia="Times New Roman" w:cs="Times New Roman"/>
          <w:b/>
          <w:bCs/>
          <w:i w:val="0"/>
          <w:color w:val="000000" w:themeColor="text1"/>
          <w:sz w:val="24"/>
          <w:szCs w:val="24"/>
        </w:rPr>
      </w:r>
    </w:p>
    <w:tbl>
      <w:tblPr>
        <w:tblStyle w:val="822"/>
        <w:tblW w:w="0" w:type="auto"/>
        <w:tblBorders/>
        <w:tblLook w:val="04A0" w:firstRow="1" w:lastRow="0" w:firstColumn="1" w:lastColumn="0" w:noHBand="0" w:noVBand="1"/>
      </w:tblPr>
      <w:tblGrid>
        <w:gridCol w:w="2933"/>
        <w:gridCol w:w="2611"/>
        <w:gridCol w:w="4346"/>
      </w:tblGrid>
      <w:tr>
        <w:trPr/>
        <w:tc>
          <w:tcPr>
            <w:tcBorders/>
            <w:tcW w:w="0" w:type="auto"/>
            <w:textDirection w:val="lrTb"/>
            <w:noWrap w:val="false"/>
          </w:tcPr>
          <w:p w14:paraId="7233D49A"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Category</w:t>
            </w:r>
          </w:p>
        </w:tc>
        <w:tc>
          <w:tcPr>
            <w:tcBorders/>
            <w:tcW w:w="0" w:type="auto"/>
            <w:textDirection w:val="lrTb"/>
            <w:noWrap w:val="false"/>
          </w:tcPr>
          <w:p w14:paraId="49701CF1"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Equipment/Tools</w:t>
            </w:r>
          </w:p>
        </w:tc>
        <w:tc>
          <w:tcPr>
            <w:tcBorders/>
            <w:tcW w:w="0" w:type="auto"/>
            <w:textDirection w:val="lrTb"/>
            <w:noWrap w:val="false"/>
          </w:tcPr>
          <w:p w14:paraId="6D133346"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Recommended Specifications</w:t>
            </w:r>
          </w:p>
        </w:tc>
      </w:tr>
      <w:tr>
        <w:trPr/>
        <w:tc>
          <w:tcPr>
            <w:tcBorders/>
            <w:tcW w:w="0" w:type="auto"/>
            <w:vMerge w:val="restart"/>
            <w:textDirection w:val="lrTb"/>
            <w:noWrap w:val="false"/>
          </w:tcPr>
          <w:p w14:paraId="48E7DB5C"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Wastewater Treatment Facility</w:t>
            </w:r>
          </w:p>
        </w:tc>
        <w:tc>
          <w:tcPr>
            <w:tcBorders/>
            <w:tcW w:w="0" w:type="auto"/>
            <w:textDirection w:val="lrTb"/>
            <w:noWrap w:val="false"/>
          </w:tcPr>
          <w:p w14:paraId="01D7374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Recycling pumps</w:t>
            </w:r>
          </w:p>
        </w:tc>
        <w:tc>
          <w:tcPr>
            <w:tcBorders/>
            <w:tcW w:w="0" w:type="auto"/>
            <w:textDirection w:val="lrTb"/>
            <w:noWrap w:val="false"/>
          </w:tcPr>
          <w:p w14:paraId="38709D5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HP centrifugal/solar-powered, 200–300 L/min</w:t>
            </w:r>
          </w:p>
        </w:tc>
      </w:tr>
      <w:tr>
        <w:trPr/>
        <w:tc>
          <w:tcPr>
            <w:tcBorders/>
            <w:tcW w:w="0" w:type="auto"/>
            <w:vMerge w:val="continue"/>
            <w:textDirection w:val="lrTb"/>
            <w:noWrap w:val="false"/>
          </w:tcPr>
          <w:p w14:paraId="6CD7A37F"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7A8226B"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Water quality testing lab</w:t>
            </w:r>
          </w:p>
        </w:tc>
        <w:tc>
          <w:tcPr>
            <w:tcBorders/>
            <w:tcW w:w="0" w:type="auto"/>
            <w:textDirection w:val="lrTb"/>
            <w:noWrap w:val="false"/>
          </w:tcPr>
          <w:p w14:paraId="783D3045"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Equipped with pH meters, EC meters, turbidity meters</w:t>
            </w:r>
          </w:p>
        </w:tc>
      </w:tr>
      <w:tr>
        <w:trPr/>
        <w:tc>
          <w:tcPr>
            <w:tcBorders/>
            <w:tcW w:w="0" w:type="auto"/>
            <w:vMerge w:val="continue"/>
            <w:textDirection w:val="lrTb"/>
            <w:noWrap w:val="false"/>
          </w:tcPr>
          <w:p w14:paraId="4BDCEBEC"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553997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Water testing kits</w:t>
            </w:r>
          </w:p>
        </w:tc>
        <w:tc>
          <w:tcPr>
            <w:tcBorders/>
            <w:tcW w:w="0" w:type="auto"/>
            <w:textDirection w:val="lrTb"/>
            <w:noWrap w:val="false"/>
          </w:tcPr>
          <w:p w14:paraId="23347208"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Portable, multi-parameter (pH, nitrate, phosphate, EC)</w:t>
            </w:r>
          </w:p>
        </w:tc>
      </w:tr>
      <w:tr>
        <w:trPr/>
        <w:tc>
          <w:tcPr>
            <w:tcBorders/>
            <w:tcW w:w="0" w:type="auto"/>
            <w:vMerge w:val="continue"/>
            <w:textDirection w:val="lrTb"/>
            <w:noWrap w:val="false"/>
          </w:tcPr>
          <w:p w14:paraId="6E3E1C3F"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FCE9AFD"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Sampling containers</w:t>
            </w:r>
          </w:p>
        </w:tc>
        <w:tc>
          <w:tcPr>
            <w:tcBorders/>
            <w:tcW w:w="0" w:type="auto"/>
            <w:textDirection w:val="lrTb"/>
            <w:noWrap w:val="false"/>
          </w:tcPr>
          <w:p w14:paraId="141CD0BA"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1–2 L, sterilized, food-grade plastic/glass</w:t>
            </w:r>
          </w:p>
        </w:tc>
      </w:tr>
      <w:tr>
        <w:trPr/>
        <w:tc>
          <w:tcPr>
            <w:tcBorders/>
            <w:tcW w:w="0" w:type="auto"/>
            <w:vMerge w:val="continue"/>
            <w:textDirection w:val="lrTb"/>
            <w:noWrap w:val="false"/>
          </w:tcPr>
          <w:p w14:paraId="3FD2E943"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94B915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IoT sensors</w:t>
            </w:r>
          </w:p>
        </w:tc>
        <w:tc>
          <w:tcPr>
            <w:tcBorders/>
            <w:tcW w:w="0" w:type="auto"/>
            <w:textDirection w:val="lrTb"/>
            <w:noWrap w:val="false"/>
          </w:tcPr>
          <w:p w14:paraId="0313CD4A"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Real-time monitoring of water quality (pH, EC, turbidity)</w:t>
            </w:r>
          </w:p>
        </w:tc>
      </w:tr>
      <w:tr>
        <w:trPr/>
        <w:tc>
          <w:tcPr>
            <w:tcBorders/>
            <w:tcW w:w="0" w:type="auto"/>
            <w:vMerge w:val="continue"/>
            <w:textDirection w:val="lrTb"/>
            <w:noWrap w:val="false"/>
          </w:tcPr>
          <w:p w14:paraId="783AFF9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A6C997B"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Tools</w:t>
            </w:r>
          </w:p>
        </w:tc>
        <w:tc>
          <w:tcPr>
            <w:tcBorders/>
            <w:tcW w:w="0" w:type="auto"/>
            <w:textDirection w:val="lrTb"/>
            <w:noWrap w:val="false"/>
          </w:tcPr>
          <w:p w14:paraId="0348B1C5"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Protective gloves, goggles, lab coats (25 sets), notebooks</w:t>
            </w:r>
          </w:p>
        </w:tc>
      </w:tr>
      <w:tr>
        <w:trPr/>
        <w:tc>
          <w:tcPr>
            <w:tcBorders/>
            <w:tcW w:w="0" w:type="auto"/>
            <w:vMerge w:val="restart"/>
            <w:textDirection w:val="lrTb"/>
            <w:noWrap w:val="false"/>
          </w:tcPr>
          <w:p w14:paraId="09EED8F2"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Heavy Machinery – Group Training</w:t>
            </w:r>
          </w:p>
        </w:tc>
        <w:tc>
          <w:tcPr>
            <w:tcBorders/>
            <w:tcW w:w="0" w:type="auto"/>
            <w:textDirection w:val="lrTb"/>
            <w:noWrap w:val="false"/>
          </w:tcPr>
          <w:p w14:paraId="2B055FC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Tractors &amp; attachments</w:t>
            </w:r>
          </w:p>
        </w:tc>
        <w:tc>
          <w:tcPr>
            <w:tcBorders/>
            <w:tcW w:w="0" w:type="auto"/>
            <w:textDirection w:val="lrTb"/>
            <w:noWrap w:val="false"/>
          </w:tcPr>
          <w:p w14:paraId="08393BE7"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3 versatile tractors per school, with plough, harrow, trailer</w:t>
            </w:r>
          </w:p>
        </w:tc>
      </w:tr>
      <w:tr>
        <w:trPr/>
        <w:tc>
          <w:tcPr>
            <w:tcBorders/>
            <w:tcW w:w="0" w:type="auto"/>
            <w:vMerge w:val="continue"/>
            <w:textDirection w:val="lrTb"/>
            <w:noWrap w:val="false"/>
          </w:tcPr>
          <w:p w14:paraId="3DB95E61"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B667E97"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Balers</w:t>
            </w:r>
          </w:p>
        </w:tc>
        <w:tc>
          <w:tcPr>
            <w:tcBorders/>
            <w:tcW w:w="0" w:type="auto"/>
            <w:textDirection w:val="lrTb"/>
            <w:noWrap w:val="false"/>
          </w:tcPr>
          <w:p w14:paraId="7613280A"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 unit per school, 200–300 kg/hr</w:t>
            </w:r>
          </w:p>
        </w:tc>
      </w:tr>
      <w:tr>
        <w:trPr/>
        <w:tc>
          <w:tcPr>
            <w:tcBorders/>
            <w:tcW w:w="0" w:type="auto"/>
            <w:vMerge w:val="continue"/>
            <w:textDirection w:val="lrTb"/>
            <w:noWrap w:val="false"/>
          </w:tcPr>
          <w:p w14:paraId="4805ACA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1CBE5C3D"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Choppers (fodder cutters)</w:t>
            </w:r>
          </w:p>
        </w:tc>
        <w:tc>
          <w:tcPr>
            <w:tcBorders/>
            <w:tcW w:w="0" w:type="auto"/>
            <w:textDirection w:val="lrTb"/>
            <w:noWrap w:val="false"/>
          </w:tcPr>
          <w:p w14:paraId="4DE55F82"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 units per school, 200–300 kg/hr</w:t>
            </w:r>
          </w:p>
        </w:tc>
      </w:tr>
      <w:tr>
        <w:trPr/>
        <w:tc>
          <w:tcPr>
            <w:tcBorders/>
            <w:tcW w:w="0" w:type="auto"/>
            <w:vMerge w:val="restart"/>
            <w:textDirection w:val="lrTb"/>
            <w:noWrap w:val="false"/>
          </w:tcPr>
          <w:p w14:paraId="25B4DE2F"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Small Farm Machinery – 1:5 Ratio</w:t>
            </w:r>
          </w:p>
        </w:tc>
        <w:tc>
          <w:tcPr>
            <w:tcBorders/>
            <w:tcW w:w="0" w:type="auto"/>
            <w:textDirection w:val="lrTb"/>
            <w:noWrap w:val="false"/>
          </w:tcPr>
          <w:p w14:paraId="26BC714A"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Power tillers</w:t>
            </w:r>
          </w:p>
        </w:tc>
        <w:tc>
          <w:tcPr>
            <w:tcBorders/>
            <w:tcW w:w="0" w:type="auto"/>
            <w:textDirection w:val="lrTb"/>
            <w:noWrap w:val="false"/>
          </w:tcPr>
          <w:p w14:paraId="2652F0E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 units per school, 5–12 HP</w:t>
            </w:r>
          </w:p>
        </w:tc>
      </w:tr>
      <w:tr>
        <w:trPr/>
        <w:tc>
          <w:tcPr>
            <w:tcBorders/>
            <w:tcW w:w="0" w:type="auto"/>
            <w:vMerge w:val="continue"/>
            <w:textDirection w:val="lrTb"/>
            <w:noWrap w:val="false"/>
          </w:tcPr>
          <w:p w14:paraId="734D9CD2"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386258B"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Motorized knapsack sprayers</w:t>
            </w:r>
          </w:p>
        </w:tc>
        <w:tc>
          <w:tcPr>
            <w:tcBorders/>
            <w:tcW w:w="0" w:type="auto"/>
            <w:textDirection w:val="lrTb"/>
            <w:noWrap w:val="false"/>
          </w:tcPr>
          <w:p w14:paraId="4C5B05B6"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 units per school, 16–20 L</w:t>
            </w:r>
          </w:p>
        </w:tc>
      </w:tr>
      <w:tr>
        <w:trPr/>
        <w:tc>
          <w:tcPr>
            <w:tcBorders/>
            <w:tcW w:w="0" w:type="auto"/>
            <w:vMerge w:val="continue"/>
            <w:textDirection w:val="lrTb"/>
            <w:noWrap w:val="false"/>
          </w:tcPr>
          <w:p w14:paraId="4C9B2ECA"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85EE2E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Brush cutters</w:t>
            </w:r>
          </w:p>
        </w:tc>
        <w:tc>
          <w:tcPr>
            <w:tcBorders/>
            <w:tcW w:w="0" w:type="auto"/>
            <w:textDirection w:val="lrTb"/>
            <w:noWrap w:val="false"/>
          </w:tcPr>
          <w:p w14:paraId="6B34C5B6"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5 units per school, 1.2–2.0 kW</w:t>
            </w:r>
          </w:p>
        </w:tc>
      </w:tr>
      <w:tr>
        <w:trPr/>
        <w:tc>
          <w:tcPr>
            <w:tcBorders/>
            <w:tcW w:w="0" w:type="auto"/>
            <w:vMerge w:val="continue"/>
            <w:textDirection w:val="lrTb"/>
            <w:noWrap w:val="false"/>
          </w:tcPr>
          <w:p w14:paraId="0C2722C5"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46D8F85"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Water pumps</w:t>
            </w:r>
          </w:p>
        </w:tc>
        <w:tc>
          <w:tcPr>
            <w:tcBorders/>
            <w:tcW w:w="0" w:type="auto"/>
            <w:textDirection w:val="lrTb"/>
            <w:noWrap w:val="false"/>
          </w:tcPr>
          <w:p w14:paraId="0A27C4C0"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3 units per school, solar + portable, 2–5 HP</w:t>
            </w:r>
          </w:p>
        </w:tc>
      </w:tr>
      <w:tr>
        <w:trPr/>
        <w:tc>
          <w:tcPr>
            <w:tcBorders/>
            <w:tcW w:w="0" w:type="auto"/>
            <w:vMerge w:val="restart"/>
            <w:textDirection w:val="lrTb"/>
            <w:noWrap w:val="false"/>
          </w:tcPr>
          <w:p w14:paraId="323FF949"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Small Farm Tools – 1:1 Ratio</w:t>
            </w:r>
          </w:p>
        </w:tc>
        <w:tc>
          <w:tcPr>
            <w:tcBorders/>
            <w:tcW w:w="0" w:type="auto"/>
            <w:textDirection w:val="lrTb"/>
            <w:noWrap w:val="false"/>
          </w:tcPr>
          <w:p w14:paraId="5B4B3D56"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Hoes</w:t>
            </w:r>
          </w:p>
        </w:tc>
        <w:tc>
          <w:tcPr>
            <w:tcBorders/>
            <w:tcW w:w="0" w:type="auto"/>
            <w:textDirection w:val="lrTb"/>
            <w:noWrap w:val="false"/>
          </w:tcPr>
          <w:p w14:paraId="707CE195"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units, hardened steel</w:t>
            </w:r>
          </w:p>
        </w:tc>
      </w:tr>
      <w:tr>
        <w:trPr/>
        <w:tc>
          <w:tcPr>
            <w:tcBorders/>
            <w:tcW w:w="0" w:type="auto"/>
            <w:vMerge w:val="continue"/>
            <w:textDirection w:val="lrTb"/>
            <w:noWrap w:val="false"/>
          </w:tcPr>
          <w:p w14:paraId="17ECE313"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5D01596"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Rakes</w:t>
            </w:r>
          </w:p>
        </w:tc>
        <w:tc>
          <w:tcPr>
            <w:tcBorders/>
            <w:tcW w:w="0" w:type="auto"/>
            <w:textDirection w:val="lrTb"/>
            <w:noWrap w:val="false"/>
          </w:tcPr>
          <w:p w14:paraId="4AD9097D"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units, reinforced steel</w:t>
            </w:r>
          </w:p>
        </w:tc>
      </w:tr>
      <w:tr>
        <w:trPr/>
        <w:tc>
          <w:tcPr>
            <w:tcBorders/>
            <w:tcW w:w="0" w:type="auto"/>
            <w:vMerge w:val="continue"/>
            <w:textDirection w:val="lrTb"/>
            <w:noWrap w:val="false"/>
          </w:tcPr>
          <w:p w14:paraId="5AB53233"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453B4C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Shovels/Spades</w:t>
            </w:r>
          </w:p>
        </w:tc>
        <w:tc>
          <w:tcPr>
            <w:tcBorders/>
            <w:tcW w:w="0" w:type="auto"/>
            <w:textDirection w:val="lrTb"/>
            <w:noWrap w:val="false"/>
          </w:tcPr>
          <w:p w14:paraId="4A4C315B"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units, heavy-duty</w:t>
            </w:r>
          </w:p>
        </w:tc>
      </w:tr>
      <w:tr>
        <w:trPr/>
        <w:tc>
          <w:tcPr>
            <w:tcBorders/>
            <w:tcW w:w="0" w:type="auto"/>
            <w:vMerge w:val="continue"/>
            <w:textDirection w:val="lrTb"/>
            <w:noWrap w:val="false"/>
          </w:tcPr>
          <w:p w14:paraId="06C2D367"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7B34D4D4"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Pruning shears/secateurs</w:t>
            </w:r>
          </w:p>
        </w:tc>
        <w:tc>
          <w:tcPr>
            <w:tcBorders/>
            <w:tcW w:w="0" w:type="auto"/>
            <w:textDirection w:val="lrTb"/>
            <w:noWrap w:val="false"/>
          </w:tcPr>
          <w:p w14:paraId="34D5D4FC"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units, stainless steel</w:t>
            </w:r>
          </w:p>
        </w:tc>
      </w:tr>
      <w:tr>
        <w:trPr/>
        <w:tc>
          <w:tcPr>
            <w:tcBorders/>
            <w:tcW w:w="0" w:type="auto"/>
            <w:vMerge w:val="restart"/>
            <w:textDirection w:val="lrTb"/>
            <w:noWrap w:val="false"/>
          </w:tcPr>
          <w:p w14:paraId="0134D2AE" w14:textId="77777777">
            <w:pPr>
              <w:pBdr/>
              <w:spacing w:line="278" w:lineRule="auto"/>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Support Equipment</w:t>
            </w:r>
          </w:p>
        </w:tc>
        <w:tc>
          <w:tcPr>
            <w:tcBorders/>
            <w:tcW w:w="0" w:type="auto"/>
            <w:textDirection w:val="lrTb"/>
            <w:noWrap w:val="false"/>
          </w:tcPr>
          <w:p w14:paraId="62831987"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Wheelbarrows</w:t>
            </w:r>
          </w:p>
        </w:tc>
        <w:tc>
          <w:tcPr>
            <w:tcBorders/>
            <w:tcW w:w="0" w:type="auto"/>
            <w:textDirection w:val="lrTb"/>
            <w:noWrap w:val="false"/>
          </w:tcPr>
          <w:p w14:paraId="5A773259"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10 units per school, 100–150 L</w:t>
            </w:r>
          </w:p>
        </w:tc>
      </w:tr>
      <w:tr>
        <w:trPr/>
        <w:tc>
          <w:tcPr>
            <w:tcBorders/>
            <w:tcW w:w="0" w:type="auto"/>
            <w:vMerge w:val="continue"/>
            <w:textDirection w:val="lrTb"/>
            <w:noWrap w:val="false"/>
          </w:tcPr>
          <w:p w14:paraId="2FBAD32E"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2D444D33"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Watering cans</w:t>
            </w:r>
          </w:p>
        </w:tc>
        <w:tc>
          <w:tcPr>
            <w:tcBorders/>
            <w:tcW w:w="0" w:type="auto"/>
            <w:textDirection w:val="lrTb"/>
            <w:noWrap w:val="false"/>
          </w:tcPr>
          <w:p w14:paraId="30526DED"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15 units per school, 5–10 L</w:t>
            </w:r>
          </w:p>
        </w:tc>
      </w:tr>
      <w:tr>
        <w:trPr/>
        <w:tc>
          <w:tcPr>
            <w:tcBorders/>
            <w:tcW w:w="0" w:type="auto"/>
            <w:vMerge w:val="continue"/>
            <w:textDirection w:val="lrTb"/>
            <w:noWrap w:val="false"/>
          </w:tcPr>
          <w:p w14:paraId="472E8D74"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5FF586E3"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PPE sets</w:t>
            </w:r>
          </w:p>
        </w:tc>
        <w:tc>
          <w:tcPr>
            <w:tcBorders/>
            <w:tcW w:w="0" w:type="auto"/>
            <w:textDirection w:val="lrTb"/>
            <w:noWrap w:val="false"/>
          </w:tcPr>
          <w:p w14:paraId="694493F2"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25 sets per cohort (helmets, gloves, goggles, boots, overalls)</w:t>
            </w:r>
          </w:p>
        </w:tc>
      </w:tr>
      <w:tr>
        <w:trPr/>
        <w:tc>
          <w:tcPr>
            <w:tcBorders/>
            <w:tcW w:w="0" w:type="auto"/>
            <w:vMerge w:val="continue"/>
            <w:textDirection w:val="lrTb"/>
            <w:noWrap w:val="false"/>
          </w:tcPr>
          <w:p w14:paraId="3C7C7CF7"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p>
        </w:tc>
        <w:tc>
          <w:tcPr>
            <w:tcBorders/>
            <w:tcW w:w="0" w:type="auto"/>
            <w:textDirection w:val="lrTb"/>
            <w:noWrap w:val="false"/>
          </w:tcPr>
          <w:p w14:paraId="0ED2DDCF"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Tool racks &amp; benches</w:t>
            </w:r>
          </w:p>
        </w:tc>
        <w:tc>
          <w:tcPr>
            <w:tcBorders/>
            <w:tcW w:w="0" w:type="auto"/>
            <w:textDirection w:val="lrTb"/>
            <w:noWrap w:val="false"/>
          </w:tcPr>
          <w:p w14:paraId="4A940C04" w14:textId="77777777">
            <w:pPr>
              <w:pBdr/>
              <w:spacing w:line="278"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Heavy-duty steel racks, ≥300 kg load benches</w:t>
            </w:r>
          </w:p>
        </w:tc>
      </w:tr>
    </w:tbl>
    <w:p w14:paraId="5DD3D65C" w14:textId="17FF3879">
      <w:pPr>
        <w:pBdr/>
        <w:spacing/>
        <w:ind/>
        <w:jc w:val="both"/>
        <w:rPr>
          <w:rFonts w:ascii="Times New Roman" w:hAnsi="Times New Roman" w:cs="Times New Roman"/>
        </w:rPr>
      </w:pPr>
      <w:r>
        <w:rPr>
          <w:rFonts w:ascii="Times New Roman" w:hAnsi="Times New Roman" w:eastAsia="Times New Roman" w:cs="Times New Roman"/>
          <w:b/>
          <w:bCs/>
        </w:rPr>
        <w:t xml:space="preserve">Facility Layout:</w:t>
      </w:r>
      <w:r>
        <w:rPr>
          <w:rFonts w:ascii="Times New Roman" w:hAnsi="Times New Roman" w:eastAsia="Times New Roman" w:cs="Times New Roman"/>
        </w:rPr>
        <w:t xml:space="preserve"> The spatial design includes </w:t>
      </w:r>
      <w:r>
        <w:rPr>
          <w:rFonts w:ascii="Times New Roman" w:hAnsi="Times New Roman" w:eastAsia="Times New Roman" w:cs="Times New Roman"/>
          <w:b/>
          <w:bCs/>
        </w:rPr>
        <w:t xml:space="preserve">workbenches</w:t>
      </w:r>
      <w:r>
        <w:rPr>
          <w:rFonts w:ascii="Times New Roman" w:hAnsi="Times New Roman" w:eastAsia="Times New Roman" w:cs="Times New Roman"/>
        </w:rPr>
        <w:t xml:space="preserve"> for repairs, sharpening machines for tool maintenance, and secure storage cabinets for spare parts and specialized tool kits (wrenches, grease guns, etc.). This ensures a safe and organized environment for students to master the mechanical aspects of agribusiness. (See the attachment 1&amp;2)</w:t>
      </w:r>
      <w:r>
        <w:rPr>
          <w:rFonts w:ascii="Times New Roman" w:hAnsi="Times New Roman" w:cs="Times New Roman"/>
        </w:rPr>
      </w:r>
    </w:p>
    <w:p w14:paraId="22D36A38" w14:textId="3EC6CEE0">
      <w:pPr>
        <w:pStyle w:val="793"/>
        <w:pBdr/>
        <w:spacing/>
        <w:ind/>
        <w:rPr>
          <w:rFonts w:ascii="Times New Roman" w:hAnsi="Times New Roman" w:cs="Times New Roman"/>
          <w:b/>
          <w:color w:val="000000" w:themeColor="text1"/>
          <w:sz w:val="24"/>
          <w:szCs w:val="24"/>
        </w:rPr>
      </w:pPr>
      <w:r/>
      <w:bookmarkStart w:id="29" w:name="_Toc233892419"/>
      <w:r>
        <w:rPr>
          <w:rFonts w:ascii="Times New Roman" w:hAnsi="Times New Roman" w:cs="Times New Roman"/>
          <w:b/>
          <w:color w:val="000000" w:themeColor="text1"/>
          <w:sz w:val="24"/>
          <w:szCs w:val="24"/>
        </w:rPr>
        <w:t xml:space="preserve">3. SYNERGIES, FEASIBILITY AND SUSTAINABILITY</w:t>
      </w:r>
      <w:bookmarkEnd w:id="29"/>
      <w:r/>
      <w:r>
        <w:rPr>
          <w:rFonts w:ascii="Times New Roman" w:hAnsi="Times New Roman" w:cs="Times New Roman"/>
          <w:b/>
          <w:color w:val="000000" w:themeColor="text1"/>
          <w:sz w:val="24"/>
          <w:szCs w:val="24"/>
        </w:rPr>
      </w:r>
    </w:p>
    <w:p w14:paraId="239E9999"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These specialized facilities are not isolated silos; they are interconnected components that ensure the operational sustainability of the PTU. The Adult Learning Center provides the human capital and community buy-in, the Waste Management Zone ensures environmental and resource efficiency, and the Machinery Storage unit provides the technological foundation for high-productivity farming. Together, they empower the PTU to function as a national benchmark for agricultural excellence, combining education, technological demonstration, and economic viability.</w:t>
      </w:r>
    </w:p>
    <w:p w14:paraId="16773F5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following explanations further elaborate on the synergies and sustainability of these facilities:</w:t>
      </w:r>
    </w:p>
    <w:p w14:paraId="77C61F15" w14:textId="77777777">
      <w:pPr>
        <w:numPr>
          <w:ilvl w:val="0"/>
          <w:numId w:val="17"/>
        </w:numPr>
        <w:pBdr/>
        <w:spacing/>
        <w:ind/>
        <w:jc w:val="both"/>
        <w:rPr>
          <w:rFonts w:ascii="Times New Roman" w:hAnsi="Times New Roman" w:cs="Times New Roman"/>
        </w:rPr>
      </w:pPr>
      <w:r>
        <w:rPr>
          <w:rFonts w:ascii="Times New Roman" w:hAnsi="Times New Roman" w:eastAsia="Times New Roman" w:cs="Times New Roman"/>
          <w:b/>
          <w:bCs/>
        </w:rPr>
        <w:t xml:space="preserve">Circular Resource Integration:</w:t>
      </w:r>
      <w:r>
        <w:rPr>
          <w:rFonts w:ascii="Times New Roman" w:hAnsi="Times New Roman" w:eastAsia="Times New Roman" w:cs="Times New Roman"/>
        </w:rPr>
        <w:t xml:space="preserve"> The Waste Management Zone serves as the vital link between animal and crop production by converting livestock manure into biogas for renewable energy and nutrient-rich compost to restore soil fertility in the crop plots. This loop is further closed by the Integrated Wastewater Treatment system, which purifies runoff from processing and livestock areas for reuse in irrigation, ensuring that the PTU remains climate-resilient during dry seasons.</w:t>
      </w:r>
      <w:r>
        <w:rPr>
          <w:rFonts w:ascii="Times New Roman" w:hAnsi="Times New Roman" w:cs="Times New Roman"/>
        </w:rPr>
      </w:r>
    </w:p>
    <w:p w14:paraId="06A35C19" w14:textId="77777777">
      <w:pPr>
        <w:numPr>
          <w:ilvl w:val="0"/>
          <w:numId w:val="17"/>
        </w:numPr>
        <w:pBdr/>
        <w:spacing/>
        <w:ind/>
        <w:jc w:val="both"/>
        <w:rPr>
          <w:rFonts w:ascii="Times New Roman" w:hAnsi="Times New Roman" w:cs="Times New Roman"/>
        </w:rPr>
      </w:pPr>
      <w:r>
        <w:rPr>
          <w:rFonts w:ascii="Times New Roman" w:hAnsi="Times New Roman" w:eastAsia="Times New Roman" w:cs="Times New Roman"/>
          <w:b/>
          <w:bCs/>
        </w:rPr>
        <w:t xml:space="preserve">Collaborative Innovation and Mentorship:</w:t>
      </w:r>
      <w:r>
        <w:rPr>
          <w:rFonts w:ascii="Times New Roman" w:hAnsi="Times New Roman" w:eastAsia="Times New Roman" w:cs="Times New Roman"/>
        </w:rPr>
        <w:t xml:space="preserve"> The Adult Learning and RPL Center creates a unique social synergy by bringing together formal students and experienced local practitioners. This creates a "collaborative innovation hub" where traditional knowledge is blended with modern, climate-smart techniques, fostering a culture of continuous professional development and mutual mentorship.</w:t>
      </w:r>
      <w:r>
        <w:rPr>
          <w:rFonts w:ascii="Times New Roman" w:hAnsi="Times New Roman" w:cs="Times New Roman"/>
        </w:rPr>
      </w:r>
    </w:p>
    <w:p w14:paraId="4410DB1C" w14:textId="77777777">
      <w:pPr>
        <w:numPr>
          <w:ilvl w:val="0"/>
          <w:numId w:val="17"/>
        </w:numPr>
        <w:pBdr/>
        <w:spacing/>
        <w:ind/>
        <w:jc w:val="both"/>
        <w:rPr>
          <w:rFonts w:ascii="Times New Roman" w:hAnsi="Times New Roman" w:cs="Times New Roman"/>
        </w:rPr>
      </w:pPr>
      <w:r>
        <w:rPr>
          <w:rFonts w:ascii="Times New Roman" w:hAnsi="Times New Roman" w:eastAsia="Times New Roman" w:cs="Times New Roman"/>
          <w:b/>
          <w:bCs/>
        </w:rPr>
        <w:t xml:space="preserve">Economic and Operational Viability:</w:t>
      </w:r>
      <w:r>
        <w:rPr>
          <w:rFonts w:ascii="Times New Roman" w:hAnsi="Times New Roman" w:eastAsia="Times New Roman" w:cs="Times New Roman"/>
        </w:rPr>
        <w:t xml:space="preserve"> By operating as a training-scale commercial enterprise, the PTU generates revenue from the sale of its processed products (e.g., pasteurized milk, dried fruits) and surplus crops, which is reinvested to maintain the technological infrastructure and specialized machinery. This business model ensures the long-term productivity of the units while providing students with real-world agribusiness management experience.</w:t>
      </w:r>
      <w:r>
        <w:rPr>
          <w:rFonts w:ascii="Times New Roman" w:hAnsi="Times New Roman" w:cs="Times New Roman"/>
        </w:rPr>
      </w:r>
    </w:p>
    <w:p w14:paraId="55B2AB92" w14:textId="77777777">
      <w:pPr>
        <w:numPr>
          <w:ilvl w:val="0"/>
          <w:numId w:val="17"/>
        </w:numPr>
        <w:pBdr/>
        <w:spacing/>
        <w:ind/>
        <w:jc w:val="both"/>
        <w:rPr>
          <w:rFonts w:ascii="Times New Roman" w:hAnsi="Times New Roman" w:cs="Times New Roman"/>
        </w:rPr>
      </w:pPr>
      <w:r>
        <w:rPr>
          <w:rFonts w:ascii="Times New Roman" w:hAnsi="Times New Roman" w:eastAsia="Times New Roman" w:cs="Times New Roman"/>
          <w:b/>
          <w:bCs/>
        </w:rPr>
        <w:t xml:space="preserve">Technology Transfer and Extension:</w:t>
      </w:r>
      <w:r>
        <w:rPr>
          <w:rFonts w:ascii="Times New Roman" w:hAnsi="Times New Roman" w:eastAsia="Times New Roman" w:cs="Times New Roman"/>
        </w:rPr>
        <w:t xml:space="preserve"> The Machinery and Tool Storage unit functions as a demonstration platform for the 2,000 farmers in the surrounding community, showcasing the efficiency of small-scale mechanization. This outreach, anchored by the Adult Learning Center, ensures that the PTU’s technological advancements lead to broader agricultural transformation within the region.</w:t>
      </w:r>
      <w:r>
        <w:rPr>
          <w:rFonts w:ascii="Times New Roman" w:hAnsi="Times New Roman" w:cs="Times New Roman"/>
        </w:rPr>
      </w:r>
    </w:p>
    <w:p w14:paraId="426CD72E" w14:textId="77777777">
      <w:pPr>
        <w:numPr>
          <w:ilvl w:val="0"/>
          <w:numId w:val="17"/>
        </w:numPr>
        <w:pBdr/>
        <w:spacing/>
        <w:ind/>
        <w:jc w:val="both"/>
        <w:rPr>
          <w:rFonts w:ascii="Times New Roman" w:hAnsi="Times New Roman" w:cs="Times New Roman"/>
        </w:rPr>
      </w:pPr>
      <w:r>
        <w:rPr>
          <w:rFonts w:ascii="Times New Roman" w:hAnsi="Times New Roman" w:eastAsia="Times New Roman" w:cs="Times New Roman"/>
          <w:b/>
          <w:bCs/>
        </w:rPr>
        <w:t xml:space="preserve">Governance and Quality Assurance:</w:t>
      </w:r>
      <w:r>
        <w:rPr>
          <w:rFonts w:ascii="Times New Roman" w:hAnsi="Times New Roman" w:eastAsia="Times New Roman" w:cs="Times New Roman"/>
        </w:rPr>
        <w:t xml:space="preserve"> A unified PTU Management Unit ensures that the pedagogical needs of the students and the operational needs of the commercial enterprises are balanced across all specialized facilities. By adhering to HACCP, GMP, and national TVET standards, these facilities guarantee that all training and production activities are performed with technical rigor and safety.</w:t>
      </w:r>
      <w:r>
        <w:rPr>
          <w:rFonts w:ascii="Times New Roman" w:hAnsi="Times New Roman" w:cs="Times New Roman"/>
        </w:rPr>
      </w:r>
    </w:p>
    <w:p w14:paraId="35BE0DD2" w14:textId="6D8AE6FC">
      <w:pPr>
        <w:pStyle w:val="794"/>
        <w:pBdr/>
        <w:spacing/>
        <w:ind/>
        <w:rPr>
          <w:rFonts w:ascii="Times New Roman" w:hAnsi="Times New Roman" w:cs="Times New Roman"/>
          <w:b/>
          <w:color w:val="000000" w:themeColor="text1"/>
          <w:sz w:val="24"/>
          <w:szCs w:val="24"/>
        </w:rPr>
      </w:pPr>
      <w:r/>
      <w:bookmarkStart w:id="30" w:name="_Toc233892420"/>
      <w:r>
        <w:rPr>
          <w:rFonts w:ascii="Times New Roman" w:hAnsi="Times New Roman" w:cs="Times New Roman"/>
          <w:b/>
          <w:color w:val="000000" w:themeColor="text1"/>
          <w:sz w:val="24"/>
          <w:szCs w:val="24"/>
        </w:rPr>
        <w:t xml:space="preserve">3.1. Technical Feasibility</w:t>
      </w:r>
      <w:bookmarkEnd w:id="30"/>
      <w:r/>
      <w:r>
        <w:rPr>
          <w:rFonts w:ascii="Times New Roman" w:hAnsi="Times New Roman" w:cs="Times New Roman"/>
          <w:b/>
          <w:color w:val="000000" w:themeColor="text1"/>
          <w:sz w:val="24"/>
          <w:szCs w:val="24"/>
        </w:rPr>
      </w:r>
    </w:p>
    <w:p w14:paraId="5DEB8AAD"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Technical Feasibility for the Practical Training Unit (PTU) is an integrated engineering and agronomic framework designed to transform traditional agricultural education into a modern, "circular" ecosystem. This feasibility is grounded in a detailed site-specific situational analysis of the Kisaro and Nyagahanga TVET centers, evaluating land availability, soil fertility, drainage capacity, and climatic variations to ensure that all infrastructure is locally adapted and technically viable. By moving away from isolated training silos, the technical design creates a holistic environment where different value chains support each other; for example, crop residues are processed into livestock feed, while animal waste is converted into energy via biogas or high-potency organic fertilizer. The following sub-chapters detail the engineering and operational components that ensure this model is fit for both high-quality training and commercial sustainability.</w:t>
      </w:r>
    </w:p>
    <w:p w14:paraId="3033EDA2" w14:textId="289648C9">
      <w:pPr>
        <w:pStyle w:val="795"/>
        <w:pBdr/>
        <w:spacing/>
        <w:ind/>
        <w:rPr>
          <w:rFonts w:ascii="Times New Roman" w:hAnsi="Times New Roman" w:cs="Times New Roman"/>
          <w:b/>
          <w:color w:val="000000" w:themeColor="text1"/>
          <w:sz w:val="24"/>
          <w:szCs w:val="24"/>
          <w:lang w:val="en-US"/>
        </w:rPr>
      </w:pPr>
      <w:r/>
      <w:bookmarkStart w:id="31" w:name="_Toc233892421"/>
      <w:r>
        <w:rPr>
          <w:rFonts w:ascii="Times New Roman" w:hAnsi="Times New Roman" w:cs="Times New Roman"/>
          <w:b/>
          <w:color w:val="000000" w:themeColor="text1"/>
          <w:sz w:val="24"/>
          <w:szCs w:val="24"/>
          <w:lang w:val="en-US"/>
        </w:rPr>
        <w:t xml:space="preserve">3.1.1 Site-Specific Situational Analysis and Resource Mapping</w:t>
      </w:r>
      <w:bookmarkEnd w:id="31"/>
      <w:r/>
      <w:r>
        <w:rPr>
          <w:rFonts w:ascii="Times New Roman" w:hAnsi="Times New Roman" w:cs="Times New Roman"/>
          <w:b/>
          <w:color w:val="000000" w:themeColor="text1"/>
          <w:sz w:val="24"/>
          <w:szCs w:val="24"/>
          <w:lang w:val="en-US"/>
        </w:rPr>
      </w:r>
    </w:p>
    <w:p w14:paraId="53303113"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foundation of the technical design is a comprehensive evaluation of the natural resource conditions at each site, which dictates the positioning and scale of every unit. This includes natural resource mapping to assess soil health and land suitability for various crops, alongside a critical evaluation of water availability and quality. A key technical highlight is the design of a 30,000 m³ reinforced concrete underground reservoir with a waterproof lining, designed to capture and store water for year-round production. Climatic assessments of rainfall and temperature patterns further inform the selection of resilient technologies, such as UV-stabilized greenhouse covers (200 micron) and automated climate monitoring sensors, ensuring the PTU remains productive despite climate variability.</w:t>
      </w:r>
    </w:p>
    <w:p w14:paraId="7AD77BD8" w14:textId="00D3FAE7">
      <w:pPr>
        <w:pStyle w:val="795"/>
        <w:pBdr/>
        <w:spacing/>
        <w:ind/>
        <w:rPr>
          <w:rFonts w:ascii="Times New Roman" w:hAnsi="Times New Roman" w:cs="Times New Roman"/>
          <w:b/>
          <w:color w:val="000000" w:themeColor="text1"/>
          <w:sz w:val="24"/>
          <w:szCs w:val="24"/>
          <w:lang w:val="en-US"/>
        </w:rPr>
      </w:pPr>
      <w:r/>
      <w:bookmarkStart w:id="32" w:name="_Toc233892422"/>
      <w:r>
        <w:rPr>
          <w:rFonts w:ascii="Times New Roman" w:hAnsi="Times New Roman" w:cs="Times New Roman"/>
          <w:b/>
          <w:color w:val="000000" w:themeColor="text1"/>
          <w:sz w:val="24"/>
          <w:szCs w:val="24"/>
          <w:lang w:val="en-US"/>
        </w:rPr>
        <w:t xml:space="preserve">3.1.2 Integrated Spatial Zoning and Infrastructure Design</w:t>
      </w:r>
      <w:bookmarkEnd w:id="32"/>
      <w:r/>
      <w:r>
        <w:rPr>
          <w:rFonts w:ascii="Times New Roman" w:hAnsi="Times New Roman" w:cs="Times New Roman"/>
          <w:b/>
          <w:color w:val="000000" w:themeColor="text1"/>
          <w:sz w:val="24"/>
          <w:szCs w:val="24"/>
          <w:lang w:val="en-US"/>
        </w:rPr>
      </w:r>
    </w:p>
    <w:p w14:paraId="37B6F46C"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PTU utilizes a </w:t>
      </w:r>
      <w:r>
        <w:rPr>
          <w:rFonts w:ascii="Times New Roman" w:hAnsi="Times New Roman" w:cs="Times New Roman"/>
          <w:b/>
          <w:bCs/>
          <w:lang w:val="en-US"/>
        </w:rPr>
        <w:t xml:space="preserve">zoned spatial layout</w:t>
      </w:r>
      <w:r>
        <w:rPr>
          <w:rFonts w:ascii="Times New Roman" w:hAnsi="Times New Roman" w:cs="Times New Roman"/>
          <w:lang w:val="en-US"/>
        </w:rPr>
        <w:t xml:space="preserve"> engineered to maximize operational efficiency while maintaining strict biosecurity and safety standards. The design includes dedicated Production Zones featuring diverse livestock blocks (e.g., 200 SQM Dairy, 125 SQM Poultry, and 50 SQM Aquaculture ponds) and open-field/greenhouse crop production areas. These are strategically separated by sanitary corridors and biosecurity footbaths to prevent cross-contamination. Centrally located training hubs, such as the 600 SQM Adult Learning and RPL Center, are positioned to allow community outreach and formal skills assessment without disrupting the flow of commercial production. This spatial organization ensures that one sub-group of students can work on intensive mechanical tasks while others utilize shared infrastructure like the water reservoir or processing laboratories.</w:t>
      </w:r>
    </w:p>
    <w:p w14:paraId="00CB9CE5" w14:textId="5C4B161E">
      <w:pPr>
        <w:pStyle w:val="795"/>
        <w:pBdr/>
        <w:spacing/>
        <w:ind/>
        <w:rPr>
          <w:rFonts w:ascii="Times New Roman" w:hAnsi="Times New Roman" w:cs="Times New Roman"/>
          <w:b/>
          <w:color w:val="000000" w:themeColor="text1"/>
          <w:sz w:val="24"/>
          <w:szCs w:val="24"/>
          <w:lang w:val="en-US"/>
        </w:rPr>
      </w:pPr>
      <w:r/>
      <w:bookmarkStart w:id="33" w:name="_Toc233892423"/>
      <w:r>
        <w:rPr>
          <w:rFonts w:ascii="Times New Roman" w:hAnsi="Times New Roman" w:cs="Times New Roman"/>
          <w:b/>
          <w:color w:val="000000" w:themeColor="text1"/>
          <w:sz w:val="24"/>
          <w:szCs w:val="24"/>
          <w:lang w:val="en-US"/>
        </w:rPr>
        <w:t xml:space="preserve">3.1.3. Diversified Production and Circular Integration</w:t>
      </w:r>
      <w:bookmarkEnd w:id="33"/>
      <w:r/>
      <w:r>
        <w:rPr>
          <w:rFonts w:ascii="Times New Roman" w:hAnsi="Times New Roman" w:cs="Times New Roman"/>
          <w:b/>
          <w:color w:val="000000" w:themeColor="text1"/>
          <w:sz w:val="24"/>
          <w:szCs w:val="24"/>
          <w:lang w:val="en-US"/>
        </w:rPr>
      </w:r>
    </w:p>
    <w:p w14:paraId="1E4E9F83" w14:textId="77777777">
      <w:pPr>
        <w:pBdr/>
        <w:spacing/>
        <w:ind/>
        <w:jc w:val="both"/>
        <w:rPr>
          <w:rFonts w:ascii="Times New Roman" w:hAnsi="Times New Roman" w:cs="Times New Roman"/>
          <w:lang w:val="en-US"/>
        </w:rPr>
      </w:pPr>
      <w:r>
        <w:rPr>
          <w:rFonts w:ascii="Times New Roman" w:hAnsi="Times New Roman" w:cs="Times New Roman"/>
          <w:lang w:val="en-US"/>
        </w:rPr>
        <w:t xml:space="preserve">Technically, the PTU functions as a "learning laboratory" where crop and livestock production are seamlessly integrated to reduce waste and operational costs. The Crop Production System is a diversified platform combining open-field vegetable farming with greenhouse-protected intensive horticulture for year-round training. Simultaneously, the Livestock Unit supports training in breeding, nutrition, and advanced clinical care within species-specific blocks, such as the 250 SQM Veterinary Clinical Services unit. This circularity is technically realized through the Waste Management Zone, where animal manure is processed into biogas for thermal energy or channeled into a 150 SQM composting unit to produce biofertilizers for the crop fields. This loop demonstrates advanced resource efficiency, reducing the institution's reliance on external chemical inputs.</w:t>
      </w:r>
    </w:p>
    <w:p w14:paraId="494A1F69" w14:textId="0491E6E5">
      <w:pPr>
        <w:pStyle w:val="795"/>
        <w:pBdr/>
        <w:spacing/>
        <w:ind/>
        <w:rPr>
          <w:rFonts w:ascii="Times New Roman" w:hAnsi="Times New Roman" w:cs="Times New Roman"/>
          <w:b/>
          <w:color w:val="000000" w:themeColor="text1"/>
          <w:sz w:val="24"/>
          <w:szCs w:val="24"/>
          <w:lang w:val="en-US"/>
        </w:rPr>
      </w:pPr>
      <w:r/>
      <w:bookmarkStart w:id="34" w:name="_Toc233892424"/>
      <w:r>
        <w:rPr>
          <w:rFonts w:ascii="Times New Roman" w:hAnsi="Times New Roman" w:cs="Times New Roman"/>
          <w:b/>
          <w:color w:val="000000" w:themeColor="text1"/>
          <w:sz w:val="24"/>
          <w:szCs w:val="24"/>
          <w:lang w:val="en-US"/>
        </w:rPr>
        <w:t xml:space="preserve">3.1.4. Climate-Smart Water and Irrigation Infrastructure</w:t>
      </w:r>
      <w:bookmarkEnd w:id="34"/>
      <w:r/>
      <w:r>
        <w:rPr>
          <w:rFonts w:ascii="Times New Roman" w:hAnsi="Times New Roman" w:cs="Times New Roman"/>
          <w:b/>
          <w:color w:val="000000" w:themeColor="text1"/>
          <w:sz w:val="24"/>
          <w:szCs w:val="24"/>
          <w:lang w:val="en-US"/>
        </w:rPr>
      </w:r>
    </w:p>
    <w:p w14:paraId="3BA3D4AD"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water management system is a climate-resilient infrastructure designed to handle the entire irrigation cycle, from harvesting to smart distribution. It features solar-powered pumping systems (20–35 kW) with MPPT inverters to reduce reliance on fossil fuels, alongside a variety of application technologies including pressure-compensating drip emitters (2–4 L/h) and sprinkler systems. The system incorporates modern IoT-based monitoring, utilizing soil moisture sensors (Capacitance or TDR type) and automatic weather stations to support evidence-based irrigation scheduling. Furthermore, an integrated wastewater treatment facility captures greywater from food processing (CIP systems) and livestock areas, recycling it back into the irrigation network to ensure productivity during dry seasons.</w:t>
      </w:r>
    </w:p>
    <w:p w14:paraId="1722C49F" w14:textId="14E61047">
      <w:pPr>
        <w:pStyle w:val="795"/>
        <w:pBdr/>
        <w:spacing/>
        <w:ind/>
        <w:rPr>
          <w:rFonts w:ascii="Times New Roman" w:hAnsi="Times New Roman" w:cs="Times New Roman"/>
          <w:b/>
          <w:color w:val="000000" w:themeColor="text1"/>
          <w:sz w:val="24"/>
          <w:szCs w:val="24"/>
          <w:lang w:val="en-US"/>
        </w:rPr>
      </w:pPr>
      <w:r/>
      <w:bookmarkStart w:id="35" w:name="_Toc233892425"/>
      <w:r>
        <w:rPr>
          <w:rFonts w:ascii="Times New Roman" w:hAnsi="Times New Roman" w:cs="Times New Roman"/>
          <w:b/>
          <w:color w:val="000000" w:themeColor="text1"/>
          <w:sz w:val="24"/>
          <w:szCs w:val="24"/>
          <w:lang w:val="en-US"/>
        </w:rPr>
        <w:t xml:space="preserve">3.1.5. Advanced Value-Addition and Food Safety Hubs</w:t>
      </w:r>
      <w:bookmarkEnd w:id="35"/>
      <w:r/>
      <w:r>
        <w:rPr>
          <w:rFonts w:ascii="Times New Roman" w:hAnsi="Times New Roman" w:cs="Times New Roman"/>
          <w:b/>
          <w:color w:val="000000" w:themeColor="text1"/>
          <w:sz w:val="24"/>
          <w:szCs w:val="24"/>
          <w:lang w:val="en-US"/>
        </w:rPr>
      </w:r>
    </w:p>
    <w:p w14:paraId="2BDDBE16"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Food Processing sub-unit is designed as a modern facility for value addition, engineered to comply with international HACCP and GMP standards. It consists of specialized 250 SQM buildings for Animal-Based Processing (dairy and meat) and Plant-Based Processing (fruits, vegetables, and grains), alongside a 200 SQM Greenhouse Dryer for solar dehydration. Technically, these units are equipped with commercial-grade machinery such as batch/plate pasteurizers, vacuum packaging machines, and milling facilities for grain processing. A dedicated Food Safety Laboratory is integrated into the hub to perform microbial and physicochemical verification of all products, ensuring students master the quality assurance protocols required by the modern agribusiness sector.</w:t>
      </w:r>
    </w:p>
    <w:p w14:paraId="74D21FEA" w14:textId="420009AC">
      <w:pPr>
        <w:pStyle w:val="795"/>
        <w:pBdr/>
        <w:spacing/>
        <w:ind/>
        <w:rPr>
          <w:rFonts w:ascii="Times New Roman" w:hAnsi="Times New Roman" w:cs="Times New Roman"/>
          <w:b/>
          <w:color w:val="000000" w:themeColor="text1"/>
          <w:sz w:val="24"/>
          <w:szCs w:val="24"/>
          <w:lang w:val="en-US"/>
        </w:rPr>
      </w:pPr>
      <w:r/>
      <w:bookmarkStart w:id="36" w:name="_Toc233892426"/>
      <w:r>
        <w:rPr>
          <w:rFonts w:ascii="Times New Roman" w:hAnsi="Times New Roman" w:cs="Times New Roman"/>
          <w:b/>
          <w:color w:val="000000" w:themeColor="text1"/>
          <w:sz w:val="24"/>
          <w:szCs w:val="24"/>
          <w:lang w:val="en-US"/>
        </w:rPr>
        <w:t xml:space="preserve">3.1.6. Renewable Energy and the "Mini Garage"</w:t>
      </w:r>
      <w:bookmarkEnd w:id="36"/>
      <w:r/>
      <w:r>
        <w:rPr>
          <w:rFonts w:ascii="Times New Roman" w:hAnsi="Times New Roman" w:cs="Times New Roman"/>
          <w:b/>
          <w:color w:val="000000" w:themeColor="text1"/>
          <w:sz w:val="24"/>
          <w:szCs w:val="24"/>
          <w:lang w:val="en-US"/>
        </w:rPr>
      </w:r>
    </w:p>
    <w:p w14:paraId="29534ECC" w14:textId="5DDD5204">
      <w:pPr>
        <w:pBdr/>
        <w:spacing/>
        <w:ind/>
        <w:jc w:val="both"/>
        <w:rPr>
          <w:rFonts w:ascii="Times New Roman" w:hAnsi="Times New Roman" w:cs="Times New Roman"/>
          <w:lang w:val="en-US"/>
        </w:rPr>
      </w:pPr>
      <w:r>
        <w:rPr>
          <w:rFonts w:ascii="Times New Roman" w:hAnsi="Times New Roman" w:cs="Times New Roman"/>
          <w:lang w:val="en-US"/>
        </w:rPr>
        <w:t xml:space="preserve">Resource recovery and technical maintenance are centralized in the PTU's support infrastructure. The Waste-to-Energy system utilizes anaerobic biogas digesters to capture methane from animal waste, providing clean thermal energy for pasteurization and cooking. Complementing this is the 150 SQM "Mini Garage" and Tool Storage, which functions as a training unit for farm mechanization and equipment maintenance. It is specified to house heavy machinery (tractors, balers, choppers) for group demonstrations and a 1:5 ratio of small machinery (power tillers, brush cutters) to maximize "learn by doing" for students. Every student is provided with a 1:1 ratio of core hand tools (25 units of hoes, rakes, shovels) and mandatory Personal Protective Equipment (PPE), ensuring technical rigor and safety in every practical session.</w:t>
      </w:r>
    </w:p>
    <w:p w14:paraId="22968DFE" w14:textId="40AD93EF">
      <w:pPr>
        <w:pStyle w:val="794"/>
        <w:pBdr/>
        <w:spacing/>
        <w:ind/>
        <w:rPr>
          <w:rFonts w:ascii="Times New Roman" w:hAnsi="Times New Roman" w:cs="Times New Roman"/>
          <w:b/>
          <w:color w:val="000000" w:themeColor="text1"/>
          <w:sz w:val="24"/>
          <w:szCs w:val="24"/>
        </w:rPr>
      </w:pPr>
      <w:r/>
      <w:bookmarkStart w:id="37" w:name="_Toc233892427"/>
      <w:r>
        <w:rPr>
          <w:rFonts w:ascii="Times New Roman" w:hAnsi="Times New Roman" w:cs="Times New Roman"/>
          <w:b/>
          <w:color w:val="000000" w:themeColor="text1"/>
          <w:sz w:val="24"/>
          <w:szCs w:val="24"/>
        </w:rPr>
        <w:t xml:space="preserve">3.2. Operational Feasibility</w:t>
      </w:r>
      <w:bookmarkEnd w:id="37"/>
      <w:r/>
      <w:r>
        <w:rPr>
          <w:rFonts w:ascii="Times New Roman" w:hAnsi="Times New Roman" w:cs="Times New Roman"/>
          <w:b/>
          <w:color w:val="000000" w:themeColor="text1"/>
          <w:sz w:val="24"/>
          <w:szCs w:val="24"/>
        </w:rPr>
      </w:r>
    </w:p>
    <w:p w14:paraId="38F6A825"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Operational Feasibility of the Practical Training Unit (PTU) model is centered on creating a management framework that balances high-quality agricultural education with the demands of a training-scale commercial enterprise. This feasibility is grounded in a multi-tiered organizational structure designed to ensure institutional anchorage, stakeholder ownership, and day-to-day efficiency. The model moves away from isolated teaching methods by embedding management systems that synchronize academic leadership with enterprise management and community outreach. A key pillar of this operational plan is the principle of dual accountability, where staff are responsible for both measurable student learning outcomes and the financial productivity of the units they manage. The following sub-chapters detail the governance, staffing, and procedural frameworks required to ensure the PTU remains a sustainable and adaptive learning-production ecosystem.</w:t>
      </w:r>
    </w:p>
    <w:p w14:paraId="699D73DF" w14:textId="40D4C31E">
      <w:pPr>
        <w:pStyle w:val="795"/>
        <w:pBdr/>
        <w:spacing/>
        <w:ind/>
        <w:rPr>
          <w:rFonts w:ascii="Times New Roman" w:hAnsi="Times New Roman" w:cs="Times New Roman"/>
          <w:b/>
          <w:color w:val="000000" w:themeColor="text1"/>
          <w:sz w:val="24"/>
          <w:szCs w:val="24"/>
          <w:lang w:val="en-US"/>
        </w:rPr>
      </w:pPr>
      <w:r/>
      <w:bookmarkStart w:id="38" w:name="_Toc233892428"/>
      <w:r>
        <w:rPr>
          <w:rFonts w:ascii="Times New Roman" w:hAnsi="Times New Roman" w:cs="Times New Roman"/>
          <w:b/>
          <w:color w:val="000000" w:themeColor="text1"/>
          <w:sz w:val="24"/>
          <w:szCs w:val="24"/>
        </w:rPr>
        <w:t xml:space="preserve">3.2.</w:t>
      </w:r>
      <w:r>
        <w:rPr>
          <w:rFonts w:ascii="Times New Roman" w:hAnsi="Times New Roman" w:cs="Times New Roman"/>
          <w:b/>
          <w:color w:val="000000" w:themeColor="text1"/>
          <w:sz w:val="24"/>
          <w:szCs w:val="24"/>
          <w:lang w:val="en-US"/>
        </w:rPr>
        <w:t xml:space="preserve">1 Organizational Structure and Strategic Governance</w:t>
      </w:r>
      <w:bookmarkEnd w:id="38"/>
      <w:r/>
      <w:r>
        <w:rPr>
          <w:rFonts w:ascii="Times New Roman" w:hAnsi="Times New Roman" w:cs="Times New Roman"/>
          <w:b/>
          <w:color w:val="000000" w:themeColor="text1"/>
          <w:sz w:val="24"/>
          <w:szCs w:val="24"/>
          <w:lang w:val="en-US"/>
        </w:rPr>
      </w:r>
    </w:p>
    <w:p w14:paraId="58732972" w14:textId="259DB3B8">
      <w:pPr>
        <w:pBdr/>
        <w:spacing/>
        <w:ind/>
        <w:jc w:val="both"/>
        <w:rPr>
          <w:rFonts w:ascii="Times New Roman" w:hAnsi="Times New Roman" w:cs="Times New Roman"/>
          <w:lang w:val="en-US"/>
        </w:rPr>
      </w:pPr>
      <w:r>
        <w:rPr>
          <w:rFonts w:ascii="Times New Roman" w:hAnsi="Times New Roman" w:cs="Times New Roman"/>
          <w:lang w:val="en-US"/>
        </w:rPr>
        <w:t xml:space="preserve">Operational feasibility begins with a robust governance framework that provides both strategic direction and daily oversight. At the highest level, a PTU Steering Committee; comprising representatives from the host institution, local government, and industry partners; ensures alignment with Rwanda TVET Board (RTB) standards and institutional development plans. This committee handles strategic decisions, financial oversight, and policy compliance. Below this, a dedicated PTU Management Unit, led by a PTU Chief Operation officer, is responsible for coordinating the daily activities of the crop, livestock, irrigation, and food processing enterprises. This unit ensures that each component functions simultaneously as a training laboratory and a commercial entity, with clear reporting lines established between trainers, enterprise managers, and administrative staff to avoid duplication of effort.</w:t>
      </w:r>
    </w:p>
    <w:p w14:paraId="2CA5EB7A" w14:textId="670F7860">
      <w:pPr>
        <w:pBdr/>
        <w:spacing/>
        <w:ind/>
        <w:jc w:val="both"/>
        <w:rPr>
          <w:rFonts w:ascii="Times New Roman" w:hAnsi="Times New Roman" w:cs="Times New Roman"/>
          <w:lang w:val="en-US"/>
        </w:rPr>
      </w:pPr>
      <w:r>
        <w:rPr>
          <w:rFonts w:ascii="Times New Roman" w:hAnsi="Times New Roman" w:cs="Times New Roman"/>
          <w:lang w:val="en-US"/>
        </w:rPr>
        <mc:AlternateContent>
          <mc:Choice Requires="wpg">
            <w:drawing>
              <wp:inline xmlns:wp="http://schemas.openxmlformats.org/drawingml/2006/wordprocessingDrawing" distT="0" distB="0" distL="0" distR="0">
                <wp:extent cx="6286500" cy="4191000"/>
                <wp:effectExtent l="0" t="0" r="0" b="0"/>
                <wp:docPr id="3" name="Picture 1" descr="Final Corrected PTU Organizational Structure and Strategic Govern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Corrected PTU Organizational Structure and Strategic Governance Chart"/>
                        <pic:cNvPicPr>
                          <a:picLocks noChangeAspect="1"/>
                        </pic:cNvPicPr>
                        <pic:nvPr/>
                      </pic:nvPicPr>
                      <pic:blipFill rotWithShape="1">
                        <a:blip r:embed="rId23"/>
                        <a:stretch/>
                      </pic:blipFill>
                      <pic:spPr bwMode="auto">
                        <a:xfrm>
                          <a:off x="0" y="0"/>
                          <a:ext cx="6286500" cy="41910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5.00pt;height:330.00pt;mso-wrap-distance-left:0.00pt;mso-wrap-distance-top:0.00pt;mso-wrap-distance-right:0.00pt;mso-wrap-distance-bottom:0.00pt;z-index:1;" stroked="f">
                <v:imagedata r:id="rId23" o:title=""/>
                <o:lock v:ext="edit" rotation="t"/>
              </v:shape>
            </w:pict>
          </mc:Fallback>
        </mc:AlternateContent>
      </w:r>
    </w:p>
    <w:p w14:paraId="6ACA2708" w14:textId="6DF9A3EE">
      <w:pPr>
        <w:pStyle w:val="828"/>
        <w:pBdr/>
        <w:spacing/>
        <w:ind/>
        <w:jc w:val="center"/>
        <w:rPr>
          <w:rFonts w:ascii="Times New Roman" w:hAnsi="Times New Roman" w:cs="Times New Roman"/>
          <w:b/>
          <w:i w:val="0"/>
          <w:color w:val="000000" w:themeColor="text1"/>
          <w:sz w:val="24"/>
          <w:szCs w:val="24"/>
          <w:lang w:val="en-US"/>
        </w:rPr>
      </w:pPr>
      <w:r/>
      <w:bookmarkStart w:id="39" w:name="_Toc233889249"/>
      <w:r>
        <w:rPr>
          <w:rFonts w:ascii="Times New Roman" w:hAnsi="Times New Roman" w:cs="Times New Roman"/>
          <w:b/>
          <w:i w:val="0"/>
          <w:color w:val="000000" w:themeColor="text1"/>
          <w:sz w:val="24"/>
          <w:szCs w:val="24"/>
        </w:rPr>
        <w:t xml:space="preserve">Figure </w:t>
        <w:fldChar w:fldCharType="begin"/>
        <w:instrText xml:space="preserve"> SEQ Figure \* ARABIC </w:instrText>
        <w:fldChar w:fldCharType="separate"/>
        <w:t xml:space="preserve">1</w:t>
        <w:fldChar w:fldCharType="end"/>
      </w:r>
      <w:r>
        <w:rPr>
          <w:rFonts w:ascii="Times New Roman" w:hAnsi="Times New Roman" w:cs="Times New Roman"/>
          <w:b/>
          <w:i w:val="0"/>
          <w:color w:val="000000" w:themeColor="text1"/>
          <w:sz w:val="24"/>
          <w:szCs w:val="24"/>
          <w:lang w:val="en-US"/>
        </w:rPr>
        <w:t xml:space="preserve">: Organizational Structure</w:t>
      </w:r>
      <w:bookmarkEnd w:id="39"/>
      <w:r/>
      <w:r>
        <w:rPr>
          <w:rFonts w:ascii="Times New Roman" w:hAnsi="Times New Roman" w:cs="Times New Roman"/>
          <w:b/>
          <w:i w:val="0"/>
          <w:color w:val="000000" w:themeColor="text1"/>
          <w:sz w:val="24"/>
          <w:szCs w:val="24"/>
          <w:lang w:val="en-US"/>
        </w:rPr>
      </w:r>
    </w:p>
    <w:p w14:paraId="5509E8C8" w14:textId="195D7CA6">
      <w:pPr>
        <w:pStyle w:val="795"/>
        <w:pBdr/>
        <w:spacing/>
        <w:ind/>
        <w:rPr>
          <w:rFonts w:ascii="Times New Roman" w:hAnsi="Times New Roman" w:cs="Times New Roman"/>
          <w:b/>
          <w:color w:val="000000" w:themeColor="text1"/>
          <w:sz w:val="24"/>
          <w:szCs w:val="24"/>
          <w:lang w:val="en-US"/>
        </w:rPr>
      </w:pPr>
      <w:r/>
      <w:bookmarkStart w:id="40" w:name="_Toc233892429"/>
      <w:r>
        <w:rPr>
          <w:rFonts w:ascii="Times New Roman" w:hAnsi="Times New Roman" w:cs="Times New Roman"/>
          <w:b/>
          <w:color w:val="000000" w:themeColor="text1"/>
          <w:sz w:val="24"/>
          <w:szCs w:val="24"/>
        </w:rPr>
        <w:t xml:space="preserve">3.2.</w:t>
      </w:r>
      <w:r>
        <w:rPr>
          <w:rFonts w:ascii="Times New Roman" w:hAnsi="Times New Roman" w:cs="Times New Roman"/>
          <w:b/>
          <w:color w:val="000000" w:themeColor="text1"/>
          <w:sz w:val="24"/>
          <w:szCs w:val="24"/>
          <w:lang w:val="en-US"/>
        </w:rPr>
        <w:t xml:space="preserve">2. Staffing Roles and the Dual Accountability Model</w:t>
      </w:r>
      <w:bookmarkEnd w:id="40"/>
      <w:r/>
      <w:r>
        <w:rPr>
          <w:rFonts w:ascii="Times New Roman" w:hAnsi="Times New Roman" w:cs="Times New Roman"/>
          <w:b/>
          <w:color w:val="000000" w:themeColor="text1"/>
          <w:sz w:val="24"/>
          <w:szCs w:val="24"/>
          <w:lang w:val="en-US"/>
        </w:rPr>
      </w:r>
    </w:p>
    <w:p w14:paraId="78342FD9" w14:textId="4952A331">
      <w:pPr>
        <w:pBdr/>
        <w:spacing/>
        <w:ind/>
        <w:jc w:val="both"/>
        <w:rPr>
          <w:rFonts w:ascii="Times New Roman" w:hAnsi="Times New Roman" w:cs="Times New Roman"/>
          <w:lang w:val="en-US"/>
        </w:rPr>
      </w:pPr>
      <w:r>
        <w:rPr>
          <w:rFonts w:ascii="Times New Roman" w:hAnsi="Times New Roman" w:cs="Times New Roman"/>
          <w:lang w:val="en-US"/>
        </w:rPr>
        <w:t xml:space="preserve">To successfully manage the "Learn by Doing" methodology, the PTU requires a multidisciplinary team with clearly defined roles. Trainers focus on delivering competency-based instruction and supervising student rotations, while Sub-Unit Operator oversee the technical and commercial performance of production units (Food processing, Crop Production and Animal Production Sub-Units). Specialized Technical Officers handle critical areas such as irrigation management, food safety, and waste systems. A central innovation in this staffing model is dual accountability, where performance is measured by the ability to produce graduates with industry-ready skills while maintaining the financial viability of the farm enterprises. Additionally, a Monitoring and Evaluation (M&amp;E) Officer is tasked with tracking key performance indicators (KPIs) related to student competency attainment and production yields to inform continuous improvement.</w:t>
      </w:r>
    </w:p>
    <w:p w14:paraId="051C86F4" w14:textId="7F30C657">
      <w:pPr>
        <w:pStyle w:val="795"/>
        <w:pBdr/>
        <w:spacing/>
        <w:ind/>
        <w:rPr>
          <w:rFonts w:ascii="Times New Roman" w:hAnsi="Times New Roman" w:cs="Times New Roman"/>
          <w:b/>
          <w:color w:val="000000" w:themeColor="text1"/>
          <w:sz w:val="24"/>
          <w:szCs w:val="24"/>
          <w:lang w:val="en-US"/>
        </w:rPr>
      </w:pPr>
      <w:r/>
      <w:bookmarkStart w:id="41" w:name="_Toc233892430"/>
      <w:r>
        <w:rPr>
          <w:rFonts w:ascii="Times New Roman" w:hAnsi="Times New Roman" w:cs="Times New Roman"/>
          <w:b/>
          <w:color w:val="000000" w:themeColor="text1"/>
          <w:sz w:val="24"/>
          <w:szCs w:val="24"/>
        </w:rPr>
        <w:t xml:space="preserve">3.2.</w:t>
      </w:r>
      <w:r>
        <w:rPr>
          <w:rFonts w:ascii="Times New Roman" w:hAnsi="Times New Roman" w:cs="Times New Roman"/>
          <w:b/>
          <w:color w:val="000000" w:themeColor="text1"/>
          <w:sz w:val="24"/>
          <w:szCs w:val="24"/>
          <w:lang w:val="en-US"/>
        </w:rPr>
        <w:t xml:space="preserve">3. Standard Operating Procedures (SOPs) and Quality Assurance</w:t>
      </w:r>
      <w:bookmarkEnd w:id="41"/>
      <w:r/>
      <w:r>
        <w:rPr>
          <w:rFonts w:ascii="Times New Roman" w:hAnsi="Times New Roman" w:cs="Times New Roman"/>
          <w:b/>
          <w:color w:val="000000" w:themeColor="text1"/>
          <w:sz w:val="24"/>
          <w:szCs w:val="24"/>
          <w:lang w:val="en-US"/>
        </w:rPr>
      </w:r>
    </w:p>
    <w:p w14:paraId="32720081" w14:textId="49B4A003">
      <w:pPr>
        <w:pBdr/>
        <w:spacing/>
        <w:ind/>
        <w:jc w:val="both"/>
        <w:rPr>
          <w:rFonts w:ascii="Times New Roman" w:hAnsi="Times New Roman" w:cs="Times New Roman"/>
          <w:lang w:val="en-US"/>
        </w:rPr>
      </w:pPr>
      <w:r>
        <w:rPr>
          <w:rFonts w:ascii="Times New Roman" w:hAnsi="Times New Roman" w:cs="Times New Roman"/>
          <w:lang w:val="en-US"/>
        </w:rPr>
        <w:t xml:space="preserve">Operational consistency will be maintained through a comprehensive SOP manual developed for every PTU sub-unit, including crop production, livestock, irrigation, and food processing. These SOPs provide step-by-step instructions for planning, implementation, and evaluation, serving as essential reference documents for both staff and students to ensure technical rigor and safety. Complementing these procedures are Quality Assurance (QA) mechanisms that benchmark all activities against national and international standards, such as those from the Rwanda Agriculture Board (RAB), the Food and Drugs Authority (FDA), and HACCP/GMP protocols for food processing. Regular internal audits and validation workshops with industry partners ensure that the PTU remains a national benchmark for excellence and that its products are safe for the market. </w:t>
      </w:r>
      <w:commentRangeStart w:id="10"/>
      <w:r>
        <w:rPr>
          <w:rFonts w:ascii="Times New Roman" w:hAnsi="Times New Roman" w:cs="Times New Roman"/>
          <w:lang w:val="en-US"/>
        </w:rPr>
        <w:t xml:space="preserve">This will be developed in milestone 3.</w:t>
      </w:r>
      <w:commentRangeEnd w:id="10"/>
      <w:r>
        <w:rPr>
          <w:rStyle w:val="CommentReference"/>
        </w:rPr>
        <w:commentReference w:id="10"/>
      </w:r>
      <w:r>
        <w:rPr>
          <w:rFonts w:ascii="Times New Roman" w:hAnsi="Times New Roman" w:cs="Times New Roman"/>
          <w:lang w:val="en-US"/>
        </w:rPr>
        <w:t xml:space="preserve"> </w:t>
      </w:r>
    </w:p>
    <w:p w14:paraId="5A8A21BD" w14:textId="6B848587">
      <w:pPr>
        <w:pStyle w:val="795"/>
        <w:pBdr/>
        <w:spacing/>
        <w:ind/>
        <w:rPr>
          <w:rFonts w:ascii="Times New Roman" w:hAnsi="Times New Roman" w:cs="Times New Roman"/>
          <w:b/>
          <w:color w:val="000000" w:themeColor="text1"/>
          <w:sz w:val="24"/>
          <w:szCs w:val="24"/>
          <w:lang w:val="en-US"/>
        </w:rPr>
      </w:pPr>
      <w:r/>
      <w:bookmarkStart w:id="42" w:name="_Toc233892431"/>
      <w:r>
        <w:rPr>
          <w:rFonts w:ascii="Times New Roman" w:hAnsi="Times New Roman" w:cs="Times New Roman"/>
          <w:b/>
          <w:color w:val="000000" w:themeColor="text1"/>
          <w:sz w:val="24"/>
          <w:szCs w:val="24"/>
        </w:rPr>
        <w:t xml:space="preserve">3.2.</w:t>
      </w:r>
      <w:r>
        <w:rPr>
          <w:rFonts w:ascii="Times New Roman" w:hAnsi="Times New Roman" w:cs="Times New Roman"/>
          <w:b/>
          <w:color w:val="000000" w:themeColor="text1"/>
          <w:sz w:val="24"/>
          <w:szCs w:val="24"/>
          <w:lang w:val="en-US"/>
        </w:rPr>
        <w:t xml:space="preserve">4. Integrated Calendars and Student Rotation Systems</w:t>
      </w:r>
      <w:bookmarkEnd w:id="42"/>
      <w:r/>
      <w:r>
        <w:rPr>
          <w:rFonts w:ascii="Times New Roman" w:hAnsi="Times New Roman" w:cs="Times New Roman"/>
          <w:b/>
          <w:color w:val="000000" w:themeColor="text1"/>
          <w:sz w:val="24"/>
          <w:szCs w:val="24"/>
          <w:lang w:val="en-US"/>
        </w:rPr>
      </w:r>
    </w:p>
    <w:p w14:paraId="003D3771" w14:textId="173E4F04">
      <w:pPr>
        <w:pBdr/>
        <w:spacing/>
        <w:ind/>
        <w:jc w:val="both"/>
        <w:rPr>
          <w:rFonts w:ascii="Times New Roman" w:hAnsi="Times New Roman" w:cs="Times New Roman"/>
          <w:lang w:val="en-US"/>
        </w:rPr>
      </w:pPr>
      <w:r>
        <w:rPr>
          <w:rFonts w:ascii="Times New Roman" w:hAnsi="Times New Roman" w:cs="Times New Roman"/>
          <w:lang w:val="en-US"/>
        </w:rPr>
        <w:t xml:space="preserve">Operational feasibility relies on the careful synchronization of educational activities with biological and climatic cycles. The PTU operates on annual agricultural calendars that align crop planting and livestock breeding cycles with the national school calendar and local agro-ecological seasons. This ensures students can participate in full production cycles; from inception to market; within their academic term. To ensure equitable access to facilities, a student rotation system will be implemented, where learners move through crop fields, livestock barns, and processing laboratories. This rotation is strategically scheduled to maximize hands-on exposure to the entire value chain without hindering the productivity of the commercial units or disrupting theoretical studies.</w:t>
      </w:r>
    </w:p>
    <w:p w14:paraId="47848D1E" w14:textId="60564826">
      <w:pPr>
        <w:pStyle w:val="795"/>
        <w:pBdr/>
        <w:spacing/>
        <w:ind/>
        <w:rPr>
          <w:rFonts w:ascii="Times New Roman" w:hAnsi="Times New Roman" w:cs="Times New Roman"/>
          <w:b/>
          <w:color w:val="000000" w:themeColor="text1"/>
          <w:sz w:val="24"/>
          <w:szCs w:val="24"/>
          <w:lang w:val="en-US"/>
        </w:rPr>
      </w:pPr>
      <w:r/>
      <w:bookmarkStart w:id="43" w:name="_Toc233892432"/>
      <w:r>
        <w:rPr>
          <w:rFonts w:ascii="Times New Roman" w:hAnsi="Times New Roman" w:cs="Times New Roman"/>
          <w:b/>
          <w:color w:val="000000" w:themeColor="text1"/>
          <w:sz w:val="24"/>
          <w:szCs w:val="24"/>
        </w:rPr>
        <w:t xml:space="preserve">3.2.</w:t>
      </w:r>
      <w:r>
        <w:rPr>
          <w:rFonts w:ascii="Times New Roman" w:hAnsi="Times New Roman" w:cs="Times New Roman"/>
          <w:b/>
          <w:color w:val="000000" w:themeColor="text1"/>
          <w:sz w:val="24"/>
          <w:szCs w:val="24"/>
          <w:lang w:val="en-US"/>
        </w:rPr>
        <w:t xml:space="preserve">5. Health, Safety, and Biosecurity Protocols</w:t>
      </w:r>
      <w:bookmarkEnd w:id="43"/>
      <w:r/>
      <w:r>
        <w:rPr>
          <w:rFonts w:ascii="Times New Roman" w:hAnsi="Times New Roman" w:cs="Times New Roman"/>
          <w:b/>
          <w:color w:val="000000" w:themeColor="text1"/>
          <w:sz w:val="24"/>
          <w:szCs w:val="24"/>
          <w:lang w:val="en-US"/>
        </w:rPr>
      </w:r>
    </w:p>
    <w:p w14:paraId="4326920A" w14:textId="77777777">
      <w:pPr>
        <w:pBdr/>
        <w:spacing/>
        <w:ind/>
        <w:jc w:val="both"/>
        <w:rPr>
          <w:rFonts w:ascii="Times New Roman" w:hAnsi="Times New Roman" w:cs="Times New Roman"/>
          <w:lang w:val="en-US"/>
        </w:rPr>
      </w:pPr>
      <w:r>
        <w:rPr>
          <w:rFonts w:ascii="Times New Roman" w:hAnsi="Times New Roman" w:cs="Times New Roman"/>
          <w:lang w:val="en-US"/>
        </w:rPr>
        <w:t xml:space="preserve">A high-functioning PTU must manage the inherent risks of agricultural production through rigorous health and safety protocols. Comprehensive measures are established to protect students, staff, and visitors, including mandatory orientation on the safe handling of machinery, chemicals, and livestock. In livestock units, strict biosecurity measures are embedded to prevent disease outbreaks, while food processing facilities follow occupational safety standards to minimize physical and microbial risks. The facility is equipped with emergency response procedures for fire, first aid, and evacuation, and staff undergo regular refresher courses to maintain compliance with national safety regulations. Facilities are also designed with inclusivity in mind, featuring accessible pathways and safety equipment suitable for a diverse student body.</w:t>
      </w:r>
    </w:p>
    <w:p w14:paraId="39BD5F34" w14:textId="418725CF">
      <w:pPr>
        <w:pStyle w:val="795"/>
        <w:pBdr/>
        <w:spacing/>
        <w:ind/>
        <w:rPr>
          <w:rFonts w:ascii="Times New Roman" w:hAnsi="Times New Roman" w:cs="Times New Roman"/>
          <w:b/>
          <w:color w:val="000000" w:themeColor="text1"/>
          <w:sz w:val="24"/>
          <w:szCs w:val="24"/>
          <w:lang w:val="en-US"/>
        </w:rPr>
      </w:pPr>
      <w:r/>
      <w:bookmarkStart w:id="44" w:name="_Toc233892433"/>
      <w:r>
        <w:rPr>
          <w:rFonts w:ascii="Times New Roman" w:hAnsi="Times New Roman" w:cs="Times New Roman"/>
          <w:b/>
          <w:color w:val="000000" w:themeColor="text1"/>
          <w:sz w:val="24"/>
          <w:szCs w:val="24"/>
          <w:lang w:val="en-US"/>
        </w:rPr>
        <w:t xml:space="preserve">3.2.6. Record-Keeping and Evidence-Based Management</w:t>
      </w:r>
      <w:bookmarkEnd w:id="44"/>
      <w:r/>
      <w:r>
        <w:rPr>
          <w:rFonts w:ascii="Times New Roman" w:hAnsi="Times New Roman" w:cs="Times New Roman"/>
          <w:b/>
          <w:color w:val="000000" w:themeColor="text1"/>
          <w:sz w:val="24"/>
          <w:szCs w:val="24"/>
          <w:lang w:val="en-US"/>
        </w:rPr>
      </w:r>
    </w:p>
    <w:p w14:paraId="30FA1200"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operational backbone of the PTU is a comprehensive record-keeping and documentation system that tracks production outputs, training activities, and financial transactions. Utilizing both digital tools (such as Excel or customized management software) and manual templates, the system captures data on crop yields, livestock performance, and processing volumes, as well as student competency attainment and assessment results. These records serve as both a pedagogical tool for students learning agribusiness management and an accountability mechanism for institutional leadership. Regular data analysis allows management to monitor financial streams and cost-recovery mechanisms, ensuring transparency and providing the evidence needed for strategic reinvestment into the PTU’s technological infrastructure.</w:t>
      </w:r>
    </w:p>
    <w:p w14:paraId="22187F53" w14:textId="538DA9E5">
      <w:pPr>
        <w:pStyle w:val="794"/>
        <w:pBdr/>
        <w:spacing/>
        <w:ind/>
        <w:rPr>
          <w:rFonts w:ascii="Times New Roman" w:hAnsi="Times New Roman" w:cs="Times New Roman"/>
          <w:b/>
          <w:color w:val="000000" w:themeColor="text1"/>
          <w:sz w:val="24"/>
          <w:szCs w:val="24"/>
        </w:rPr>
      </w:pPr>
      <w:r/>
      <w:bookmarkStart w:id="45" w:name="_Toc233892434"/>
      <w:commentRangeStart w:id="8"/>
      <w:r>
        <w:rPr>
          <w:rFonts w:ascii="Times New Roman" w:hAnsi="Times New Roman" w:cs="Times New Roman"/>
          <w:b/>
          <w:color w:val="000000" w:themeColor="text1"/>
          <w:sz w:val="24"/>
          <w:szCs w:val="24"/>
        </w:rPr>
        <w:t xml:space="preserve">3.3. Financial feasibility</w:t>
      </w:r>
      <w:commentRangeEnd w:id="8"/>
      <w:r>
        <w:rPr>
          <w:rStyle w:val="CommentReference"/>
        </w:rPr>
        <w:commentReference w:id="8"/>
      </w:r>
      <w:bookmarkEnd w:id="45"/>
      <w:r/>
      <w:r>
        <w:rPr>
          <w:rFonts w:ascii="Times New Roman" w:hAnsi="Times New Roman" w:cs="Times New Roman"/>
          <w:b/>
          <w:color w:val="000000" w:themeColor="text1"/>
          <w:sz w:val="24"/>
          <w:szCs w:val="24"/>
        </w:rPr>
      </w:r>
    </w:p>
    <w:p w14:paraId="4F8B0049" w14:textId="77777777">
      <w:pPr>
        <w:pBdr/>
        <w:spacing w:after="120"/>
        <w:ind/>
        <w:jc w:val="both"/>
        <w:rPr>
          <w:rFonts w:ascii="Times New Roman" w:hAnsi="Times New Roman" w:cs="Times New Roman"/>
          <w:lang w:val="en-US"/>
        </w:rPr>
      </w:pPr>
      <w:r>
        <w:rPr>
          <w:rFonts w:ascii="Times New Roman" w:hAnsi="Times New Roman" w:cs="Times New Roman"/>
          <w:lang w:val="en-US"/>
        </w:rPr>
        <w:t xml:space="preserve">The Financial Feasibility of the Practical Training Unit (PTU) model is designed to ensure the unit functions as a training-scale commercial enterprise that can sustain high-quality instruction through its own productivity. This feasibility is demonstrated through a comprehensive business model that transitions the facility from total institutional dependence toward a system of long-term viability. The framework strategically balances the educational mission of the "Learn by Doing" methodology with the technical rigor of a market-oriented agribusiness, ensuring that revenue generated from climate-smart production is reinvested into the maintenance and technological upgrading of the facility. The following sub-chapters detail the financial strategies, revenue streams, and cost-recovery mechanisms required to maintain the PTU as a sustainable learning-production ecosystem.</w:t>
      </w:r>
    </w:p>
    <w:p w14:paraId="2296C604" w14:textId="45B6305E">
      <w:pPr>
        <w:pStyle w:val="795"/>
        <w:pBdr/>
        <w:spacing/>
        <w:ind/>
        <w:rPr>
          <w:rFonts w:ascii="Times New Roman" w:hAnsi="Times New Roman" w:cs="Times New Roman"/>
          <w:b/>
          <w:color w:val="000000" w:themeColor="text1"/>
          <w:sz w:val="24"/>
          <w:szCs w:val="24"/>
          <w:lang w:val="en-US"/>
        </w:rPr>
      </w:pPr>
      <w:r/>
      <w:bookmarkStart w:id="46" w:name="_Toc233892435"/>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1. Integrated Business Model and Commercial Strategy</w:t>
      </w:r>
      <w:bookmarkEnd w:id="46"/>
      <w:r/>
      <w:r>
        <w:rPr>
          <w:rFonts w:ascii="Times New Roman" w:hAnsi="Times New Roman" w:cs="Times New Roman"/>
          <w:b/>
          <w:color w:val="000000" w:themeColor="text1"/>
          <w:sz w:val="24"/>
          <w:szCs w:val="24"/>
          <w:lang w:val="en-US"/>
        </w:rPr>
      </w:r>
    </w:p>
    <w:p w14:paraId="0D374499" w14:textId="77777777">
      <w:pPr>
        <w:pBdr/>
        <w:spacing w:after="120"/>
        <w:ind/>
        <w:jc w:val="both"/>
        <w:rPr>
          <w:rFonts w:ascii="Times New Roman" w:hAnsi="Times New Roman" w:cs="Times New Roman"/>
          <w:lang w:val="en-US"/>
        </w:rPr>
      </w:pPr>
      <w:r>
        <w:rPr>
          <w:rFonts w:ascii="Times New Roman" w:hAnsi="Times New Roman" w:cs="Times New Roman"/>
          <w:lang w:val="en-US"/>
        </w:rPr>
        <w:t xml:space="preserve">The PTU operates under a dual-purpose business model where production units serve simultaneously as "teaching laboratories" and "commercial demonstration enterprises". This strategy ensures that students acquire market-relevant technical and managerial skills by participating in the full cycle of agricultural production, including initial enterprise budgeting, input procurement, and final market engagement. The commercial strategy is designed to showcase best practices for local farmers and agribusiness actors, proving that modern, climate-resilient agriculture can be both profitable and sustainable. By operating at a training-scale, the PTU bridges the gap between classroom theory and the practical demands of the agricultural sector, preparing graduates for roles as competent agripreneurs.</w:t>
      </w:r>
    </w:p>
    <w:p w14:paraId="1C4F5D74" w14:textId="0072C447">
      <w:pPr>
        <w:pStyle w:val="795"/>
        <w:pBdr/>
        <w:spacing/>
        <w:ind/>
        <w:rPr>
          <w:rFonts w:ascii="Times New Roman" w:hAnsi="Times New Roman" w:cs="Times New Roman"/>
          <w:b/>
          <w:color w:val="000000" w:themeColor="text1"/>
          <w:sz w:val="24"/>
          <w:szCs w:val="24"/>
          <w:lang w:val="en-US"/>
        </w:rPr>
      </w:pPr>
      <w:r/>
      <w:bookmarkStart w:id="47" w:name="_Toc233892436"/>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2. Diversified Revenue Generation and Income Streams</w:t>
      </w:r>
      <w:bookmarkEnd w:id="47"/>
      <w:r/>
      <w:r>
        <w:rPr>
          <w:rFonts w:ascii="Times New Roman" w:hAnsi="Times New Roman" w:cs="Times New Roman"/>
          <w:b/>
          <w:color w:val="000000" w:themeColor="text1"/>
          <w:sz w:val="24"/>
          <w:szCs w:val="24"/>
          <w:lang w:val="en-US"/>
        </w:rPr>
      </w:r>
    </w:p>
    <w:p w14:paraId="44414F1F" w14:textId="2B125FBB">
      <w:pPr>
        <w:pBdr/>
        <w:spacing w:after="120"/>
        <w:ind/>
        <w:jc w:val="both"/>
        <w:rPr>
          <w:rFonts w:ascii="Times New Roman" w:hAnsi="Times New Roman" w:cs="Times New Roman"/>
          <w:lang w:val="en-US"/>
        </w:rPr>
      </w:pPr>
      <w:r>
        <w:rPr>
          <w:rFonts w:ascii="Times New Roman" w:hAnsi="Times New Roman" w:cs="Times New Roman"/>
          <w:lang w:val="en-US"/>
        </w:rPr>
        <w:t xml:space="preserve">Financial feasibility within the PTU framework is sustained through diverse and complementary revenue streams that capitalize on the multi-functional nature of its specialized units. Primary income derives from the sale of surplus agricultural outputs, including crops from open-field and greenhouse plots, livestock products such as milk and meat, and value-added processed goods; yogurt, dried fruits, and high-quality flour; supplied to the school canteen and school feeding program.</w:t>
      </w:r>
    </w:p>
    <w:p w14:paraId="5CC28633" w14:textId="320E16FE">
      <w:pPr>
        <w:pBdr/>
        <w:spacing w:after="120"/>
        <w:ind/>
        <w:jc w:val="both"/>
        <w:rPr>
          <w:rFonts w:ascii="Times New Roman" w:hAnsi="Times New Roman" w:cs="Times New Roman"/>
          <w:lang w:val="en-US"/>
        </w:rPr>
      </w:pPr>
      <w:r>
        <w:rPr>
          <w:rFonts w:ascii="Times New Roman" w:hAnsi="Times New Roman" w:cs="Times New Roman"/>
          <w:lang w:val="en-US"/>
        </w:rPr>
        <w:t xml:space="preserve">Additionally, the PTU will generate revenue by offering extension and advisory services to the surrounding community. These include short courses for farmers, technology demonstration days, and the provision of quality biological inputs (seed and compost) produced within the circular waste management zone. Biogas produced on-site will be sold to the school as a renewable cooking energy source, while the school compensates the PTU for laboratory and workshop raw materials used in practical sessions. It is emphasized that the school’s didactic materials budget for practical exercises should be allocated directly to the PTU, ensuring internal financial circulation and sustainability. Through these diversified income streams, the PTU mitigates market volatility and strengthens its position as a regional hub for agricultural innovation and applied learning.</w:t>
      </w:r>
    </w:p>
    <w:p w14:paraId="21E9BC68" w14:textId="38ADBA5D">
      <w:pPr>
        <w:pStyle w:val="795"/>
        <w:pBdr/>
        <w:spacing/>
        <w:ind/>
        <w:rPr>
          <w:rFonts w:ascii="Times New Roman" w:hAnsi="Times New Roman" w:cs="Times New Roman"/>
          <w:b/>
          <w:color w:val="000000" w:themeColor="text1"/>
          <w:sz w:val="24"/>
          <w:szCs w:val="24"/>
          <w:lang w:val="en-US"/>
        </w:rPr>
      </w:pPr>
      <w:r/>
      <w:bookmarkStart w:id="48" w:name="_Toc233892437"/>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3. Cost-Recovery Mechanisms and Pricing Strategies</w:t>
      </w:r>
      <w:bookmarkEnd w:id="48"/>
      <w:r/>
      <w:r>
        <w:rPr>
          <w:rFonts w:ascii="Times New Roman" w:hAnsi="Times New Roman" w:cs="Times New Roman"/>
          <w:b/>
          <w:color w:val="000000" w:themeColor="text1"/>
          <w:sz w:val="24"/>
          <w:szCs w:val="24"/>
          <w:lang w:val="en-US"/>
        </w:rPr>
      </w:r>
    </w:p>
    <w:p w14:paraId="1EEDB39B" w14:textId="7224B062">
      <w:pPr>
        <w:pBdr/>
        <w:spacing w:after="120"/>
        <w:ind/>
        <w:jc w:val="both"/>
        <w:rPr>
          <w:rFonts w:ascii="Times New Roman" w:hAnsi="Times New Roman" w:cs="Times New Roman"/>
          <w:lang w:val="en-US"/>
        </w:rPr>
      </w:pPr>
      <w:r>
        <w:rPr>
          <w:rFonts w:ascii="Times New Roman" w:hAnsi="Times New Roman" w:cs="Times New Roman"/>
          <w:lang w:val="en-US"/>
        </w:rPr>
        <w:t xml:space="preserve">To achieve institutional sustainability, the PTU implements specific cost-recovery mechanisms that balance commercial profit with educational objectives. Pricing strategies for PTU products are benchmarked against local market rates but are positioned as locally branded, climate-smart, and high-quality goods to capture premium value. These mechanisms ensure that the costs of production inputs such as seeds, veterinary supplies, and processing chemicals are recovered through sales, thereby minimizing the financial burden on the TVET school. This financial discipline is also a pedagogical tool, as students are trained to monitor revenue streams and expenditures as part of their agribusiness management competencies.</w:t>
      </w:r>
    </w:p>
    <w:p w14:paraId="20100246" w14:textId="75078AF6">
      <w:pPr>
        <w:pStyle w:val="795"/>
        <w:pBdr/>
        <w:spacing/>
        <w:ind/>
        <w:rPr>
          <w:rFonts w:ascii="Times New Roman" w:hAnsi="Times New Roman" w:cs="Times New Roman"/>
          <w:b/>
          <w:color w:val="000000" w:themeColor="text1"/>
          <w:sz w:val="24"/>
          <w:szCs w:val="24"/>
          <w:lang w:val="en-US"/>
        </w:rPr>
      </w:pPr>
      <w:r/>
      <w:bookmarkStart w:id="49" w:name="_Toc233892438"/>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4. Phased Investment and Operational Budgeting</w:t>
      </w:r>
      <w:bookmarkEnd w:id="49"/>
      <w:r/>
      <w:r>
        <w:rPr>
          <w:rFonts w:ascii="Times New Roman" w:hAnsi="Times New Roman" w:cs="Times New Roman"/>
          <w:b/>
          <w:color w:val="000000" w:themeColor="text1"/>
          <w:sz w:val="24"/>
          <w:szCs w:val="24"/>
          <w:lang w:val="en-US"/>
        </w:rPr>
      </w:r>
    </w:p>
    <w:p w14:paraId="2133FD6A" w14:textId="233A95F3">
      <w:pPr>
        <w:pBdr/>
        <w:spacing w:after="120"/>
        <w:ind/>
        <w:jc w:val="both"/>
        <w:rPr>
          <w:rFonts w:ascii="Times New Roman" w:hAnsi="Times New Roman" w:cs="Times New Roman"/>
          <w:lang w:val="en-US"/>
        </w:rPr>
      </w:pPr>
      <w:r>
        <w:rPr>
          <w:rFonts w:ascii="Times New Roman" w:hAnsi="Times New Roman" w:cs="Times New Roman"/>
          <w:lang w:val="en-US"/>
        </w:rPr>
        <w:t xml:space="preserve">The financial plan provides detailed budget projections that differentiate between the high initial establishment costs and ongoing operational expenses. Investment requirements are structured into a phased implementation plan, allowing for the gradual activation of production units as institutional capacity grows. This approach identifies specific requirements for donor support, private investment, and institutional reinvestment, ensuring that critical infrastructure such as the 30,000 m³ reservoir or specialized processing buildings is funded before production begins. Precise cost estimates for machinery, tools, and circular energy systems are integrated into these projections to provide a clear roadmap for long-term fiscal planning.</w:t>
      </w:r>
    </w:p>
    <w:p w14:paraId="628D9802" w14:textId="4982BC53">
      <w:pPr>
        <w:pStyle w:val="795"/>
        <w:pBdr/>
        <w:spacing/>
        <w:ind/>
        <w:rPr>
          <w:rFonts w:ascii="Times New Roman" w:hAnsi="Times New Roman" w:cs="Times New Roman"/>
          <w:b/>
          <w:color w:val="000000" w:themeColor="text1"/>
          <w:sz w:val="24"/>
          <w:szCs w:val="24"/>
          <w:lang w:val="en-US"/>
        </w:rPr>
      </w:pPr>
      <w:r/>
      <w:bookmarkStart w:id="50" w:name="_Toc233892439"/>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5. Financial Management, Accountability, and Transparency</w:t>
      </w:r>
      <w:bookmarkEnd w:id="50"/>
      <w:r/>
      <w:r>
        <w:rPr>
          <w:rFonts w:ascii="Times New Roman" w:hAnsi="Times New Roman" w:cs="Times New Roman"/>
          <w:b/>
          <w:color w:val="000000" w:themeColor="text1"/>
          <w:sz w:val="24"/>
          <w:szCs w:val="24"/>
          <w:lang w:val="en-US"/>
        </w:rPr>
      </w:r>
    </w:p>
    <w:p w14:paraId="6D0D7005" w14:textId="77777777">
      <w:pPr>
        <w:pBdr/>
        <w:spacing w:after="120"/>
        <w:ind/>
        <w:jc w:val="both"/>
        <w:rPr>
          <w:rFonts w:ascii="Times New Roman" w:hAnsi="Times New Roman" w:cs="Times New Roman"/>
          <w:lang w:val="en-US"/>
        </w:rPr>
      </w:pPr>
      <w:r>
        <w:rPr>
          <w:rFonts w:ascii="Times New Roman" w:hAnsi="Times New Roman" w:cs="Times New Roman"/>
          <w:lang w:val="en-US"/>
        </w:rPr>
        <w:t xml:space="preserve">Operational credibility is maintained through rigorous financial management procedures, including standardized budgeting, accounting, and revenue tracking protocols. The PTU Management Unit is responsible for maintaining transparent records of all transactions, utilizing digital tools to monitor the financial performance of every unit in real-time. This evidence-based approach ensures that data is available for institutional leadership and development partners, fostering a culture of accountability. Furthermore, staff performance is tied to these financial indicators through the dual accountability model, where trainers and enterprise managers are responsible for both student learning and the commercial viability of their units.</w:t>
      </w:r>
    </w:p>
    <w:p w14:paraId="378F7437" w14:textId="35B556EB">
      <w:pPr>
        <w:pStyle w:val="795"/>
        <w:pBdr/>
        <w:spacing/>
        <w:ind/>
        <w:rPr>
          <w:rFonts w:ascii="Times New Roman" w:hAnsi="Times New Roman" w:cs="Times New Roman"/>
          <w:b/>
          <w:color w:val="000000" w:themeColor="text1"/>
          <w:sz w:val="24"/>
          <w:szCs w:val="24"/>
          <w:lang w:val="en-US"/>
        </w:rPr>
      </w:pPr>
      <w:r/>
      <w:bookmarkStart w:id="51" w:name="_Toc233892440"/>
      <w:r>
        <w:rPr>
          <w:rFonts w:ascii="Times New Roman" w:hAnsi="Times New Roman" w:cs="Times New Roman"/>
          <w:b/>
          <w:color w:val="000000" w:themeColor="text1"/>
          <w:sz w:val="24"/>
          <w:szCs w:val="24"/>
        </w:rPr>
        <w:t xml:space="preserve">3.3.</w:t>
      </w:r>
      <w:r>
        <w:rPr>
          <w:rFonts w:ascii="Times New Roman" w:hAnsi="Times New Roman" w:cs="Times New Roman"/>
          <w:b/>
          <w:color w:val="000000" w:themeColor="text1"/>
          <w:sz w:val="24"/>
          <w:szCs w:val="24"/>
          <w:lang w:val="en-US"/>
        </w:rPr>
        <w:t xml:space="preserve">6. Reinvestment and Asset Sustainability</w:t>
      </w:r>
      <w:bookmarkEnd w:id="51"/>
      <w:r/>
      <w:r>
        <w:rPr>
          <w:rFonts w:ascii="Times New Roman" w:hAnsi="Times New Roman" w:cs="Times New Roman"/>
          <w:b/>
          <w:color w:val="000000" w:themeColor="text1"/>
          <w:sz w:val="24"/>
          <w:szCs w:val="24"/>
          <w:lang w:val="en-US"/>
        </w:rPr>
      </w:r>
    </w:p>
    <w:p w14:paraId="67B3C512" w14:textId="16936094">
      <w:pPr>
        <w:pBdr/>
        <w:spacing w:after="120"/>
        <w:ind/>
        <w:jc w:val="both"/>
        <w:rPr>
          <w:rFonts w:ascii="Times New Roman" w:hAnsi="Times New Roman" w:cs="Times New Roman"/>
          <w:lang w:val="en-US"/>
        </w:rPr>
      </w:pPr>
      <w:r>
        <w:rPr>
          <w:rFonts w:ascii="Times New Roman" w:hAnsi="Times New Roman" w:cs="Times New Roman"/>
          <w:lang w:val="en-US"/>
        </w:rPr>
        <w:t xml:space="preserve">A critical component of financial feasibility is a structured reinvestment strategy aimed at maintaining the PTU’s technological edge. A portion of the commercial revenue is set aside for the routine maintenance and repair of specialized machinery; such as mini-threshers, pasteurizers, and solar pumping systems; and the periodic replacement of assets like IoT sensors and greenhouse covers. This strategy prevents the degradation of facilities and ensures the PTU remains a national benchmark for agricultural excellence. By reinvesting profits back into the "learning laboratory," the PTU sustains a high-productivity environment that continuously delivers industry-ready graduates and advanced community services.</w:t>
      </w:r>
    </w:p>
    <w:p w14:paraId="6487E310" w14:textId="53ECBC6B">
      <w:pPr>
        <w:pStyle w:val="793"/>
        <w:pBdr/>
        <w:spacing/>
        <w:ind/>
        <w:rPr>
          <w:rFonts w:ascii="Times New Roman" w:hAnsi="Times New Roman" w:cs="Times New Roman"/>
          <w:b/>
          <w:color w:val="000000" w:themeColor="text1"/>
          <w:sz w:val="24"/>
          <w:szCs w:val="24"/>
        </w:rPr>
      </w:pPr>
      <w:r/>
      <w:bookmarkStart w:id="52" w:name="_Toc233892441"/>
      <w:r>
        <w:rPr>
          <w:rFonts w:ascii="Times New Roman" w:hAnsi="Times New Roman" w:cs="Times New Roman"/>
          <w:b/>
          <w:color w:val="000000" w:themeColor="text1"/>
          <w:sz w:val="24"/>
          <w:szCs w:val="24"/>
        </w:rPr>
        <w:t xml:space="preserve">4. CROSS-CUTTING FRAMEWORKS</w:t>
      </w:r>
      <w:bookmarkEnd w:id="52"/>
      <w:r/>
      <w:r>
        <w:rPr>
          <w:rFonts w:ascii="Times New Roman" w:hAnsi="Times New Roman" w:cs="Times New Roman"/>
          <w:b/>
          <w:color w:val="000000" w:themeColor="text1"/>
          <w:sz w:val="24"/>
          <w:szCs w:val="24"/>
        </w:rPr>
      </w:r>
    </w:p>
    <w:p w14:paraId="4C1ED778" w14:textId="0F15E68B">
      <w:pPr>
        <w:pStyle w:val="794"/>
        <w:pBdr/>
        <w:spacing/>
        <w:ind/>
        <w:rPr>
          <w:rFonts w:ascii="Times New Roman" w:hAnsi="Times New Roman" w:cs="Times New Roman"/>
          <w:b/>
          <w:color w:val="000000" w:themeColor="text1"/>
          <w:sz w:val="24"/>
          <w:szCs w:val="24"/>
        </w:rPr>
      </w:pPr>
      <w:r/>
      <w:bookmarkStart w:id="53" w:name="_Toc233892442"/>
      <w:r>
        <w:rPr>
          <w:rFonts w:ascii="Times New Roman" w:hAnsi="Times New Roman" w:cs="Times New Roman"/>
          <w:b/>
          <w:color w:val="000000" w:themeColor="text1"/>
          <w:sz w:val="24"/>
          <w:szCs w:val="24"/>
        </w:rPr>
        <w:t xml:space="preserve">4.1 Climate-Smart Strategy</w:t>
      </w:r>
      <w:bookmarkEnd w:id="53"/>
      <w:r>
        <w:rPr>
          <w:rFonts w:ascii="Times New Roman" w:hAnsi="Times New Roman" w:cs="Times New Roman"/>
          <w:b/>
          <w:color w:val="000000" w:themeColor="text1"/>
          <w:sz w:val="24"/>
          <w:szCs w:val="24"/>
        </w:rPr>
        <w:t xml:space="preserve">       </w:t>
      </w:r>
    </w:p>
    <w:p w14:paraId="563CFDB2" w14:textId="59A4203E">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Practical Training Unit (PTU) will be designed as a climate-smart learning environment that integrates sustainable technologies and environmentally responsible practices into both infrastructure and practical training. The PTU will serve as a demonstration site where learners and surrounding acquire technical competencies while applying climate-resilient and resource-efficient production systems.</w:t>
      </w:r>
    </w:p>
    <w:p w14:paraId="7CDD6D1A"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The PTU will incorporate renewable energy technologies, including solar power systems to support lighting, water pumping, and selected equipment, as well as biogas production from livestock manure to provide clean energy for practical training activities and reduce dependence on conventional fuels. These systems will provide learners with hands-on experience in renewable energy technologies while reducing operational costs and greenhouse gas emissions.</w:t>
      </w:r>
    </w:p>
    <w:p w14:paraId="55AF7DAC"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Water conservation will be integrated throughout the facility through rainwater harvesting, water storage systems, efficient irrigation technologies, and water reuse where appropriate. These measures will improve water security for agricultural production while demonstrating sustainable water management practices suitable for climate-resilient agriculture.</w:t>
      </w:r>
    </w:p>
    <w:p w14:paraId="487519CF"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Regenerative agriculture practices will form part of the practical training model. The PTU will promote composting, organic manure production, soil conservation, crop rotation, mulching, agroforestry, integrated crop-livestock systems, and climate-smart livestock management to improve soil health, increase productivity, and strengthen resilience to climate variability.</w:t>
      </w:r>
    </w:p>
    <w:p w14:paraId="7A0B25FC" w14:textId="0B82065B">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Environmental sustainability will also be embedded in daily PTU operations through waste segregation, recycling, proper management of livestock and organic waste, and safe disposal of non-recyclable materials. Environmental awareness activities will be integrated into learner practical sessions rather than relying solely on extracurricular clubs, ensuring that all students participate regardless of their programme of study. Environmental monitoring indicators, including water use, waste reduction, renewable energy generation, and tree planting, will be incorporated into PTU management to promote continuous improvement.</w:t>
      </w:r>
    </w:p>
    <w:p w14:paraId="586193D6" w14:textId="791E96CC">
      <w:pPr>
        <w:pStyle w:val="828"/>
        <w:pBdr/>
        <w:spacing/>
        <w:ind/>
        <w:rPr>
          <w:rFonts w:ascii="Times New Roman" w:hAnsi="Times New Roman" w:eastAsia="Times New Roman" w:cs="Times New Roman"/>
          <w:b/>
          <w:bCs/>
          <w:i w:val="0"/>
          <w:color w:val="000000" w:themeColor="text1"/>
          <w:sz w:val="24"/>
          <w:szCs w:val="24"/>
          <w:lang w:val="en-US"/>
        </w:rPr>
      </w:pPr>
      <w:r/>
      <w:bookmarkStart w:id="54" w:name="_Toc233888976"/>
      <w:r>
        <w:rPr>
          <w:rFonts w:ascii="Times New Roman" w:hAnsi="Times New Roman" w:cs="Times New Roman"/>
          <w:b/>
          <w:i w:val="0"/>
          <w:color w:val="000000" w:themeColor="text1"/>
          <w:sz w:val="24"/>
          <w:szCs w:val="24"/>
        </w:rPr>
        <w:t xml:space="preserve">Table </w:t>
        <w:fldChar w:fldCharType="begin"/>
        <w:instrText xml:space="preserve"> SEQ Table \* ARABIC </w:instrText>
        <w:fldChar w:fldCharType="separate"/>
        <w:t xml:space="preserve">12</w:t>
        <w:fldChar w:fldCharType="end"/>
        <w:t xml:space="preserve">:</w:t>
      </w:r>
      <w:r>
        <w:rPr>
          <w:rFonts w:ascii="Times New Roman" w:hAnsi="Times New Roman" w:eastAsia="Times New Roman" w:cs="Times New Roman"/>
          <w:b/>
          <w:bCs/>
          <w:i w:val="0"/>
          <w:color w:val="000000" w:themeColor="text1"/>
          <w:sz w:val="24"/>
          <w:szCs w:val="24"/>
          <w:lang w:val="en-US"/>
        </w:rPr>
        <w:t xml:space="preserve"> Waste Management &amp; Environmental Tools</w:t>
      </w:r>
      <w:bookmarkEnd w:id="54"/>
      <w:r>
        <w:rPr>
          <w:rFonts w:ascii="Times New Roman" w:hAnsi="Times New Roman" w:eastAsia="Times New Roman" w:cs="Times New Roman"/>
          <w:b/>
          <w:bCs/>
          <w:i w:val="0"/>
          <w:color w:val="000000" w:themeColor="text1"/>
          <w:sz w:val="24"/>
          <w:szCs w:val="24"/>
          <w:lang w:val="en-US"/>
        </w:rPr>
        <w:t xml:space="preserve"> </w:t>
      </w:r>
    </w:p>
    <w:tbl>
      <w:tblPr>
        <w:tblStyle w:val="822"/>
        <w:tblW w:w="0" w:type="auto"/>
        <w:tblBorders/>
        <w:tblLook w:val="04A0" w:firstRow="1" w:lastRow="0" w:firstColumn="1" w:lastColumn="0" w:noHBand="0" w:noVBand="1"/>
      </w:tblPr>
      <w:tblGrid>
        <w:gridCol w:w="2310"/>
        <w:gridCol w:w="4507"/>
        <w:gridCol w:w="3073"/>
      </w:tblGrid>
      <w:tr>
        <w:trPr/>
        <w:tc>
          <w:tcPr>
            <w:tcBorders/>
            <w:tcW w:w="0" w:type="auto"/>
            <w:textDirection w:val="lrTb"/>
            <w:noWrap w:val="false"/>
          </w:tcPr>
          <w:p w14:paraId="327165D7"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Tool/Equipment</w:t>
            </w:r>
          </w:p>
        </w:tc>
        <w:tc>
          <w:tcPr>
            <w:tcBorders/>
            <w:tcW w:w="0" w:type="auto"/>
            <w:textDirection w:val="lrTb"/>
            <w:noWrap w:val="false"/>
          </w:tcPr>
          <w:p w14:paraId="435CAE90"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Specifications (with sizes)</w:t>
            </w:r>
          </w:p>
        </w:tc>
        <w:tc>
          <w:tcPr>
            <w:tcBorders/>
            <w:tcW w:w="0" w:type="auto"/>
            <w:textDirection w:val="lrTb"/>
            <w:noWrap w:val="false"/>
          </w:tcPr>
          <w:p w14:paraId="55A1B2C3"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Purpose</w:t>
            </w:r>
          </w:p>
        </w:tc>
      </w:tr>
      <w:tr>
        <w:trPr/>
        <w:tc>
          <w:tcPr>
            <w:tcBorders/>
            <w:tcW w:w="0" w:type="auto"/>
            <w:textDirection w:val="lrTb"/>
            <w:noWrap w:val="false"/>
          </w:tcPr>
          <w:p w14:paraId="23AAE32D"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Waste Segregation Bins</w:t>
            </w:r>
          </w:p>
        </w:tc>
        <w:tc>
          <w:tcPr>
            <w:tcBorders/>
            <w:tcW w:w="0" w:type="auto"/>
            <w:textDirection w:val="lrTb"/>
            <w:noWrap w:val="false"/>
          </w:tcPr>
          <w:p w14:paraId="6DD9FFE6" w14:textId="622F41F5">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Color-coded bins (organic, plastic, metal, general); 60 L per bin</w:t>
            </w:r>
          </w:p>
        </w:tc>
        <w:tc>
          <w:tcPr>
            <w:tcBorders/>
            <w:tcW w:w="0" w:type="auto"/>
            <w:textDirection w:val="lrTb"/>
            <w:noWrap w:val="false"/>
          </w:tcPr>
          <w:p w14:paraId="5F3B107E"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Facilitate systematic waste sorting and recycling.</w:t>
            </w:r>
          </w:p>
        </w:tc>
      </w:tr>
      <w:tr>
        <w:trPr/>
        <w:tc>
          <w:tcPr>
            <w:tcBorders/>
            <w:tcW w:w="0" w:type="auto"/>
            <w:textDirection w:val="lrTb"/>
            <w:noWrap w:val="false"/>
          </w:tcPr>
          <w:p w14:paraId="7B12DDE9"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Composting Units</w:t>
            </w:r>
          </w:p>
        </w:tc>
        <w:tc>
          <w:tcPr>
            <w:tcBorders/>
            <w:tcW w:w="0" w:type="auto"/>
            <w:textDirection w:val="lrTb"/>
            <w:noWrap w:val="false"/>
          </w:tcPr>
          <w:p w14:paraId="1DD8398B" w14:textId="7FB2D0D6">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Aerated compost chambers; 3-5 m³ capacity; reinforced with ventilation pipes</w:t>
            </w:r>
          </w:p>
        </w:tc>
        <w:tc>
          <w:tcPr>
            <w:tcBorders/>
            <w:tcW w:w="0" w:type="auto"/>
            <w:textDirection w:val="lrTb"/>
            <w:noWrap w:val="false"/>
          </w:tcPr>
          <w:p w14:paraId="0B2453C1"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Convert organic waste into compost for soil enrichment.</w:t>
            </w:r>
          </w:p>
        </w:tc>
      </w:tr>
      <w:tr>
        <w:trPr/>
        <w:tc>
          <w:tcPr>
            <w:tcBorders/>
            <w:tcW w:w="0" w:type="auto"/>
            <w:textDirection w:val="lrTb"/>
            <w:noWrap w:val="false"/>
          </w:tcPr>
          <w:p w14:paraId="24B10024"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Recycling Storage Area</w:t>
            </w:r>
          </w:p>
        </w:tc>
        <w:tc>
          <w:tcPr>
            <w:tcBorders/>
            <w:tcW w:w="0" w:type="auto"/>
            <w:textDirection w:val="lrTb"/>
            <w:noWrap w:val="false"/>
          </w:tcPr>
          <w:p w14:paraId="355F321B"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Covered, ventilated structure; 20–30 m² floor space</w:t>
            </w:r>
          </w:p>
        </w:tc>
        <w:tc>
          <w:tcPr>
            <w:tcBorders/>
            <w:tcW w:w="0" w:type="auto"/>
            <w:textDirection w:val="lrTb"/>
            <w:noWrap w:val="false"/>
          </w:tcPr>
          <w:p w14:paraId="2012052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Temporary storage of recyclable materials before processing.</w:t>
            </w:r>
          </w:p>
        </w:tc>
      </w:tr>
      <w:tr>
        <w:trPr/>
        <w:tc>
          <w:tcPr>
            <w:tcBorders/>
            <w:tcW w:w="0" w:type="auto"/>
            <w:textDirection w:val="lrTb"/>
            <w:noWrap w:val="false"/>
          </w:tcPr>
          <w:p w14:paraId="75E87B84"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PPE for Waste Handling</w:t>
            </w:r>
          </w:p>
        </w:tc>
        <w:tc>
          <w:tcPr>
            <w:tcBorders/>
            <w:tcW w:w="0" w:type="auto"/>
            <w:textDirection w:val="lrTb"/>
            <w:noWrap w:val="false"/>
          </w:tcPr>
          <w:p w14:paraId="72D75D8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Gloves (nitrile, medium/large), boots (PVC, size 40–46), masks (N95), aprons (PVC, 1.2 m length)</w:t>
            </w:r>
          </w:p>
        </w:tc>
        <w:tc>
          <w:tcPr>
            <w:tcBorders/>
            <w:tcW w:w="0" w:type="auto"/>
            <w:textDirection w:val="lrTb"/>
            <w:noWrap w:val="false"/>
          </w:tcPr>
          <w:p w14:paraId="4B2BF782"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Ensure safety and hygiene for waste management personnel.</w:t>
            </w:r>
          </w:p>
        </w:tc>
      </w:tr>
      <w:tr>
        <w:trPr/>
        <w:tc>
          <w:tcPr>
            <w:tcBorders/>
            <w:tcW w:w="0" w:type="auto"/>
            <w:textDirection w:val="lrTb"/>
            <w:noWrap w:val="false"/>
          </w:tcPr>
          <w:p w14:paraId="05C7F3CD"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Waste Collection Carts</w:t>
            </w:r>
          </w:p>
        </w:tc>
        <w:tc>
          <w:tcPr>
            <w:tcBorders/>
            <w:tcW w:w="0" w:type="auto"/>
            <w:textDirection w:val="lrTb"/>
            <w:noWrap w:val="false"/>
          </w:tcPr>
          <w:p w14:paraId="62E0B040"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Wheeled carts; 200–500 L capacity; galvanized steel or HDPE</w:t>
            </w:r>
          </w:p>
        </w:tc>
        <w:tc>
          <w:tcPr>
            <w:tcBorders/>
            <w:tcW w:w="0" w:type="auto"/>
            <w:textDirection w:val="lrTb"/>
            <w:noWrap w:val="false"/>
          </w:tcPr>
          <w:p w14:paraId="60D66A9A"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Enable efficient internal waste transport across units.</w:t>
            </w:r>
          </w:p>
        </w:tc>
      </w:tr>
      <w:tr>
        <w:trPr/>
        <w:tc>
          <w:tcPr>
            <w:tcBorders/>
            <w:tcW w:w="0" w:type="auto"/>
            <w:textDirection w:val="lrTb"/>
            <w:noWrap w:val="false"/>
          </w:tcPr>
          <w:p w14:paraId="3BEC4B0C" w14:textId="77777777">
            <w:pPr>
              <w:pBdr/>
              <w:spacing/>
              <w:ind/>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Incinerator (Low-Emission)</w:t>
            </w:r>
          </w:p>
        </w:tc>
        <w:tc>
          <w:tcPr>
            <w:tcBorders/>
            <w:tcW w:w="0" w:type="auto"/>
            <w:textDirection w:val="lrTb"/>
            <w:noWrap w:val="false"/>
          </w:tcPr>
          <w:p w14:paraId="7307E2CC"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Controlled combustion unit; 50–100 kg/hour capacity; fitted with emission filters</w:t>
            </w:r>
          </w:p>
        </w:tc>
        <w:tc>
          <w:tcPr>
            <w:tcBorders/>
            <w:tcW w:w="0" w:type="auto"/>
            <w:textDirection w:val="lrTb"/>
            <w:noWrap w:val="false"/>
          </w:tcPr>
          <w:p w14:paraId="1094AB57"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Safely dispose of non-recyclable and hazardous waste.</w:t>
            </w:r>
          </w:p>
        </w:tc>
      </w:tr>
    </w:tbl>
    <w:p w14:paraId="5B3BA0E3" w14:textId="77777777">
      <w:pPr>
        <w:pBdr/>
        <w:spacing w:before="240"/>
        <w:ind/>
        <w:jc w:val="both"/>
        <w:rPr>
          <w:rFonts w:ascii="Times New Roman" w:hAnsi="Times New Roman" w:cs="Times New Roman"/>
        </w:rPr>
      </w:pPr>
      <w:r>
        <w:rPr>
          <w:rFonts w:ascii="Times New Roman" w:hAnsi="Times New Roman" w:cs="Times New Roman"/>
        </w:rPr>
      </w:r>
    </w:p>
    <w:p w14:paraId="18BD2ED5" w14:textId="0FFA17C1">
      <w:pPr>
        <w:pStyle w:val="794"/>
        <w:pBdr/>
        <w:spacing/>
        <w:ind/>
        <w:rPr>
          <w:rFonts w:ascii="Times New Roman" w:hAnsi="Times New Roman" w:cs="Times New Roman"/>
          <w:b/>
          <w:color w:val="000000" w:themeColor="text1"/>
          <w:sz w:val="24"/>
          <w:szCs w:val="24"/>
        </w:rPr>
      </w:pPr>
      <w:r/>
      <w:bookmarkStart w:id="55" w:name="_Toc233892443"/>
      <w:r>
        <w:rPr>
          <w:rFonts w:ascii="Times New Roman" w:hAnsi="Times New Roman" w:cs="Times New Roman"/>
          <w:b/>
          <w:color w:val="000000" w:themeColor="text1"/>
          <w:sz w:val="24"/>
          <w:szCs w:val="24"/>
        </w:rPr>
        <w:t xml:space="preserve">4.2 Gender and Social Inclusivity Framework</w:t>
      </w:r>
      <w:bookmarkEnd w:id="55"/>
      <w:r/>
      <w:r>
        <w:rPr>
          <w:rFonts w:ascii="Times New Roman" w:hAnsi="Times New Roman" w:cs="Times New Roman"/>
          <w:b/>
          <w:color w:val="000000" w:themeColor="text1"/>
          <w:sz w:val="24"/>
          <w:szCs w:val="24"/>
        </w:rPr>
      </w:r>
    </w:p>
    <w:p w14:paraId="2CBA65A4"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The PTU will provide a safe, equitable, and inclusive learning environment that enables all learners, regardless of gender, disability, or social background, to participate fully in practical training. The design will align with universal design principles and gender-responsive infrastructure standards to remove barriers to participation.</w:t>
      </w:r>
    </w:p>
    <w:p w14:paraId="05DA0A44"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The PTU will include separate changing rooms and sanitation facilities for female and male learners, with adequate privacy, lighting, handwashing facilities, and menstrual hygiene management provisions. A dedicated girls' room will provide a safe and private space for menstrual health management and learner wellbeing. Practical learning spaces will be designed to ensure equal access to equipment, demonstrations, leadership opportunities, and practical assignments for both female and male learners.</w:t>
      </w:r>
    </w:p>
    <w:p w14:paraId="18C88356"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Universal accessibility will be incorporated throughout the PTU through step-free access, ramps, accessible pathways, non-slip surfaces, handrails where required, accessible toilets, wide doorways, and workstations that can be used by learners with different mobility needs. Clear signage, including accessible wayfinding features where appropriate, will support navigation within the facility.</w:t>
      </w:r>
    </w:p>
    <w:p w14:paraId="5F63294C"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The PTU will also strengthen institutional inclusion by supporting the implementation of gender, disability inclusion, and safeguarding policies. Clear and confidential reporting and referral mechanisms for Gender-Based Violence (GBV), Sexual Exploitation, Abuse and Harassment (SEAH), and other safeguarding concerns will be established and visibly communicated. Staff, instructors, learners, and PTU management committees will receive regular training on gender equality, disability inclusion, safeguarding, and prevention of discrimination and harassment.</w:t>
      </w:r>
    </w:p>
    <w:p w14:paraId="7A342525" w14:textId="77777777">
      <w:pPr>
        <w:pBdr/>
        <w:spacing w:after="240" w:before="240"/>
        <w:ind/>
        <w:jc w:val="both"/>
        <w:rPr>
          <w:rFonts w:ascii="Times New Roman" w:hAnsi="Times New Roman" w:eastAsia="Times New Roman" w:cs="Times New Roman"/>
        </w:rPr>
      </w:pPr>
      <w:r>
        <w:rPr>
          <w:rFonts w:ascii="Times New Roman" w:hAnsi="Times New Roman" w:eastAsia="Times New Roman" w:cs="Times New Roman"/>
        </w:rPr>
        <w:t xml:space="preserve">To promote meaningful participation, the PTU will encourage equal representation of female and male learners in leadership roles, practical demonstrations, innovation projects, and decision-making structures. Awareness materials, inclusive communication, and continuous capacity building will reinforce positive attitudes toward gender equality, disability inclusion, and respect for diversity, ensuring that the PTU serves as a model of inclusive Technical and Vocational Education and Training.</w:t>
      </w:r>
    </w:p>
    <w:p w14:paraId="3D81E2CB" w14:textId="77777777">
      <w:pPr>
        <w:pStyle w:val="794"/>
        <w:pBdr/>
        <w:spacing/>
        <w:ind/>
        <w:rPr>
          <w:rFonts w:ascii="Times New Roman" w:hAnsi="Times New Roman" w:cs="Times New Roman"/>
          <w:b/>
          <w:color w:val="000000" w:themeColor="text1"/>
          <w:sz w:val="24"/>
          <w:szCs w:val="24"/>
        </w:rPr>
      </w:pPr>
      <w:r/>
      <w:bookmarkStart w:id="56" w:name="_Toc233892444"/>
      <w:r>
        <w:rPr>
          <w:rFonts w:ascii="Times New Roman" w:hAnsi="Times New Roman" w:cs="Times New Roman"/>
          <w:b/>
          <w:color w:val="000000" w:themeColor="text1"/>
          <w:sz w:val="24"/>
          <w:szCs w:val="24"/>
        </w:rPr>
        <w:t xml:space="preserve">4.3. Pedagogical Integration Plan</w:t>
      </w:r>
      <w:bookmarkEnd w:id="56"/>
      <w:r/>
      <w:r>
        <w:rPr>
          <w:rFonts w:ascii="Times New Roman" w:hAnsi="Times New Roman" w:cs="Times New Roman"/>
          <w:b/>
          <w:color w:val="000000" w:themeColor="text1"/>
          <w:sz w:val="24"/>
          <w:szCs w:val="24"/>
        </w:rPr>
      </w:r>
    </w:p>
    <w:p w14:paraId="3AE66462" w14:textId="7767C6E6">
      <w:pPr>
        <w:pStyle w:val="795"/>
        <w:pBdr/>
        <w:spacing/>
        <w:ind/>
        <w:rPr>
          <w:rFonts w:ascii="Times New Roman" w:hAnsi="Times New Roman" w:cs="Times New Roman"/>
          <w:b/>
          <w:color w:val="000000" w:themeColor="text1"/>
          <w:sz w:val="24"/>
          <w:szCs w:val="24"/>
        </w:rPr>
      </w:pPr>
      <w:r/>
      <w:bookmarkStart w:id="57" w:name="_Toc233892445"/>
      <w:r>
        <w:rPr>
          <w:rFonts w:ascii="Times New Roman" w:hAnsi="Times New Roman" w:cs="Times New Roman"/>
          <w:b/>
          <w:color w:val="000000" w:themeColor="text1"/>
          <w:sz w:val="24"/>
          <w:szCs w:val="24"/>
        </w:rPr>
        <w:t xml:space="preserve">4.3.1. Alignment with National TVET Standards</w:t>
      </w:r>
      <w:bookmarkEnd w:id="57"/>
      <w:r/>
      <w:r>
        <w:rPr>
          <w:rFonts w:ascii="Times New Roman" w:hAnsi="Times New Roman" w:cs="Times New Roman"/>
          <w:b/>
          <w:color w:val="000000" w:themeColor="text1"/>
          <w:sz w:val="24"/>
          <w:szCs w:val="24"/>
        </w:rPr>
      </w:r>
    </w:p>
    <w:p w14:paraId="33A5C6E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PTU Pedagogical Integration Plan is firmly anchored in the Competency-Based Training (CBT) framework established by the Rwanda TVET Board (RTB). Every practical activity within the PTU is mapped to occupational standards, ensuring that students acquire measurable competencies that correspond to national qualification levels. This alignment guarantees that graduates are not only trained in technical skills but also certified through recognized pathways that enhance their employability in the agricultural sector. By embedding CBT principles, the PTU ensures that learning outcomes are transparent, measurable, and directly linked to labor market needs.</w:t>
      </w:r>
    </w:p>
    <w:p w14:paraId="79CBD0A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 critical aspect of this alignment is the occupational standards mapping exercise, where technical experts systematically link each training activity to specific occupational competencies. For example, crop rotation practices are tied to agronomic standards, while dairy management tasks are linked to animal husbandry competencies. This mapping identifies gaps between existing curricula and industry expectations, allowing the PTU to serve as a corrective mechanism that bridges these gaps. In doing so, the PTU strengthens the credibility of TVET institutions as providers of industry-ready professionals.</w:t>
      </w:r>
    </w:p>
    <w:p w14:paraId="1B105682"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Furthermore, the integration plan emphasizes multi-level qualification pathways, ensuring inclusivity for learners at different stages. Beginners are introduced to foundational tasks such as seedling propagation or basic animal care, while advanced learners engage in complex activities like enterprise budgeting, food safety compliance, or irrigation system design. This tiered approach ensures that all learners progress systematically, with clear benchmarks for competency achievement. It also supports Recognition of Prior Learning (RPL), enabling experienced practitioners to validate their skills against national standards.</w:t>
      </w:r>
    </w:p>
    <w:p w14:paraId="5CD389C6" w14:textId="204FE2EA">
      <w:pPr>
        <w:pStyle w:val="795"/>
        <w:pBdr/>
        <w:spacing/>
        <w:ind/>
        <w:rPr>
          <w:rFonts w:ascii="Times New Roman" w:hAnsi="Times New Roman" w:cs="Times New Roman"/>
          <w:b/>
          <w:color w:val="000000" w:themeColor="text1"/>
          <w:sz w:val="24"/>
          <w:szCs w:val="24"/>
        </w:rPr>
      </w:pPr>
      <w:r/>
      <w:bookmarkStart w:id="58" w:name="_Toc233892446"/>
      <w:r>
        <w:rPr>
          <w:rFonts w:ascii="Times New Roman" w:hAnsi="Times New Roman" w:cs="Times New Roman"/>
          <w:b/>
          <w:color w:val="000000" w:themeColor="text1"/>
          <w:sz w:val="24"/>
          <w:szCs w:val="24"/>
        </w:rPr>
        <w:t xml:space="preserve">4.3.2. The "Learn by Doing" Operational Model</w:t>
      </w:r>
      <w:bookmarkEnd w:id="58"/>
      <w:r/>
      <w:r>
        <w:rPr>
          <w:rFonts w:ascii="Times New Roman" w:hAnsi="Times New Roman" w:cs="Times New Roman"/>
          <w:b/>
          <w:color w:val="000000" w:themeColor="text1"/>
          <w:sz w:val="24"/>
          <w:szCs w:val="24"/>
        </w:rPr>
      </w:r>
    </w:p>
    <w:p w14:paraId="3A5954E2"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At the heart of the PTU is the </w:t>
      </w:r>
      <w:r>
        <w:rPr>
          <w:rFonts w:ascii="Times New Roman" w:hAnsi="Times New Roman" w:eastAsia="Times New Roman" w:cs="Times New Roman"/>
          <w:b/>
          <w:bCs/>
        </w:rPr>
        <w:t xml:space="preserve">“Learn by Doing” methodology</w:t>
      </w:r>
      <w:r>
        <w:rPr>
          <w:rFonts w:ascii="Times New Roman" w:hAnsi="Times New Roman" w:eastAsia="Times New Roman" w:cs="Times New Roman"/>
        </w:rPr>
        <w:t xml:space="preserve">, which transforms agricultural training from theoretical instruction into experiential learning. Unlike traditional silos of classroom teaching, the PTU integrates training with real agricultural production cycles. Students actively participate in crop establishment, livestock rearing, harvesting, and post-harvest handling, thereby gaining firsthand exposure to the realities of agricultural enterprise management. This immersion ensures that learning is not abstract but grounded in the operational demands of modern agriculture.</w:t>
      </w:r>
    </w:p>
    <w:p w14:paraId="101A47C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plan introduces student rotation systems to guarantee equitable access to all training units. Learners rotate through crop fields, livestock barns, food processing laboratories, and irrigation systems, ensuring that each student acquires a holistic understanding of the agricultural value chain. This rotation is carefully scheduled to balance workload, maximize exposure, and prevent specialization too early in the training process. By experiencing multiple units, students develop versatility and adaptability—qualities highly valued in the labor market.</w:t>
      </w:r>
    </w:p>
    <w:p w14:paraId="5B4089CA"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To synchronize learning with production realities, the PTU employs annual agricultural calendars that align crop and livestock cycles with the national school calendar. This synchronization allows students to follow a product from its inception to market readiness within a single academic year. For example, learners may plant maize at the beginning of the term, monitor its growth, harvest it, and then process it into flour in the food processing unit. Such continuity reinforces the integration of theory and practice, while also instilling discipline in managing agricultural timelines.</w:t>
      </w:r>
    </w:p>
    <w:p w14:paraId="55F2E4D2" w14:textId="6ADF8B93">
      <w:pPr>
        <w:pStyle w:val="795"/>
        <w:pBdr/>
        <w:spacing/>
        <w:ind/>
        <w:rPr>
          <w:rFonts w:ascii="Times New Roman" w:hAnsi="Times New Roman" w:cs="Times New Roman"/>
          <w:b/>
          <w:color w:val="000000" w:themeColor="text1"/>
          <w:sz w:val="24"/>
          <w:szCs w:val="24"/>
        </w:rPr>
      </w:pPr>
      <w:r/>
      <w:bookmarkStart w:id="59" w:name="_Toc233892447"/>
      <w:r>
        <w:rPr>
          <w:rFonts w:ascii="Times New Roman" w:hAnsi="Times New Roman" w:cs="Times New Roman"/>
          <w:b/>
          <w:color w:val="000000" w:themeColor="text1"/>
          <w:sz w:val="24"/>
          <w:szCs w:val="24"/>
        </w:rPr>
        <w:t xml:space="preserve">4.3.3. Agribusiness and Value Chain Competencies</w:t>
      </w:r>
      <w:bookmarkEnd w:id="59"/>
      <w:r/>
      <w:r>
        <w:rPr>
          <w:rFonts w:ascii="Times New Roman" w:hAnsi="Times New Roman" w:cs="Times New Roman"/>
          <w:b/>
          <w:color w:val="000000" w:themeColor="text1"/>
          <w:sz w:val="24"/>
          <w:szCs w:val="24"/>
        </w:rPr>
      </w:r>
    </w:p>
    <w:p w14:paraId="62412F58"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PTU is designed not only to impart technical skills but also to cultivate agribusiness and value chain competencies. Students are trained to master the full cycle of agricultural enterprise management, from production monitoring and budgeting to quality assurance and market engagement. This holistic approach ensures that graduates are capable of managing farms as businesses, rather than simply as production units. By embedding financial literacy and enterprise management into training, the PTU prepares learners for entrepreneurship and leadership roles in agribusiness.</w:t>
      </w:r>
    </w:p>
    <w:p w14:paraId="79C221C0"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 central focus of the plan is modern value addition, where raw commodities are transformed into marketable products. For instance, milk produced in the livestock unit is processed into pasteurized milk, yogurt, or cheese, while fruits are dried or processed into juices. These activities expose students to the principles of food safety, product development, and compliance with international standards such as HACCP and GMP. By learning value addition, students understand how to generate higher margins, reduce post-harvest losses, and meet consumer demands for quality products.</w:t>
      </w:r>
    </w:p>
    <w:p w14:paraId="2795BA56" w14:textId="4E2BC1B8">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PTU also functions as a platform for entrepreneurship development, encouraging students to apply their skills to real-world challenges. Learners are tasked with designing small-scale agro-processing enterprises, developing business plans, and exploring market opportunities. These activities foster creativity, problem-solving, and risk management; essential attributes for future agripreneurs. Moreover, the PTU serves as a demonstration hub for local farmers and youth, extending its impact beyond students to the wider community by promoting innovation and enterprise culture.</w:t>
      </w:r>
    </w:p>
    <w:p w14:paraId="361A4B30" w14:textId="3EC74591">
      <w:pPr>
        <w:pStyle w:val="793"/>
        <w:pBdr/>
        <w:spacing/>
        <w:ind/>
        <w:rPr>
          <w:rFonts w:ascii="Times New Roman" w:hAnsi="Times New Roman" w:cs="Times New Roman"/>
          <w:b/>
          <w:color w:val="000000" w:themeColor="text1"/>
          <w:sz w:val="24"/>
          <w:szCs w:val="24"/>
        </w:rPr>
      </w:pPr>
      <w:r/>
      <w:bookmarkStart w:id="60" w:name="_Toc233892448"/>
      <w:r>
        <w:rPr>
          <w:rFonts w:ascii="Times New Roman" w:hAnsi="Times New Roman" w:cs="Times New Roman"/>
          <w:b/>
          <w:color w:val="000000" w:themeColor="text1"/>
          <w:sz w:val="24"/>
          <w:szCs w:val="24"/>
        </w:rPr>
        <w:t xml:space="preserve">5. PEDAGOGICAL TOOLS AND ASSESSMENT</w:t>
      </w:r>
      <w:bookmarkEnd w:id="60"/>
      <w:r/>
      <w:r>
        <w:rPr>
          <w:rFonts w:ascii="Times New Roman" w:hAnsi="Times New Roman" w:cs="Times New Roman"/>
          <w:b/>
          <w:color w:val="000000" w:themeColor="text1"/>
          <w:sz w:val="24"/>
          <w:szCs w:val="24"/>
        </w:rPr>
      </w:r>
    </w:p>
    <w:p w14:paraId="29C3310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To ensure structured and rigorous training, the PTU employs Standard Operating Procedures (SOPs) as the backbone of instruction. SOPs detail every aspect of student engagement, including task allocations, safety protocols, and performance benchmarks. They serve as reference documents for both trainers and learners, ensuring consistency and quality across all PTU operations. By standardizing processes, SOPs reinforce technical rigor while also embedding accountability into the learning environment.</w:t>
      </w:r>
    </w:p>
    <w:p w14:paraId="403CA30C"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Assessment within the PTU is competency-based, focusing on demonstrated skills rather than theoretical knowledge alone. Evaluators use specialized tools such as observation checklists, performance rubrics, and practical assignments to measure student proficiency. For example, a student’s ability to manage a poultry unit is assessed through direct observation of feeding, disease control, and production monitoring. This approach ensures that certification reflects actual competence, thereby enhancing the credibility of TVET qualifications in the labor market.</w:t>
      </w:r>
    </w:p>
    <w:p w14:paraId="7147E477"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plan also incorporates project-based learning, where students undertake inclusive projects that link classroom instruction to PTU operations. These projects may involve designing irrigation systems, developing value-added products, or conducting market surveys. By working on real-world challenges, students develop problem-solving skills, teamwork, and innovation capacity. Project-based learning also fosters ownership of the training process, motivating students to apply their knowledge creatively and practically.</w:t>
      </w:r>
    </w:p>
    <w:p w14:paraId="6E1492A7" w14:textId="4B892698">
      <w:pPr>
        <w:pStyle w:val="794"/>
        <w:pBdr/>
        <w:spacing/>
        <w:ind/>
        <w:rPr>
          <w:rFonts w:ascii="Times New Roman" w:hAnsi="Times New Roman" w:cs="Times New Roman"/>
          <w:b/>
          <w:color w:val="000000" w:themeColor="text1"/>
          <w:sz w:val="24"/>
          <w:szCs w:val="24"/>
        </w:rPr>
      </w:pPr>
      <w:r/>
      <w:bookmarkStart w:id="61" w:name="_Toc233892449"/>
      <w:r>
        <w:rPr>
          <w:rFonts w:ascii="Times New Roman" w:hAnsi="Times New Roman" w:cs="Times New Roman"/>
          <w:b/>
          <w:color w:val="000000" w:themeColor="text1"/>
          <w:sz w:val="24"/>
          <w:szCs w:val="24"/>
        </w:rPr>
        <w:t xml:space="preserve">5.1. Trainer Capacity and Instructional Shift</w:t>
      </w:r>
      <w:bookmarkEnd w:id="61"/>
      <w:r/>
      <w:r>
        <w:rPr>
          <w:rFonts w:ascii="Times New Roman" w:hAnsi="Times New Roman" w:cs="Times New Roman"/>
          <w:b/>
          <w:color w:val="000000" w:themeColor="text1"/>
          <w:sz w:val="24"/>
          <w:szCs w:val="24"/>
        </w:rPr>
      </w:r>
    </w:p>
    <w:p w14:paraId="264B0063"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The success of the PTU depends on the capacity development of trainers, who must transition from traditional theoretical teaching to PTU-based instruction. Trainers undergo specialized training to adapt their pedagogy to experiential learning environments. This includes mastering SOPs, facilitating project-based learning, and integrating climate-smart practices into instruction. By equipping trainers with these skills, the PTU ensures that instructional delivery is consistent, effective, and aligned with modern agricultural practices.</w:t>
      </w:r>
    </w:p>
    <w:p w14:paraId="265AA936" w14:textId="77777777">
      <w:pPr>
        <w:pBdr/>
        <w:spacing/>
        <w:ind/>
        <w:jc w:val="both"/>
        <w:rPr>
          <w:rFonts w:ascii="Times New Roman" w:hAnsi="Times New Roman" w:eastAsia="Times New Roman" w:cs="Times New Roman"/>
        </w:rPr>
      </w:pPr>
      <w:r>
        <w:rPr>
          <w:rFonts w:ascii="Times New Roman" w:hAnsi="Times New Roman" w:eastAsia="Times New Roman" w:cs="Times New Roman"/>
        </w:rPr>
        <w:t xml:space="preserve">A unique feature of the plan is the principle of dual accountability, where trainers are evaluated not only on student learning outcomes but also on the financial productivity of the units they manage. This dual responsibility ensures that trainers balance educational objectives with operational sustainability. For example, a livestock trainer must ensure that students acquire competencies in animal husbandry while also maintaining the productivity and profitability of the dairy unit. This approach instills a culture of accountability and efficiency within the PTU.</w:t>
      </w:r>
    </w:p>
    <w:p w14:paraId="2DB948E7" w14:textId="14BC2175">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To make the principle of dual accountability practical, the PTU must adopt a strategy that integrates both pedagogical evaluation and enterprise performance monitoring. This begins with setting clear Key Performance Indicators (KPIs) for trainers that measure student learning outcomes alongside enterprise productivity. For example, a livestock trainer would be assessed on students’ mastery of animal husbandry competencies while also being responsible for milk yield, herd health, and profitability. This ensures that teaching is not isolated from operational realities.</w:t>
      </w:r>
    </w:p>
    <w:p w14:paraId="382E8529" w14:textId="77777777">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second strategy involves embedding enterprise-linked curriculum design. Each training module is structured so that student activities directly contribute to enterprise outputs. Trainers guide students through tasks that are simultaneously learning exercises and production processes, such as crop management, food processing, or irrigation system maintenance. By linking curriculum with enterprise operations, trainers naturally balance educational objectives with commercial sustainability.</w:t>
      </w:r>
    </w:p>
    <w:p w14:paraId="6BB7350F" w14:textId="587A486E">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PTU will implement a balanced scorecard approach that combines educational metrics (competency acquisition, assessment results, project completion) with operational metrics (production volumes, quality standards, revenue generation). Regular reporting and audits by the PTU Chief Operations Officer ensure accountability, while incentive systems recognize trainers who excel in both domains. This dual evaluation framework instills a culture of efficiency, responsibility, and innovation, positioning the PTU as both a training institution and a commercially viable enterprise.</w:t>
      </w:r>
    </w:p>
    <w:p w14:paraId="7F1A4EE3" w14:textId="066BFD61">
      <w:pPr>
        <w:pBdr/>
        <w:spacing/>
        <w:ind/>
        <w:jc w:val="both"/>
        <w:rPr>
          <w:rFonts w:ascii="Times New Roman" w:hAnsi="Times New Roman" w:eastAsia="Times New Roman" w:cs="Times New Roman"/>
        </w:rPr>
      </w:pPr>
      <w:r>
        <w:rPr>
          <w:rFonts w:ascii="Times New Roman" w:hAnsi="Times New Roman" w:eastAsia="Times New Roman" w:cs="Times New Roman"/>
        </w:rPr>
        <w:t xml:space="preserve">This plan emphasizes continuous professional development for trainers, ensuring that they remain updated on emerging technologies, market trends, and pedagogical innovations. Regular workshops, exchange programs, and collaborations with research institutions are integrated into the PTU framework. By investing in trainer capacity, the PTU guarantees that instructional quality evolves alongside industry demands, thereby sustaining its role as a national benchmark for agricultural vocational training.</w:t>
      </w:r>
    </w:p>
    <w:p w14:paraId="56928F47" w14:textId="315DEC28">
      <w:pPr>
        <w:pStyle w:val="793"/>
        <w:pBdr/>
        <w:spacing/>
        <w:ind/>
        <w:rPr>
          <w:rFonts w:ascii="Times New Roman" w:hAnsi="Times New Roman" w:cs="Times New Roman"/>
          <w:b/>
          <w:color w:val="000000" w:themeColor="text1"/>
          <w:sz w:val="24"/>
          <w:szCs w:val="24"/>
        </w:rPr>
      </w:pPr>
      <w:r/>
      <w:bookmarkStart w:id="62" w:name="_Toc233892450"/>
      <w:r>
        <w:rPr>
          <w:rFonts w:ascii="Times New Roman" w:hAnsi="Times New Roman" w:cs="Times New Roman"/>
          <w:b/>
          <w:color w:val="000000" w:themeColor="text1"/>
          <w:sz w:val="24"/>
          <w:szCs w:val="24"/>
        </w:rPr>
        <w:t xml:space="preserve">6. TECHNICAL DRAWINGS AND SPECIFICATIONS</w:t>
      </w:r>
      <w:bookmarkEnd w:id="62"/>
      <w:r/>
      <w:r>
        <w:rPr>
          <w:rFonts w:ascii="Times New Roman" w:hAnsi="Times New Roman" w:cs="Times New Roman"/>
          <w:b/>
          <w:color w:val="000000" w:themeColor="text1"/>
          <w:sz w:val="24"/>
          <w:szCs w:val="24"/>
        </w:rPr>
      </w:r>
    </w:p>
    <w:p w14:paraId="07FCF605" w14:textId="77777777">
      <w:pPr>
        <w:pBdr/>
        <w:spacing/>
        <w:ind/>
        <w:jc w:val="both"/>
        <w:rPr>
          <w:rFonts w:ascii="Times New Roman" w:hAnsi="Times New Roman" w:cs="Times New Roman"/>
          <w:lang w:val="en-US"/>
        </w:rPr>
      </w:pPr>
      <w:r>
        <w:rPr>
          <w:rFonts w:ascii="Times New Roman" w:hAnsi="Times New Roman" w:cs="Times New Roman"/>
          <w:lang w:val="en-US"/>
        </w:rPr>
        <w:t xml:space="preserve">The schematic designs for Kisaro TSS and Nyagahanga TSS provide the foundational zoning maps for their respective PTU sites, ensuring that infrastructure, training facilities, and environmental features are properly integrated into the school environment. </w:t>
      </w:r>
      <w:commentRangeStart w:id="9"/>
      <w:r>
        <w:rPr>
          <w:rFonts w:ascii="Times New Roman" w:hAnsi="Times New Roman" w:cs="Times New Roman"/>
          <w:lang w:val="en-US"/>
        </w:rPr>
        <w:t xml:space="preserve">These designs are included in Attachment 1 (Kisaro) and Attachment 2 (Nyagahanga).</w:t>
      </w:r>
      <w:commentRangeEnd w:id="9"/>
      <w:r>
        <w:rPr>
          <w:rStyle w:val="CommentReference"/>
        </w:rPr>
        <w:commentReference w:id="9"/>
      </w:r>
    </w:p>
    <w:p w14:paraId="0E76E527" w14:textId="77777777">
      <w:pPr>
        <w:pBdr/>
        <w:spacing/>
        <w:ind/>
        <w:jc w:val="both"/>
        <w:rPr>
          <w:rFonts w:ascii="Times New Roman" w:hAnsi="Times New Roman" w:cs="Times New Roman"/>
          <w:lang w:val="en-US"/>
        </w:rPr>
      </w:pPr>
      <w:r>
        <w:rPr>
          <w:rFonts w:ascii="Times New Roman" w:hAnsi="Times New Roman" w:cs="Times New Roman"/>
          <w:lang w:val="en-US"/>
        </w:rPr>
        <w:t xml:space="preserve">For Kisaro TSS, the schematic emphasizes the terraced slope of the site, with zoning that accounts for existing buildings, roads, water channels, tanks, septic systems, and forested areas. The contour mapping (minor and major intervals) ensures that construction aligns with the natural terrain, supporting sustainable drainage and land use. This design reflects a careful balance between training facilities and environmental conservation.</w:t>
      </w:r>
    </w:p>
    <w:p w14:paraId="0241B9A7" w14:textId="77777777">
      <w:pPr>
        <w:pBdr/>
        <w:spacing/>
        <w:ind/>
        <w:jc w:val="both"/>
        <w:rPr>
          <w:rFonts w:ascii="Times New Roman" w:hAnsi="Times New Roman" w:cs="Times New Roman"/>
          <w:lang w:val="en-US"/>
        </w:rPr>
      </w:pPr>
      <w:r>
        <w:rPr>
          <w:rFonts w:ascii="Times New Roman" w:hAnsi="Times New Roman" w:cs="Times New Roman"/>
          <w:lang w:val="en-US"/>
        </w:rPr>
        <w:t xml:space="preserve">For Nyagahanga TSS, the schematic highlights a flatter terrain with clear zoning between the PTU zone and the school zone. The legend identifies existing infrastructure such as playgrounds, culverts, transformers, and underground utilities (electrical, internet, and pipelines). The contour intervals (0.5 m minor, 2.5 m major) allow for precise site planning, ensuring that PTU facilities integrate seamlessly with the school’s existing structures while maintaining accessibility and safety.</w:t>
      </w:r>
    </w:p>
    <w:p w14:paraId="2BB6C6EB" w14:textId="59C717C9">
      <w:pPr>
        <w:pBdr/>
        <w:spacing/>
        <w:ind/>
        <w:jc w:val="both"/>
        <w:rPr>
          <w:rFonts w:ascii="Times New Roman" w:hAnsi="Times New Roman" w:cs="Times New Roman"/>
          <w:lang w:val="en-US"/>
        </w:rPr>
      </w:pPr>
      <w:r>
        <w:rPr>
          <w:rFonts w:ascii="Times New Roman" w:hAnsi="Times New Roman" w:cs="Times New Roman"/>
          <w:lang w:val="en-US"/>
        </w:rPr>
        <mc:AlternateContent>
          <mc:Choice Requires="wpg">
            <w:drawing>
              <wp:inline xmlns:wp="http://schemas.openxmlformats.org/drawingml/2006/wordprocessingDrawing" distT="0" distB="0" distL="0" distR="0">
                <wp:extent cx="5309235" cy="7696200"/>
                <wp:effectExtent l="0" t="0" r="571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4"/>
                        <a:stretch/>
                      </pic:blipFill>
                      <pic:spPr bwMode="auto">
                        <a:xfrm>
                          <a:off x="0" y="0"/>
                          <a:ext cx="5345555" cy="774884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8.05pt;height:606.00pt;mso-wrap-distance-left:0.00pt;mso-wrap-distance-top:0.00pt;mso-wrap-distance-right:0.00pt;mso-wrap-distance-bottom:0.00pt;z-index:1;" stroked="false">
                <v:imagedata r:id="rId24" o:title=""/>
                <o:lock v:ext="edit" rotation="t"/>
              </v:shape>
            </w:pict>
          </mc:Fallback>
        </mc:AlternateContent>
      </w:r>
    </w:p>
    <w:p w14:paraId="668477AE" w14:textId="1AEDC2F9">
      <w:pPr>
        <w:pStyle w:val="828"/>
        <w:pBdr/>
        <w:spacing/>
        <w:ind/>
        <w:jc w:val="center"/>
        <w:rPr>
          <w:rFonts w:ascii="Times New Roman" w:hAnsi="Times New Roman" w:cs="Times New Roman"/>
          <w:b/>
          <w:i w:val="0"/>
          <w:color w:val="000000" w:themeColor="text1"/>
          <w:sz w:val="24"/>
          <w:szCs w:val="24"/>
          <w:lang w:val="en-US"/>
        </w:rPr>
      </w:pPr>
      <w:r/>
      <w:bookmarkStart w:id="63" w:name="_Toc233889250"/>
      <w:r/>
      <w:bookmarkStart w:id="64" w:name="_GoBack"/>
      <w:r/>
      <w:bookmarkEnd w:id="64"/>
      <w:r>
        <w:rPr>
          <w:rFonts w:ascii="Times New Roman" w:hAnsi="Times New Roman" w:cs="Times New Roman"/>
          <w:b/>
          <w:i w:val="0"/>
          <w:color w:val="000000" w:themeColor="text1"/>
          <w:sz w:val="24"/>
          <w:szCs w:val="24"/>
        </w:rPr>
        <w:t xml:space="preserve">Figure </w:t>
        <w:fldChar w:fldCharType="begin"/>
        <w:instrText xml:space="preserve"> SEQ Figure \* ARABIC </w:instrText>
        <w:fldChar w:fldCharType="separate"/>
        <w:t xml:space="preserve">2</w:t>
        <w:fldChar w:fldCharType="end"/>
        <w:t xml:space="preserve">:</w:t>
      </w:r>
      <w:r>
        <w:rPr>
          <w:rFonts w:ascii="Times New Roman" w:hAnsi="Times New Roman" w:cs="Times New Roman"/>
          <w:b/>
          <w:i w:val="0"/>
          <w:color w:val="000000" w:themeColor="text1"/>
          <w:sz w:val="24"/>
          <w:szCs w:val="24"/>
          <w:lang w:val="en-US"/>
        </w:rPr>
        <w:t xml:space="preserve"> Simulation of General outline of the PTU components</w:t>
      </w:r>
      <w:bookmarkEnd w:id="63"/>
      <w:r/>
      <w:r>
        <w:rPr>
          <w:rFonts w:ascii="Times New Roman" w:hAnsi="Times New Roman" w:cs="Times New Roman"/>
          <w:b/>
          <w:i w:val="0"/>
          <w:color w:val="000000" w:themeColor="text1"/>
          <w:sz w:val="24"/>
          <w:szCs w:val="24"/>
          <w:lang w:val="en-US"/>
        </w:rPr>
      </w:r>
    </w:p>
    <w:sectPr>
      <w:footerReference w:type="default" r:id="rId9"/>
      <w:footnotePr/>
      <w:endnotePr/>
      <w:type w:val="nextPage"/>
      <w:pgSz w:h="15840" w:orient="portrait" w:w="12240"/>
      <w:pgMar w:top="1440" w:right="900" w:bottom="1440" w:left="1440" w:header="720" w:footer="720" w:gutter="0"/>
      <w:pgNumType w:start="1"/>
      <w:cols w:num="1" w:sep="0" w:space="720" w:equalWidth="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chnical Reviewer" w:date="2026-07-20T12:33:45Z" w:initials="TR">
    <w:p w14:paraId="1EE2D06D" w14:textId="77777777">
      <w:r>
        <w:rPr>
          <w:rStyle w:val="CommentReference"/>
        </w:rPr>
        <w:annotationRef/>
      </w:r>
      <w:r>
        <w:rPr>
          <w:color w:val="000000"/>
          <w:sz w:val="20"/>
          <w:szCs w:val="20"/>
        </w:rPr>
        <w:t xml:space="preserve">Section numbering conflict: '2.4' is already used above for 'Water and irrigation component and its materials' (with its own subsections 2.4.1-2.4.4). This heading and its subsections (2.4.1-2.4.6) duplicate that number and should be renumbered - most likely as Section 2.6, following 2.5 Adult Learning &amp; RPL Sub Unit - with the Table of Contents updated to match.</w:t>
      </w:r>
    </w:p>
  </w:comment>
  <w:comment w:id="1" w:author="Technical Reviewer" w:date="2026-07-20T12:33:45Z" w:initials="TR">
    <w:p w14:paraId="45E5844F" w14:textId="77777777">
      <w:r>
        <w:rPr>
          <w:rStyle w:val="CommentReference"/>
        </w:rPr>
        <w:annotationRef/>
      </w:r>
      <w:r>
        <w:rPr>
          <w:color w:val="000000"/>
          <w:sz w:val="20"/>
          <w:szCs w:val="20"/>
        </w:rPr>
        <w:t xml:space="preserve">This subsection is formatted as bold body text rather than a proper Heading 3 style, so it does not appear in the automatic Table of Contents (which currently jumps straight from 2.4.4 to 2.4.6) and has no page-reference link. Please apply the same heading style used for the other 2.4.x subsections and refresh the TOC field.</w:t>
      </w:r>
    </w:p>
  </w:comment>
  <w:comment w:id="2" w:author="Technical Reviewer" w:date="2026-07-20T12:33:45Z" w:initials="TR">
    <w:p w14:paraId="0E3A8E96" w14:textId="77777777">
      <w:r>
        <w:rPr>
          <w:rStyle w:val="CommentReference"/>
        </w:rPr>
        <w:annotationRef/>
      </w:r>
      <w:r>
        <w:rPr>
          <w:color w:val="000000"/>
          <w:sz w:val="20"/>
          <w:szCs w:val="20"/>
        </w:rPr>
        <w:t xml:space="preserve">This category label - and the equivalent ones for CIP, Fruit &amp; Vegetable, Grain &amp; Pastry, Honey, Meat, Milling &amp; Storage, Specialty Crop, Steam Generation, and Wastewater Treatment further down this table (10 instances in total) - is formatted as a hyperlink pointing to 'ca://s?q=...', which is not a valid URL scheme. These look like leftover artifacts from drafting and will appear as broken/dead links to readers. Please remove the hyperlinks (or replace with real internal cross-references) throughout this table.</w:t>
      </w:r>
    </w:p>
  </w:comment>
  <w:comment w:id="3" w:author="Technical Reviewer" w:date="2026-07-20T12:33:45Z" w:initials="TR">
    <w:p w14:paraId="378031A6" w14:textId="77777777">
      <w:r>
        <w:rPr>
          <w:rStyle w:val="CommentReference"/>
        </w:rPr>
        <w:annotationRef/>
      </w:r>
      <w:r>
        <w:rPr>
          <w:color w:val="000000"/>
          <w:sz w:val="20"/>
          <w:szCs w:val="20"/>
        </w:rPr>
        <w:t xml:space="preserve">This row states Block I (75 SQM) + Block E (40 SQM) = 115 SQM, but the 'Dogs &amp; Cats' row just below - and Section 1.2's zoning summary - both give Block E as 20 SQM, not 40. Please reconcile the Block E figure; as written, the 115 SQM total here is inconsistent with the rest of the document.</w:t>
      </w:r>
    </w:p>
  </w:comment>
  <w:comment w:id="4" w:author="Technical Reviewer" w:date="2026-07-20T12:33:57Z" w:initials="TR">
    <w:p w14:paraId="0C3CBBF8" w14:textId="77777777">
      <w:r>
        <w:rPr>
          <w:rStyle w:val="CommentReference"/>
        </w:rPr>
        <w:annotationRef/>
      </w:r>
      <w:r>
        <w:rPr>
          <w:color w:val="000000"/>
          <w:sz w:val="20"/>
          <w:szCs w:val="20"/>
        </w:rPr>
        <w:t xml:space="preserve">125 x 2 = 250, not 80 - this doesn't match Table 5's Poultry &amp; Hatchery entry (250 SQM, 125x2). Please confirm whether '80 SQM' is a typo or intentionally a different (shared-use) allocation, and clarify.</w:t>
      </w:r>
    </w:p>
  </w:comment>
  <w:comment w:id="5" w:author="Technical Reviewer" w:date="2026-07-20T12:33:57Z" w:initials="TR">
    <w:p w14:paraId="6DC6BB0B" w14:textId="77777777">
      <w:r>
        <w:rPr>
          <w:rStyle w:val="CommentReference"/>
        </w:rPr>
        <w:annotationRef/>
      </w:r>
      <w:r>
        <w:rPr>
          <w:color w:val="000000"/>
          <w:sz w:val="20"/>
          <w:szCs w:val="20"/>
        </w:rPr>
        <w:t xml:space="preserve">50 x 4 = 200, not 60 - this doesn't match Table 5's Fish Farming entry (200 SQM, 50x4). Likely the same kind of typo as the Poultry row above; please correct or clarify.</w:t>
      </w:r>
    </w:p>
  </w:comment>
  <w:comment w:id="6" w:author="Technical Reviewer" w:date="2026-07-20T12:33:57Z" w:initials="TR">
    <w:p w14:paraId="42C6DEAE" w14:textId="77777777">
      <w:r>
        <w:rPr>
          <w:rStyle w:val="CommentReference"/>
        </w:rPr>
        <w:annotationRef/>
      </w:r>
      <w:r>
        <w:rPr>
          <w:color w:val="000000"/>
          <w:sz w:val="20"/>
          <w:szCs w:val="20"/>
        </w:rPr>
        <w:t xml:space="preserve">The dryer figure appears to be missing - it currently reads '120 SQM (Lab)  SQM (Dryer)' with no number before 'SQM (Dryer)'. Please insert the intended value (Table 3 lists the comparable Fruit &amp; Vegetable / Specialty Crop dryer allocation as 200 SQM).</w:t>
      </w:r>
    </w:p>
  </w:comment>
  <w:comment w:id="7" w:author="Technical Reviewer" w:date="2026-07-20T12:33:58Z" w:initials="TR">
    <w:p w14:paraId="56B5EA6E" w14:textId="77777777">
      <w:r>
        <w:rPr>
          <w:rStyle w:val="CommentReference"/>
        </w:rPr>
        <w:annotationRef/>
      </w:r>
      <w:r>
        <w:rPr>
          <w:color w:val="000000"/>
          <w:sz w:val="20"/>
          <w:szCs w:val="20"/>
        </w:rPr>
        <w:t xml:space="preserve">Several rows in this table share the same physical location and SQM figure - e.g. 'PTU Agri - Greenhouse (250 SQM, 2 Units)' is listed as the location for five different modules (Greenhouse, Nursery, Legume, Vegetable, Mushroom Production), and 'PTU - Semi Open Structure (150 SQM)' for another five (Regenerative Agriculture, Micro-Irrigation, Cereals, Hydroponic, Fruit Production). If these modules are timetabled/rotated through the same shared space rather than each having its own dedicated area, please state that explicitly in the narrative above the table - otherwise a reader will double- or triple-count the area when summing the SQM column.</w:t>
      </w:r>
    </w:p>
  </w:comment>
  <w:comment w:id="8" w:author="Technical Reviewer" w:date="2026-07-20T12:34:08Z" w:initials="TR">
    <w:p w14:paraId="12E5089A" w14:textId="77777777">
      <w:r>
        <w:rPr>
          <w:rStyle w:val="CommentReference"/>
        </w:rPr>
        <w:annotationRef/>
      </w:r>
      <w:r>
        <w:rPr>
          <w:color w:val="000000"/>
          <w:sz w:val="20"/>
          <w:szCs w:val="20"/>
        </w:rPr>
        <w:t xml:space="preserve">This chapter (3.3.1-3.3.6) describes the financial strategy narratively but includes no actual figures - no CAPEX/OPEX estimates, no revenue projections, no cost-recovery targets or unit prices. Given the extensive equipment lists already itemized in Sections 2.1-2.4, this seems like the natural place to at least summarize indicative investment and operating costs (even ranges), which Expertise France reviewers will likely expect for a document titled 'Technical Design'.</w:t>
      </w:r>
    </w:p>
  </w:comment>
  <w:comment w:id="9" w:author="Technical Reviewer" w:date="2026-07-20T12:34:08Z" w:initials="TR">
    <w:p w14:paraId="080E18AC" w14:textId="77777777">
      <w:r>
        <w:rPr>
          <w:rStyle w:val="CommentReference"/>
        </w:rPr>
        <w:annotationRef/>
      </w:r>
      <w:r>
        <w:rPr>
          <w:color w:val="000000"/>
          <w:sz w:val="20"/>
          <w:szCs w:val="20"/>
        </w:rPr>
        <w:t xml:space="preserve">Attachment 1 and 2 (site schematics referenced here and in Section 2.4.6) are not included in this file. Please confirm whether they will be delivered as separate annex files, and if so, add a note here (and in the front matter) listing them as annexes so reviewers know to expect them separately.</w:t>
      </w:r>
    </w:p>
  </w:comment>
  <w:comment w:id="10" w:author="Technical Reviewer" w:date="2026-07-20T12:34:08Z" w:initials="TR">
    <w:p w14:paraId="539E022A" w14:textId="77777777">
      <w:r>
        <w:rPr>
          <w:rStyle w:val="CommentReference"/>
        </w:rPr>
        <w:annotationRef/>
      </w:r>
      <w:r>
        <w:rPr>
          <w:color w:val="000000"/>
          <w:sz w:val="20"/>
          <w:szCs w:val="20"/>
        </w:rPr>
        <w:t xml:space="preserve">This reads like an internal planning note rather than text intended for the external reviewer (Expertise France). Recommend removing it or rephrasing as a forward-looking commitment, e.g. 'A detailed SOP manual will be finalized under Milestone 3 of this contract.'</w:t>
      </w:r>
    </w:p>
  </w:comment>
  <w:comment w:id="11" w:author="Technical Reviewer" w:date="2026-07-20T12:34:08Z" w:initials="TR">
    <w:p w14:paraId="6946F2BC" w14:textId="77777777">
      <w:r>
        <w:rPr>
          <w:rStyle w:val="CommentReference"/>
        </w:rPr>
        <w:annotationRef/>
      </w:r>
      <w:r>
        <w:rPr>
          <w:color w:val="000000"/>
          <w:sz w:val="20"/>
          <w:szCs w:val="20"/>
        </w:rPr>
        <w:t xml:space="preserve">It would strengthen this section to include a total area figure for the PTU footprint (summing the zones listed below and in Table 1) alongside the available land at each site (Kisaro and Nyagahanga), so reviewers can quickly check that the proposed design fits the site constraints referenced later in Section 3.1.1.</w:t>
      </w:r>
    </w:p>
  </w:comment>
  <w:comment w:id="12" w:author="Technical Reviewer" w:date="2026-07-20T12:34:16Z" w:initials="TR">
    <w:p w14:paraId="76C7A762" w14:textId="77777777">
      <w:r>
        <w:rPr>
          <w:rStyle w:val="CommentReference"/>
        </w:rPr>
        <w:annotationRef/>
      </w:r>
      <w:r>
        <w:rPr>
          <w:color w:val="000000"/>
          <w:sz w:val="20"/>
          <w:szCs w:val="20"/>
        </w:rPr>
        <w:t xml:space="preserve">'Equipments' should be 'Equipment' (already plural/uncountable in English). Worth a quick proofread pass - the word appears correctly elsewhere in the document. There's also a stray formatting artifact immediately after this title that should be cleaned up.</w:t>
      </w:r>
    </w:p>
  </w:comment>
  <w:comment w:id="13" w:author="Technical Reviewer" w:date="2026-07-20T12:34:16Z" w:initials="TR">
    <w:p w14:paraId="1EDA2811" w14:textId="77777777">
      <w:r>
        <w:rPr>
          <w:rStyle w:val="CommentReference"/>
        </w:rPr>
        <w:annotationRef/>
      </w:r>
      <w:r>
        <w:rPr>
          <w:color w:val="000000"/>
          <w:sz w:val="20"/>
          <w:szCs w:val="20"/>
        </w:rPr>
        <w:t xml:space="preserve">Unlike its sibling subsections (2.4.1, 2.4.3-2.4.6), this one has no size/SQM allocation, equipment list, or 'Primary Equipment/Essential Tools' breakdown - it is only two sentences. If it is meant purely as an umbrella/introduction to 2.4.3-2.4.5, consider saying so explicitly; otherwise it reads as an unfinished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E2D06D" w15:done="0"/>
  <w15:commentEx w15:paraId="45E5844F" w15:done="0"/>
  <w15:commentEx w15:paraId="0E3A8E96" w15:done="0"/>
  <w15:commentEx w15:paraId="378031A6" w15:done="0"/>
  <w15:commentEx w15:paraId="0C3CBBF8" w15:done="0"/>
  <w15:commentEx w15:paraId="6DC6BB0B" w15:done="0"/>
  <w15:commentEx w15:paraId="42C6DEAE" w15:done="0"/>
  <w15:commentEx w15:paraId="56B5EA6E" w15:done="0"/>
  <w15:commentEx w15:paraId="12E5089A" w15:done="0"/>
  <w15:commentEx w15:paraId="080E18AC" w15:done="0"/>
  <w15:commentEx w15:paraId="539E022A" w15:done="0"/>
  <w15:commentEx w15:paraId="6946F2BC" w15:done="0"/>
  <w15:commentEx w15:paraId="76C7A762" w15:done="0"/>
  <w15:commentEx w15:paraId="1EDA28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8906EC6" w16cex:dateUtc="2026-07-20T12:33:45Z"/>
  <w16cex:commentExtensible w16cex:durableId="3C642945" w16cex:dateUtc="2026-07-20T12:33:45Z"/>
  <w16cex:commentExtensible w16cex:durableId="66ADADA1" w16cex:dateUtc="2026-07-20T12:33:45Z"/>
  <w16cex:commentExtensible w16cex:durableId="207D77F6" w16cex:dateUtc="2026-07-20T12:33:45Z"/>
  <w16cex:commentExtensible w16cex:durableId="54EC44CE" w16cex:dateUtc="2026-07-20T12:33:57Z"/>
  <w16cex:commentExtensible w16cex:durableId="51D4F579" w16cex:dateUtc="2026-07-20T12:33:57Z"/>
  <w16cex:commentExtensible w16cex:durableId="59E065F6" w16cex:dateUtc="2026-07-20T12:33:57Z"/>
  <w16cex:commentExtensible w16cex:durableId="433BC53F" w16cex:dateUtc="2026-07-20T12:33:58Z"/>
  <w16cex:commentExtensible w16cex:durableId="013165F1" w16cex:dateUtc="2026-07-20T12:34:08Z"/>
  <w16cex:commentExtensible w16cex:durableId="777D38AB" w16cex:dateUtc="2026-07-20T12:34:08Z"/>
  <w16cex:commentExtensible w16cex:durableId="0A16CD01" w16cex:dateUtc="2026-07-20T12:34:08Z"/>
  <w16cex:commentExtensible w16cex:durableId="4057557F" w16cex:dateUtc="2026-07-20T12:34:08Z"/>
  <w16cex:commentExtensible w16cex:durableId="4A223086" w16cex:dateUtc="2026-07-20T12:34:16Z"/>
  <w16cex:commentExtensible w16cex:durableId="06762197" w16cex:dateUtc="2026-07-20T12:34: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E2D06D" w16cid:durableId="58906EC6"/>
  <w16cid:commentId w16cid:paraId="45E5844F" w16cid:durableId="3C642945"/>
  <w16cid:commentId w16cid:paraId="0E3A8E96" w16cid:durableId="66ADADA1"/>
  <w16cid:commentId w16cid:paraId="378031A6" w16cid:durableId="207D77F6"/>
  <w16cid:commentId w16cid:paraId="0C3CBBF8" w16cid:durableId="54EC44CE"/>
  <w16cid:commentId w16cid:paraId="6DC6BB0B" w16cid:durableId="51D4F579"/>
  <w16cid:commentId w16cid:paraId="42C6DEAE" w16cid:durableId="59E065F6"/>
  <w16cid:commentId w16cid:paraId="56B5EA6E" w16cid:durableId="433BC53F"/>
  <w16cid:commentId w16cid:paraId="12E5089A" w16cid:durableId="013165F1"/>
  <w16cid:commentId w16cid:paraId="080E18AC" w16cid:durableId="777D38AB"/>
  <w16cid:commentId w16cid:paraId="539E022A" w16cid:durableId="0A16CD01"/>
  <w16cid:commentId w16cid:paraId="6946F2BC" w16cid:durableId="4057557F"/>
  <w16cid:commentId w16cid:paraId="76C7A762" w16cid:durableId="4A223086"/>
  <w16cid:commentId w16cid:paraId="1EDA2811" w16cid:durableId="0676219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110A42F" w14:textId="77777777">
      <w:pPr>
        <w:pBdr/>
        <w:spacing w:after="0" w:line="240" w:lineRule="auto"/>
        <w:ind/>
        <w:rPr/>
      </w:pPr>
      <w:r>
        <w:separator/>
      </w:r>
      <w:r/>
    </w:p>
  </w:endnote>
  <w:endnote w:type="continuationSeparator" w:id="0">
    <w:p w14:paraId="0C89A72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ngsuh">
    <w:panose1 w:val="02020603020101020101"/>
  </w:font>
  <w:font w:name="Times New Roman">
    <w:panose1 w:val="02020603050405020304"/>
  </w:font>
  <w:font w:name="Wingdings">
    <w:panose1 w:val="05000000000000000000"/>
  </w:font>
  <w:font w:name="Symbol">
    <w:panose1 w:val="05010000000000000000"/>
  </w:font>
  <w:font w:name="Courier New">
    <w:panose1 w:val="02070309020205020404"/>
  </w:font>
  <w:font w:name="Noto Sans Symbols">
    <w:panose1 w:val="020207020605060204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92598925"/>
      <w:docPartObj>
        <w:docPartGallery w:val="Page Numbers (Bottom of Page)"/>
        <w:docPartUnique w:val="true"/>
      </w:docPartObj>
      <w:rPr/>
    </w:sdtPr>
    <w:sdtContent>
      <w:p w14:paraId="1093C706" w14:textId="27E6F1DC">
        <w:pPr>
          <w:pStyle w:val="826"/>
          <w:pBdr>
            <w:top w:val="single" w:color="d9d9d9" w:themeColor="background1" w:themeShade="D9" w:sz="4" w:space="1"/>
          </w:pBdr>
          <w:spacing/>
          <w:ind/>
          <w:rPr>
            <w:b/>
            <w:bCs/>
          </w:rPr>
        </w:pPr>
        <w:r>
          <w:fldChar w:fldCharType="begin"/>
        </w:r>
        <w:r>
          <w:instrText xml:space="preserve"> PAGE   \* MERGEFORMAT </w:instrText>
        </w:r>
        <w:r>
          <w:fldChar w:fldCharType="separate"/>
        </w:r>
        <w:r>
          <w:rPr>
            <w:b/>
            <w:bCs/>
          </w:rPr>
          <w:t xml:space="preserve">52</w:t>
        </w:r>
        <w:r>
          <w:rPr>
            <w:b/>
            <w:bCs/>
          </w:rPr>
          <w:fldChar w:fldCharType="end"/>
        </w:r>
        <w:r>
          <w:rPr>
            <w:b/>
            <w:bCs/>
          </w:rPr>
          <w:t xml:space="preserve"> | </w:t>
        </w:r>
        <w:r>
          <w:rPr>
            <w:color w:val="7f7f7f" w:themeColor="background1" w:themeShade="7F"/>
            <w:spacing w:val="60"/>
          </w:rPr>
          <w:t xml:space="preserve">Page</w:t>
        </w:r>
        <w:r>
          <w:rPr>
            <w:b/>
            <w:bCs/>
          </w:rPr>
        </w:r>
      </w:p>
    </w:sdtContent>
  </w:sdt>
  <w:p w14:paraId="31AF76D0" w14:textId="77777777">
    <w:pPr>
      <w:pStyle w:val="82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BC1105" w14:textId="77777777">
      <w:pPr>
        <w:pBdr/>
        <w:spacing w:after="0" w:line="240" w:lineRule="auto"/>
        <w:ind/>
        <w:rPr/>
      </w:pPr>
      <w:r>
        <w:separator/>
      </w:r>
      <w:r/>
    </w:p>
  </w:footnote>
  <w:footnote w:type="continuationSeparator" w:id="0">
    <w:p w14:paraId="4A6A680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C4CBA"/>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
    <w:nsid w:val="0B5312B8"/>
    <w:lvl w:ilvl="0">
      <w:isLgl w:val="false"/>
      <w:lvlJc w:val="left"/>
      <w:lvlText w:val="%1."/>
      <w:numFmt w:val="decimal"/>
      <w:pPr>
        <w:pBdr/>
        <w:spacing/>
        <w:ind w:hanging="540" w:left="540"/>
      </w:pPr>
      <w:rPr>
        <w:rFonts w:hint="default"/>
      </w:rPr>
      <w:start w:val="2"/>
      <w:suff w:val="tab"/>
    </w:lvl>
    <w:lvl w:ilvl="1">
      <w:isLgl w:val="false"/>
      <w:lvlJc w:val="left"/>
      <w:lvlText w:val="%1.%2."/>
      <w:numFmt w:val="decimal"/>
      <w:pPr>
        <w:pBdr/>
        <w:spacing/>
        <w:ind w:hanging="540" w:left="540"/>
      </w:pPr>
      <w:rPr>
        <w:rFonts w:hint="default"/>
      </w:rPr>
      <w:start w:val="4"/>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
    <w:nsid w:val="145D648D"/>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
    <w:nsid w:val="157C734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
    <w:nsid w:val="164A3704"/>
    <w:lvl w:ilvl="0">
      <w:isLgl w:val="false"/>
      <w:lvlJc w:val="left"/>
      <w:lvlText w:val="%1."/>
      <w:numFmt w:val="lowerRoman"/>
      <w:pPr>
        <w:pBdr/>
        <w:spacing/>
        <w:ind w:hanging="720" w:left="1080"/>
      </w:pPr>
      <w:rPr>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84C50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b/>
      </w:rPr>
      <w:start w:val="6"/>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BD85A2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7">
    <w:nsid w:val="1D3E04FD"/>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8">
    <w:nsid w:val="1D48140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9">
    <w:nsid w:val="1E874CBF"/>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lowerRoman"/>
      <w:pPr>
        <w:pBdr/>
        <w:spacing/>
        <w:ind w:hanging="720" w:left="2520"/>
      </w:pPr>
      <w:rPr>
        <w:b/>
        <w:bCs/>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0">
    <w:nsid w:val="28044FCA"/>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1">
    <w:nsid w:val="2B1A4FCF"/>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2">
    <w:nsid w:val="36FE752D"/>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3">
    <w:nsid w:val="3A772EA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4">
    <w:nsid w:val="3A9B1D7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5">
    <w:nsid w:val="48BD34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0DB346F"/>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7">
    <w:nsid w:val="5204323C"/>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
    <w:nsid w:val="53EC4C70"/>
    <w:lvl w:ilvl="0">
      <w:isLgl w:val="false"/>
      <w:lvlJc w:val="left"/>
      <w:lvlText w:val="%1."/>
      <w:numFmt w:val="decimal"/>
      <w:pPr>
        <w:pBdr/>
        <w:spacing/>
        <w:ind w:hanging="360" w:left="360"/>
      </w:pPr>
      <w:rPr>
        <w:rFonts w:hint="default" w:ascii="Times New Roman" w:hAnsi="Times New Roman" w:eastAsia="Times New Roman" w:cs="Times New Roman"/>
        <w:b/>
      </w:rPr>
      <w:start w:val="4"/>
      <w:suff w:val="tab"/>
    </w:lvl>
    <w:lvl w:ilvl="1">
      <w:isLgl w:val="false"/>
      <w:lvlJc w:val="left"/>
      <w:lvlText w:val="%1.%2."/>
      <w:numFmt w:val="decimal"/>
      <w:pPr>
        <w:pBdr/>
        <w:spacing/>
        <w:ind w:hanging="360" w:left="360"/>
      </w:pPr>
      <w:rPr>
        <w:rFonts w:hint="default" w:ascii="Times New Roman" w:hAnsi="Times New Roman" w:eastAsia="Times New Roman" w:cs="Times New Roman"/>
        <w:b/>
      </w:rPr>
      <w:start w:val="1"/>
      <w:suff w:val="tab"/>
    </w:lvl>
    <w:lvl w:ilvl="2">
      <w:isLgl w:val="false"/>
      <w:lvlJc w:val="left"/>
      <w:lvlText w:val="%1.%2.%3."/>
      <w:numFmt w:val="decimal"/>
      <w:pPr>
        <w:pBdr/>
        <w:spacing/>
        <w:ind w:hanging="720" w:left="720"/>
      </w:pPr>
      <w:rPr>
        <w:rFonts w:hint="default" w:ascii="Times New Roman" w:hAnsi="Times New Roman" w:eastAsia="Times New Roman" w:cs="Times New Roman"/>
        <w:b/>
      </w:rPr>
      <w:start w:val="1"/>
      <w:suff w:val="tab"/>
    </w:lvl>
    <w:lvl w:ilvl="3">
      <w:isLgl w:val="false"/>
      <w:lvlJc w:val="left"/>
      <w:lvlText w:val="%1.%2.%3.%4."/>
      <w:numFmt w:val="decimal"/>
      <w:pPr>
        <w:pBdr/>
        <w:spacing/>
        <w:ind w:hanging="720" w:left="720"/>
      </w:pPr>
      <w:rPr>
        <w:rFonts w:hint="default" w:ascii="Times New Roman" w:hAnsi="Times New Roman" w:eastAsia="Times New Roman" w:cs="Times New Roman"/>
        <w:b/>
      </w:rPr>
      <w:start w:val="1"/>
      <w:suff w:val="tab"/>
    </w:lvl>
    <w:lvl w:ilvl="4">
      <w:isLgl w:val="false"/>
      <w:lvlJc w:val="left"/>
      <w:lvlText w:val="%1.%2.%3.%4.%5."/>
      <w:numFmt w:val="decimal"/>
      <w:pPr>
        <w:pBdr/>
        <w:spacing/>
        <w:ind w:hanging="1080" w:left="1080"/>
      </w:pPr>
      <w:rPr>
        <w:rFonts w:hint="default" w:ascii="Times New Roman" w:hAnsi="Times New Roman" w:eastAsia="Times New Roman" w:cs="Times New Roman"/>
        <w:b/>
      </w:rPr>
      <w:start w:val="1"/>
      <w:suff w:val="tab"/>
    </w:lvl>
    <w:lvl w:ilvl="5">
      <w:isLgl w:val="false"/>
      <w:lvlJc w:val="left"/>
      <w:lvlText w:val="%1.%2.%3.%4.%5.%6."/>
      <w:numFmt w:val="decimal"/>
      <w:pPr>
        <w:pBdr/>
        <w:spacing/>
        <w:ind w:hanging="1080" w:left="1080"/>
      </w:pPr>
      <w:rPr>
        <w:rFonts w:hint="default" w:ascii="Times New Roman" w:hAnsi="Times New Roman" w:eastAsia="Times New Roman" w:cs="Times New Roman"/>
        <w:b/>
      </w:rPr>
      <w:start w:val="1"/>
      <w:suff w:val="tab"/>
    </w:lvl>
    <w:lvl w:ilvl="6">
      <w:isLgl w:val="false"/>
      <w:lvlJc w:val="left"/>
      <w:lvlText w:val="%1.%2.%3.%4.%5.%6.%7."/>
      <w:numFmt w:val="decimal"/>
      <w:pPr>
        <w:pBdr/>
        <w:spacing/>
        <w:ind w:hanging="1440" w:left="1440"/>
      </w:pPr>
      <w:rPr>
        <w:rFonts w:hint="default" w:ascii="Times New Roman" w:hAnsi="Times New Roman" w:eastAsia="Times New Roman" w:cs="Times New Roman"/>
        <w:b/>
      </w:rPr>
      <w:start w:val="1"/>
      <w:suff w:val="tab"/>
    </w:lvl>
    <w:lvl w:ilvl="7">
      <w:isLgl w:val="false"/>
      <w:lvlJc w:val="left"/>
      <w:lvlText w:val="%1.%2.%3.%4.%5.%6.%7.%8."/>
      <w:numFmt w:val="decimal"/>
      <w:pPr>
        <w:pBdr/>
        <w:spacing/>
        <w:ind w:hanging="1440" w:left="1440"/>
      </w:pPr>
      <w:rPr>
        <w:rFonts w:hint="default" w:ascii="Times New Roman" w:hAnsi="Times New Roman" w:eastAsia="Times New Roman" w:cs="Times New Roman"/>
        <w:b/>
      </w:rPr>
      <w:start w:val="1"/>
      <w:suff w:val="tab"/>
    </w:lvl>
    <w:lvl w:ilvl="8">
      <w:isLgl w:val="false"/>
      <w:lvlJc w:val="left"/>
      <w:lvlText w:val="%1.%2.%3.%4.%5.%6.%7.%8.%9."/>
      <w:numFmt w:val="decimal"/>
      <w:pPr>
        <w:pBdr/>
        <w:spacing/>
        <w:ind w:hanging="1800" w:left="1800"/>
      </w:pPr>
      <w:rPr>
        <w:rFonts w:hint="default" w:ascii="Times New Roman" w:hAnsi="Times New Roman" w:eastAsia="Times New Roman" w:cs="Times New Roman"/>
        <w:b/>
      </w:rPr>
      <w:start w:val="1"/>
      <w:suff w:val="tab"/>
    </w:lvl>
  </w:abstractNum>
  <w:abstractNum w:abstractNumId="19">
    <w:nsid w:val="58AA4593"/>
    <w:lvl w:ilvl="0">
      <w:isLgl w:val="false"/>
      <w:lvlJc w:val="left"/>
      <w:lvlText w:val="%1"/>
      <w:numFmt w:val="decimal"/>
      <w:pPr>
        <w:pBdr/>
        <w:spacing/>
        <w:ind w:hanging="360" w:left="360"/>
      </w:pPr>
      <w:rPr/>
      <w:start w:val="3"/>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20">
    <w:nsid w:val="5AAB2B9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
    <w:nsid w:val="5BF6461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
    <w:nsid w:val="5CB130A7"/>
    <w:lvl w:ilvl="0">
      <w:isLgl w:val="false"/>
      <w:lvlJc w:val="left"/>
      <w:lvlText w:val="%1."/>
      <w:numFmt w:val="upp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3">
    <w:nsid w:val="5D415D5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4">
    <w:nsid w:val="68CF109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5">
    <w:nsid w:val="6958272B"/>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6">
    <w:nsid w:val="6E8E0F3D"/>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7">
    <w:nsid w:val="727C4A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7B20590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9">
    <w:nsid w:val="7C5D42C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3"/>
  </w:num>
  <w:num w:numId="2">
    <w:abstractNumId w:val="16"/>
  </w:num>
  <w:num w:numId="3">
    <w:abstractNumId w:val="23"/>
  </w:num>
  <w:num w:numId="4">
    <w:abstractNumId w:val="4"/>
  </w:num>
  <w:num w:numId="5">
    <w:abstractNumId w:val="9"/>
  </w:num>
  <w:num w:numId="6">
    <w:abstractNumId w:val="19"/>
  </w:num>
  <w:num w:numId="7">
    <w:abstractNumId w:val="3"/>
  </w:num>
  <w:num w:numId="8">
    <w:abstractNumId w:val="12"/>
  </w:num>
  <w:num w:numId="9">
    <w:abstractNumId w:val="17"/>
  </w:num>
  <w:num w:numId="10">
    <w:abstractNumId w:val="25"/>
  </w:num>
  <w:num w:numId="11">
    <w:abstractNumId w:val="0"/>
  </w:num>
  <w:num w:numId="12">
    <w:abstractNumId w:val="6"/>
  </w:num>
  <w:num w:numId="13">
    <w:abstractNumId w:val="24"/>
  </w:num>
  <w:num w:numId="14">
    <w:abstractNumId w:val="14"/>
  </w:num>
  <w:num w:numId="15">
    <w:abstractNumId w:val="26"/>
  </w:num>
  <w:num w:numId="16">
    <w:abstractNumId w:val="2"/>
  </w:num>
  <w:num w:numId="17">
    <w:abstractNumId w:val="20"/>
  </w:num>
  <w:num w:numId="18">
    <w:abstractNumId w:val="10"/>
  </w:num>
  <w:num w:numId="19">
    <w:abstractNumId w:val="21"/>
  </w:num>
  <w:num w:numId="20">
    <w:abstractNumId w:val="7"/>
  </w:num>
  <w:num w:numId="21">
    <w:abstractNumId w:val="11"/>
  </w:num>
  <w:num w:numId="22">
    <w:abstractNumId w:val="8"/>
  </w:num>
  <w:num w:numId="23">
    <w:abstractNumId w:val="22"/>
  </w:num>
  <w:num w:numId="24">
    <w:abstractNumId w:val="27"/>
  </w:num>
  <w:num w:numId="25">
    <w:abstractNumId w:val="28"/>
  </w:num>
  <w:num w:numId="26">
    <w:abstractNumId w:val="18"/>
  </w:num>
  <w:num w:numId="27">
    <w:abstractNumId w:val="5"/>
  </w:num>
  <w:num w:numId="28">
    <w:abstractNumId w:val="15"/>
  </w:num>
  <w:num w:numId="29">
    <w:abstractNumId w:val="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4"/>
        <w:szCs w:val="24"/>
        <w:lang w:val="en" w:eastAsia="en-US" w:bidi="ar-SA"/>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92"/>
    <w:next w:val="79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92"/>
    <w:next w:val="79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92"/>
    <w:next w:val="79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99"/>
    <w:link w:val="793"/>
    <w:uiPriority w:val="9"/>
    <w:pPr>
      <w:pBdr/>
      <w:spacing/>
      <w:ind/>
    </w:pPr>
    <w:rPr>
      <w:rFonts w:ascii="Arial" w:hAnsi="Arial" w:eastAsia="Arial" w:cs="Arial"/>
      <w:color w:val="0f4761" w:themeColor="accent1" w:themeShade="BF"/>
      <w:sz w:val="40"/>
      <w:szCs w:val="40"/>
    </w:rPr>
  </w:style>
  <w:style w:type="character" w:styleId="151">
    <w:name w:val="Heading 2 Char"/>
    <w:basedOn w:val="799"/>
    <w:link w:val="794"/>
    <w:uiPriority w:val="9"/>
    <w:pPr>
      <w:pBdr/>
      <w:spacing/>
      <w:ind/>
    </w:pPr>
    <w:rPr>
      <w:rFonts w:ascii="Arial" w:hAnsi="Arial" w:eastAsia="Arial" w:cs="Arial"/>
      <w:color w:val="0f4761" w:themeColor="accent1" w:themeShade="BF"/>
      <w:sz w:val="32"/>
      <w:szCs w:val="32"/>
    </w:rPr>
  </w:style>
  <w:style w:type="character" w:styleId="152">
    <w:name w:val="Heading 3 Char"/>
    <w:basedOn w:val="799"/>
    <w:link w:val="795"/>
    <w:uiPriority w:val="9"/>
    <w:pPr>
      <w:pBdr/>
      <w:spacing/>
      <w:ind/>
    </w:pPr>
    <w:rPr>
      <w:rFonts w:ascii="Arial" w:hAnsi="Arial" w:eastAsia="Arial" w:cs="Arial"/>
      <w:color w:val="0f4761" w:themeColor="accent1" w:themeShade="BF"/>
      <w:sz w:val="28"/>
      <w:szCs w:val="28"/>
    </w:rPr>
  </w:style>
  <w:style w:type="character" w:styleId="153">
    <w:name w:val="Heading 4 Char"/>
    <w:basedOn w:val="799"/>
    <w:link w:val="796"/>
    <w:uiPriority w:val="9"/>
    <w:pPr>
      <w:pBdr/>
      <w:spacing/>
      <w:ind/>
    </w:pPr>
    <w:rPr>
      <w:rFonts w:ascii="Arial" w:hAnsi="Arial" w:eastAsia="Arial" w:cs="Arial"/>
      <w:i/>
      <w:iCs/>
      <w:color w:val="0f4761" w:themeColor="accent1" w:themeShade="BF"/>
    </w:rPr>
  </w:style>
  <w:style w:type="character" w:styleId="154">
    <w:name w:val="Heading 5 Char"/>
    <w:basedOn w:val="799"/>
    <w:link w:val="797"/>
    <w:uiPriority w:val="9"/>
    <w:pPr>
      <w:pBdr/>
      <w:spacing/>
      <w:ind/>
    </w:pPr>
    <w:rPr>
      <w:rFonts w:ascii="Arial" w:hAnsi="Arial" w:eastAsia="Arial" w:cs="Arial"/>
      <w:color w:val="0f4761" w:themeColor="accent1" w:themeShade="BF"/>
    </w:rPr>
  </w:style>
  <w:style w:type="character" w:styleId="155">
    <w:name w:val="Heading 6 Char"/>
    <w:basedOn w:val="799"/>
    <w:link w:val="798"/>
    <w:uiPriority w:val="9"/>
    <w:pPr>
      <w:pBdr/>
      <w:spacing/>
      <w:ind/>
    </w:pPr>
    <w:rPr>
      <w:rFonts w:ascii="Arial" w:hAnsi="Arial" w:eastAsia="Arial" w:cs="Arial"/>
      <w:i/>
      <w:iCs/>
      <w:color w:val="595959" w:themeColor="text1" w:themeTint="A6"/>
    </w:rPr>
  </w:style>
  <w:style w:type="character" w:styleId="156">
    <w:name w:val="Heading 7 Char"/>
    <w:basedOn w:val="799"/>
    <w:link w:val="145"/>
    <w:uiPriority w:val="9"/>
    <w:pPr>
      <w:pBdr/>
      <w:spacing/>
      <w:ind/>
    </w:pPr>
    <w:rPr>
      <w:rFonts w:ascii="Arial" w:hAnsi="Arial" w:eastAsia="Arial" w:cs="Arial"/>
      <w:color w:val="595959" w:themeColor="text1" w:themeTint="A6"/>
    </w:rPr>
  </w:style>
  <w:style w:type="character" w:styleId="157">
    <w:name w:val="Heading 8 Char"/>
    <w:basedOn w:val="799"/>
    <w:link w:val="146"/>
    <w:uiPriority w:val="9"/>
    <w:pPr>
      <w:pBdr/>
      <w:spacing/>
      <w:ind/>
    </w:pPr>
    <w:rPr>
      <w:rFonts w:ascii="Arial" w:hAnsi="Arial" w:eastAsia="Arial" w:cs="Arial"/>
      <w:i/>
      <w:iCs/>
      <w:color w:val="272727" w:themeColor="text1" w:themeTint="D8"/>
    </w:rPr>
  </w:style>
  <w:style w:type="character" w:styleId="158">
    <w:name w:val="Heading 9 Char"/>
    <w:basedOn w:val="799"/>
    <w:link w:val="147"/>
    <w:uiPriority w:val="9"/>
    <w:pPr>
      <w:pBdr/>
      <w:spacing/>
      <w:ind/>
    </w:pPr>
    <w:rPr>
      <w:rFonts w:ascii="Arial" w:hAnsi="Arial" w:eastAsia="Arial" w:cs="Arial"/>
      <w:i/>
      <w:iCs/>
      <w:color w:val="272727" w:themeColor="text1" w:themeTint="D8"/>
    </w:rPr>
  </w:style>
  <w:style w:type="character" w:styleId="160">
    <w:name w:val="Title Char"/>
    <w:basedOn w:val="799"/>
    <w:link w:val="803"/>
    <w:uiPriority w:val="10"/>
    <w:pPr>
      <w:pBdr/>
      <w:spacing/>
      <w:ind/>
    </w:pPr>
    <w:rPr>
      <w:rFonts w:ascii="Arial" w:hAnsi="Arial" w:eastAsia="Arial" w:cs="Arial"/>
      <w:spacing w:val="-10"/>
      <w:sz w:val="56"/>
      <w:szCs w:val="56"/>
    </w:rPr>
  </w:style>
  <w:style w:type="character" w:styleId="162">
    <w:name w:val="Subtitle Char"/>
    <w:basedOn w:val="799"/>
    <w:link w:val="804"/>
    <w:uiPriority w:val="11"/>
    <w:pPr>
      <w:pBdr/>
      <w:spacing/>
      <w:ind/>
    </w:pPr>
    <w:rPr>
      <w:color w:val="595959" w:themeColor="text1" w:themeTint="A6"/>
      <w:spacing w:val="15"/>
      <w:sz w:val="28"/>
      <w:szCs w:val="28"/>
    </w:rPr>
  </w:style>
  <w:style w:type="paragraph" w:styleId="163">
    <w:name w:val="Quote"/>
    <w:basedOn w:val="792"/>
    <w:next w:val="792"/>
    <w:link w:val="164"/>
    <w:uiPriority w:val="29"/>
    <w:qFormat/>
    <w:pPr>
      <w:pBdr/>
      <w:spacing w:before="160"/>
      <w:ind/>
      <w:jc w:val="center"/>
    </w:pPr>
    <w:rPr>
      <w:i/>
      <w:iCs/>
      <w:color w:val="404040" w:themeColor="text1" w:themeTint="BF"/>
    </w:rPr>
  </w:style>
  <w:style w:type="character" w:styleId="164">
    <w:name w:val="Quote Char"/>
    <w:basedOn w:val="799"/>
    <w:link w:val="163"/>
    <w:uiPriority w:val="29"/>
    <w:pPr>
      <w:pBdr/>
      <w:spacing/>
      <w:ind/>
    </w:pPr>
    <w:rPr>
      <w:i/>
      <w:iCs/>
      <w:color w:val="404040" w:themeColor="text1" w:themeTint="BF"/>
    </w:rPr>
  </w:style>
  <w:style w:type="character" w:styleId="166">
    <w:name w:val="Intense Emphasis"/>
    <w:basedOn w:val="799"/>
    <w:uiPriority w:val="21"/>
    <w:qFormat/>
    <w:pPr>
      <w:pBdr/>
      <w:spacing/>
      <w:ind/>
    </w:pPr>
    <w:rPr>
      <w:i/>
      <w:iCs/>
      <w:color w:val="0f4761" w:themeColor="accent1" w:themeShade="BF"/>
    </w:rPr>
  </w:style>
  <w:style w:type="paragraph" w:styleId="167">
    <w:name w:val="Intense Quote"/>
    <w:basedOn w:val="792"/>
    <w:next w:val="7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9"/>
    <w:link w:val="167"/>
    <w:uiPriority w:val="30"/>
    <w:pPr>
      <w:pBdr/>
      <w:spacing/>
      <w:ind/>
    </w:pPr>
    <w:rPr>
      <w:i/>
      <w:iCs/>
      <w:color w:val="0f4761" w:themeColor="accent1" w:themeShade="BF"/>
    </w:rPr>
  </w:style>
  <w:style w:type="character" w:styleId="169">
    <w:name w:val="Intense Reference"/>
    <w:basedOn w:val="799"/>
    <w:uiPriority w:val="32"/>
    <w:qFormat/>
    <w:pPr>
      <w:pBdr/>
      <w:spacing/>
      <w:ind/>
    </w:pPr>
    <w:rPr>
      <w:b/>
      <w:bCs/>
      <w:smallCaps/>
      <w:color w:val="0f4761" w:themeColor="accent1" w:themeShade="BF"/>
      <w:spacing w:val="5"/>
    </w:rPr>
  </w:style>
  <w:style w:type="paragraph" w:styleId="170">
    <w:name w:val="No Spacing"/>
    <w:basedOn w:val="792"/>
    <w:uiPriority w:val="1"/>
    <w:qFormat/>
    <w:pPr>
      <w:pBdr/>
      <w:spacing w:after="0" w:line="240" w:lineRule="auto"/>
      <w:ind/>
    </w:pPr>
  </w:style>
  <w:style w:type="character" w:styleId="171">
    <w:name w:val="Subtle Emphasis"/>
    <w:basedOn w:val="799"/>
    <w:uiPriority w:val="19"/>
    <w:qFormat/>
    <w:pPr>
      <w:pBdr/>
      <w:spacing/>
      <w:ind/>
    </w:pPr>
    <w:rPr>
      <w:i/>
      <w:iCs/>
      <w:color w:val="404040" w:themeColor="text1" w:themeTint="BF"/>
    </w:rPr>
  </w:style>
  <w:style w:type="character" w:styleId="172">
    <w:name w:val="Emphasis"/>
    <w:basedOn w:val="799"/>
    <w:uiPriority w:val="20"/>
    <w:qFormat/>
    <w:pPr>
      <w:pBdr/>
      <w:spacing/>
      <w:ind/>
    </w:pPr>
    <w:rPr>
      <w:i/>
      <w:iCs/>
    </w:rPr>
  </w:style>
  <w:style w:type="character" w:styleId="174">
    <w:name w:val="Subtle Reference"/>
    <w:basedOn w:val="799"/>
    <w:uiPriority w:val="31"/>
    <w:qFormat/>
    <w:pPr>
      <w:pBdr/>
      <w:spacing/>
      <w:ind/>
    </w:pPr>
    <w:rPr>
      <w:smallCaps/>
      <w:color w:val="5a5a5a" w:themeColor="text1" w:themeTint="A5"/>
    </w:rPr>
  </w:style>
  <w:style w:type="character" w:styleId="175">
    <w:name w:val="Book Title"/>
    <w:basedOn w:val="799"/>
    <w:uiPriority w:val="33"/>
    <w:qFormat/>
    <w:pPr>
      <w:pBdr/>
      <w:spacing/>
      <w:ind/>
    </w:pPr>
    <w:rPr>
      <w:b/>
      <w:bCs/>
      <w:i/>
      <w:iCs/>
      <w:spacing w:val="5"/>
    </w:rPr>
  </w:style>
  <w:style w:type="paragraph" w:styleId="181">
    <w:name w:val="footnote text"/>
    <w:basedOn w:val="792"/>
    <w:link w:val="182"/>
    <w:uiPriority w:val="99"/>
    <w:semiHidden/>
    <w:unhideWhenUsed/>
    <w:pPr>
      <w:pBdr/>
      <w:spacing w:after="0" w:line="240" w:lineRule="auto"/>
      <w:ind/>
    </w:pPr>
    <w:rPr>
      <w:sz w:val="20"/>
      <w:szCs w:val="20"/>
    </w:rPr>
  </w:style>
  <w:style w:type="character" w:styleId="182">
    <w:name w:val="Footnote Text Char"/>
    <w:basedOn w:val="799"/>
    <w:link w:val="181"/>
    <w:uiPriority w:val="99"/>
    <w:semiHidden/>
    <w:pPr>
      <w:pBdr/>
      <w:spacing/>
      <w:ind/>
    </w:pPr>
    <w:rPr>
      <w:sz w:val="20"/>
      <w:szCs w:val="20"/>
    </w:rPr>
  </w:style>
  <w:style w:type="character" w:styleId="183">
    <w:name w:val="footnote reference"/>
    <w:basedOn w:val="799"/>
    <w:uiPriority w:val="99"/>
    <w:semiHidden/>
    <w:unhideWhenUsed/>
    <w:pPr>
      <w:pBdr/>
      <w:spacing/>
      <w:ind/>
    </w:pPr>
    <w:rPr>
      <w:vertAlign w:val="superscript"/>
    </w:rPr>
  </w:style>
  <w:style w:type="paragraph" w:styleId="184">
    <w:name w:val="endnote text"/>
    <w:basedOn w:val="792"/>
    <w:link w:val="185"/>
    <w:uiPriority w:val="99"/>
    <w:semiHidden/>
    <w:unhideWhenUsed/>
    <w:pPr>
      <w:pBdr/>
      <w:spacing w:after="0" w:line="240" w:lineRule="auto"/>
      <w:ind/>
    </w:pPr>
    <w:rPr>
      <w:sz w:val="20"/>
      <w:szCs w:val="20"/>
    </w:rPr>
  </w:style>
  <w:style w:type="character" w:styleId="185">
    <w:name w:val="Endnote Text Char"/>
    <w:basedOn w:val="799"/>
    <w:link w:val="184"/>
    <w:uiPriority w:val="99"/>
    <w:semiHidden/>
    <w:pPr>
      <w:pBdr/>
      <w:spacing/>
      <w:ind/>
    </w:pPr>
    <w:rPr>
      <w:sz w:val="20"/>
      <w:szCs w:val="20"/>
    </w:rPr>
  </w:style>
  <w:style w:type="character" w:styleId="186">
    <w:name w:val="endnote reference"/>
    <w:basedOn w:val="799"/>
    <w:uiPriority w:val="99"/>
    <w:semiHidden/>
    <w:unhideWhenUsed/>
    <w:pPr>
      <w:pBdr/>
      <w:spacing/>
      <w:ind/>
    </w:pPr>
    <w:rPr>
      <w:vertAlign w:val="superscript"/>
    </w:rPr>
  </w:style>
  <w:style w:type="character" w:styleId="188">
    <w:name w:val="FollowedHyperlink"/>
    <w:basedOn w:val="799"/>
    <w:uiPriority w:val="99"/>
    <w:semiHidden/>
    <w:unhideWhenUsed/>
    <w:pPr>
      <w:pBdr/>
      <w:spacing/>
      <w:ind/>
    </w:pPr>
    <w:rPr>
      <w:color w:val="954f72" w:themeColor="followedHyperlink"/>
      <w:u w:val="single"/>
    </w:rPr>
  </w:style>
  <w:style w:type="paragraph" w:styleId="192">
    <w:name w:val="toc 4"/>
    <w:basedOn w:val="792"/>
    <w:next w:val="792"/>
    <w:uiPriority w:val="39"/>
    <w:unhideWhenUsed/>
    <w:pPr>
      <w:pBdr/>
      <w:spacing w:after="100"/>
      <w:ind w:left="660"/>
    </w:pPr>
  </w:style>
  <w:style w:type="paragraph" w:styleId="193">
    <w:name w:val="toc 5"/>
    <w:basedOn w:val="792"/>
    <w:next w:val="792"/>
    <w:uiPriority w:val="39"/>
    <w:unhideWhenUsed/>
    <w:pPr>
      <w:pBdr/>
      <w:spacing w:after="100"/>
      <w:ind w:left="880"/>
    </w:pPr>
  </w:style>
  <w:style w:type="paragraph" w:styleId="194">
    <w:name w:val="toc 6"/>
    <w:basedOn w:val="792"/>
    <w:next w:val="792"/>
    <w:uiPriority w:val="39"/>
    <w:unhideWhenUsed/>
    <w:pPr>
      <w:pBdr/>
      <w:spacing w:after="100"/>
      <w:ind w:left="1100"/>
    </w:pPr>
  </w:style>
  <w:style w:type="paragraph" w:styleId="195">
    <w:name w:val="toc 7"/>
    <w:basedOn w:val="792"/>
    <w:next w:val="792"/>
    <w:uiPriority w:val="39"/>
    <w:unhideWhenUsed/>
    <w:pPr>
      <w:pBdr/>
      <w:spacing w:after="100"/>
      <w:ind w:left="1320"/>
    </w:pPr>
  </w:style>
  <w:style w:type="paragraph" w:styleId="196">
    <w:name w:val="toc 8"/>
    <w:basedOn w:val="792"/>
    <w:next w:val="792"/>
    <w:uiPriority w:val="39"/>
    <w:unhideWhenUsed/>
    <w:pPr>
      <w:pBdr/>
      <w:spacing w:after="100"/>
      <w:ind w:left="1540"/>
    </w:pPr>
  </w:style>
  <w:style w:type="paragraph" w:styleId="197">
    <w:name w:val="toc 9"/>
    <w:basedOn w:val="792"/>
    <w:next w:val="792"/>
    <w:uiPriority w:val="39"/>
    <w:unhideWhenUsed/>
    <w:pPr>
      <w:pBdr/>
      <w:spacing w:after="100"/>
      <w:ind w:left="1760"/>
    </w:pPr>
  </w:style>
  <w:style w:type="character" w:styleId="198">
    <w:name w:val="Placeholder Text"/>
    <w:basedOn w:val="799"/>
    <w:uiPriority w:val="99"/>
    <w:semiHidden/>
    <w:pPr>
      <w:pBdr/>
      <w:spacing/>
      <w:ind/>
    </w:pPr>
    <w:rPr>
      <w:color w:val="666666"/>
    </w:rPr>
  </w:style>
  <w:style w:type="paragraph" w:styleId="792" w:default="1">
    <w:name w:val="Normal"/>
    <w:qFormat/>
    <w:pPr>
      <w:pBdr/>
      <w:spacing/>
      <w:ind/>
    </w:pPr>
  </w:style>
  <w:style w:type="paragraph" w:styleId="793">
    <w:name w:val="Heading 1"/>
    <w:basedOn w:val="792"/>
    <w:next w:val="792"/>
    <w:uiPriority w:val="9"/>
    <w:qFormat/>
    <w:pPr>
      <w:keepNext w:val="true"/>
      <w:keepLines w:val="true"/>
      <w:pBdr/>
      <w:spacing w:after="80" w:before="360"/>
      <w:ind/>
      <w:outlineLvl w:val="0"/>
    </w:pPr>
    <w:rPr>
      <w:color w:val="2f5496"/>
      <w:sz w:val="40"/>
      <w:szCs w:val="40"/>
    </w:rPr>
  </w:style>
  <w:style w:type="paragraph" w:styleId="794">
    <w:name w:val="Heading 2"/>
    <w:basedOn w:val="792"/>
    <w:next w:val="792"/>
    <w:uiPriority w:val="9"/>
    <w:unhideWhenUsed/>
    <w:qFormat/>
    <w:pPr>
      <w:keepNext w:val="true"/>
      <w:keepLines w:val="true"/>
      <w:pBdr/>
      <w:spacing w:after="80" w:before="160"/>
      <w:ind/>
      <w:outlineLvl w:val="1"/>
    </w:pPr>
    <w:rPr>
      <w:color w:val="2f5496"/>
      <w:sz w:val="32"/>
      <w:szCs w:val="32"/>
    </w:rPr>
  </w:style>
  <w:style w:type="paragraph" w:styleId="795">
    <w:name w:val="Heading 3"/>
    <w:basedOn w:val="792"/>
    <w:next w:val="792"/>
    <w:uiPriority w:val="9"/>
    <w:unhideWhenUsed/>
    <w:qFormat/>
    <w:pPr>
      <w:keepNext w:val="true"/>
      <w:keepLines w:val="true"/>
      <w:pBdr/>
      <w:spacing w:after="80" w:before="160"/>
      <w:ind/>
      <w:outlineLvl w:val="2"/>
    </w:pPr>
    <w:rPr>
      <w:color w:val="2f5496"/>
      <w:sz w:val="28"/>
      <w:szCs w:val="28"/>
    </w:rPr>
  </w:style>
  <w:style w:type="paragraph" w:styleId="796">
    <w:name w:val="Heading 4"/>
    <w:basedOn w:val="792"/>
    <w:next w:val="792"/>
    <w:uiPriority w:val="9"/>
    <w:semiHidden/>
    <w:unhideWhenUsed/>
    <w:qFormat/>
    <w:pPr>
      <w:keepNext w:val="true"/>
      <w:keepLines w:val="true"/>
      <w:pBdr/>
      <w:spacing w:after="40" w:before="80"/>
      <w:ind/>
      <w:outlineLvl w:val="3"/>
    </w:pPr>
    <w:rPr>
      <w:i/>
      <w:iCs/>
      <w:color w:val="2f5496"/>
    </w:rPr>
  </w:style>
  <w:style w:type="paragraph" w:styleId="797">
    <w:name w:val="Heading 5"/>
    <w:basedOn w:val="792"/>
    <w:next w:val="792"/>
    <w:uiPriority w:val="9"/>
    <w:semiHidden/>
    <w:unhideWhenUsed/>
    <w:qFormat/>
    <w:pPr>
      <w:keepNext w:val="true"/>
      <w:keepLines w:val="true"/>
      <w:pBdr/>
      <w:spacing w:after="40" w:before="80"/>
      <w:ind/>
      <w:outlineLvl w:val="4"/>
    </w:pPr>
    <w:rPr>
      <w:color w:val="2f5496"/>
    </w:rPr>
  </w:style>
  <w:style w:type="paragraph" w:styleId="798">
    <w:name w:val="Heading 6"/>
    <w:basedOn w:val="792"/>
    <w:next w:val="792"/>
    <w:uiPriority w:val="9"/>
    <w:semiHidden/>
    <w:unhideWhenUsed/>
    <w:qFormat/>
    <w:pPr>
      <w:keepNext w:val="true"/>
      <w:keepLines w:val="true"/>
      <w:pBdr/>
      <w:spacing w:after="0" w:before="40"/>
      <w:ind/>
      <w:outlineLvl w:val="5"/>
    </w:pPr>
    <w:rPr>
      <w:i/>
      <w:iCs/>
      <w:color w:val="595959"/>
    </w:rPr>
  </w:style>
  <w:style w:type="character" w:styleId="799" w:default="1">
    <w:name w:val="Default Paragraph Font"/>
    <w:uiPriority w:val="1"/>
    <w:semiHidden/>
    <w:unhideWhenUsed/>
    <w:pPr>
      <w:pBdr/>
      <w:spacing/>
      <w:ind/>
    </w:pPr>
  </w:style>
  <w:style w:type="table" w:styleId="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1" w:default="1">
    <w:name w:val="No List"/>
    <w:uiPriority w:val="99"/>
    <w:semiHidden/>
    <w:unhideWhenUsed/>
    <w:pPr>
      <w:pBdr/>
      <w:spacing/>
      <w:ind/>
    </w:pPr>
  </w:style>
  <w:style w:type="table" w:styleId="802"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3">
    <w:name w:val="Title"/>
    <w:basedOn w:val="792"/>
    <w:next w:val="792"/>
    <w:uiPriority w:val="10"/>
    <w:qFormat/>
    <w:pPr>
      <w:pBdr/>
      <w:spacing w:after="80" w:line="240" w:lineRule="auto"/>
      <w:ind/>
    </w:pPr>
    <w:rPr>
      <w:sz w:val="56"/>
      <w:szCs w:val="56"/>
    </w:rPr>
  </w:style>
  <w:style w:type="paragraph" w:styleId="804">
    <w:name w:val="Subtitle"/>
    <w:basedOn w:val="792"/>
    <w:next w:val="792"/>
    <w:uiPriority w:val="11"/>
    <w:qFormat/>
    <w:pPr>
      <w:pBdr/>
      <w:spacing/>
      <w:ind/>
    </w:pPr>
    <w:rPr>
      <w:color w:val="595959"/>
      <w:sz w:val="28"/>
      <w:szCs w:val="28"/>
    </w:rPr>
  </w:style>
  <w:style w:type="table" w:styleId="805" w:customStyle="1">
    <w:name w:val="StGen0"/>
    <w:basedOn w:val="80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StGen1"/>
    <w:basedOn w:val="80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StGen2"/>
    <w:basedOn w:val="802"/>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StGen3"/>
    <w:basedOn w:val="80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StGen4"/>
    <w:basedOn w:val="80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StGen5"/>
    <w:basedOn w:val="802"/>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StGen6"/>
    <w:basedOn w:val="802"/>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StGen7"/>
    <w:basedOn w:val="802"/>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3">
    <w:name w:val="annotation text"/>
    <w:basedOn w:val="792"/>
    <w:link w:val="814"/>
    <w:uiPriority w:val="99"/>
    <w:unhideWhenUsed/>
    <w:pPr>
      <w:pBdr/>
      <w:spacing w:line="240" w:lineRule="auto"/>
      <w:ind/>
    </w:pPr>
    <w:rPr>
      <w:sz w:val="20"/>
      <w:szCs w:val="20"/>
    </w:rPr>
  </w:style>
  <w:style w:type="character" w:styleId="814" w:customStyle="1">
    <w:name w:val="Comment Text Char"/>
    <w:basedOn w:val="799"/>
    <w:link w:val="813"/>
    <w:uiPriority w:val="99"/>
    <w:pPr>
      <w:pBdr/>
      <w:spacing/>
      <w:ind/>
    </w:pPr>
    <w:rPr>
      <w:sz w:val="20"/>
      <w:szCs w:val="20"/>
    </w:rPr>
  </w:style>
  <w:style w:type="character" w:styleId="815">
    <w:name w:val="annotation reference"/>
    <w:basedOn w:val="799"/>
    <w:uiPriority w:val="99"/>
    <w:semiHidden/>
    <w:unhideWhenUsed/>
    <w:pPr>
      <w:pBdr/>
      <w:spacing/>
      <w:ind/>
    </w:pPr>
    <w:rPr>
      <w:sz w:val="16"/>
      <w:szCs w:val="16"/>
    </w:rPr>
  </w:style>
  <w:style w:type="paragraph" w:styleId="816">
    <w:name w:val="annotation subject"/>
    <w:basedOn w:val="813"/>
    <w:next w:val="813"/>
    <w:link w:val="817"/>
    <w:uiPriority w:val="99"/>
    <w:semiHidden/>
    <w:unhideWhenUsed/>
    <w:pPr>
      <w:pBdr/>
      <w:spacing/>
      <w:ind/>
    </w:pPr>
    <w:rPr>
      <w:b/>
      <w:bCs/>
    </w:rPr>
  </w:style>
  <w:style w:type="character" w:styleId="817" w:customStyle="1">
    <w:name w:val="Comment Subject Char"/>
    <w:basedOn w:val="814"/>
    <w:link w:val="816"/>
    <w:uiPriority w:val="99"/>
    <w:semiHidden/>
    <w:pPr>
      <w:pBdr/>
      <w:spacing/>
      <w:ind/>
    </w:pPr>
    <w:rPr>
      <w:b/>
      <w:bCs/>
      <w:sz w:val="20"/>
      <w:szCs w:val="20"/>
    </w:rPr>
  </w:style>
  <w:style w:type="paragraph" w:styleId="818">
    <w:name w:val="Revision"/>
    <w:hidden/>
    <w:uiPriority w:val="99"/>
    <w:semiHidden/>
    <w:pPr>
      <w:pBdr/>
      <w:spacing w:after="0" w:line="240" w:lineRule="auto"/>
      <w:ind/>
    </w:pPr>
  </w:style>
  <w:style w:type="paragraph" w:styleId="819">
    <w:name w:val="List Paragraph"/>
    <w:basedOn w:val="792"/>
    <w:uiPriority w:val="34"/>
    <w:qFormat/>
    <w:pPr>
      <w:pBdr/>
      <w:spacing/>
      <w:ind w:left="720"/>
      <w:contextualSpacing w:val="true"/>
    </w:pPr>
  </w:style>
  <w:style w:type="character" w:styleId="820">
    <w:name w:val="Hyperlink"/>
    <w:basedOn w:val="799"/>
    <w:uiPriority w:val="99"/>
    <w:unhideWhenUsed/>
    <w:pPr>
      <w:pBdr/>
      <w:spacing/>
      <w:ind/>
    </w:pPr>
    <w:rPr>
      <w:color w:val="0000ff" w:themeColor="hyperlink"/>
      <w:u w:val="single"/>
    </w:rPr>
  </w:style>
  <w:style w:type="character" w:styleId="821" w:customStyle="1">
    <w:name w:val="Unresolved Mention"/>
    <w:basedOn w:val="799"/>
    <w:uiPriority w:val="99"/>
    <w:semiHidden/>
    <w:unhideWhenUsed/>
    <w:pPr>
      <w:pBdr/>
      <w:spacing/>
      <w:ind/>
    </w:pPr>
    <w:rPr>
      <w:color w:val="605e5c"/>
      <w:shd w:val="clear" w:color="auto" w:fill="e1dfdd"/>
    </w:rPr>
  </w:style>
  <w:style w:type="table" w:styleId="822">
    <w:name w:val="Table Grid"/>
    <w:basedOn w:val="80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3">
    <w:name w:val="Strong"/>
    <w:basedOn w:val="799"/>
    <w:uiPriority w:val="22"/>
    <w:qFormat/>
    <w:pPr>
      <w:pBdr/>
      <w:spacing/>
      <w:ind/>
    </w:pPr>
    <w:rPr>
      <w:b/>
      <w:bCs/>
    </w:rPr>
  </w:style>
  <w:style w:type="paragraph" w:styleId="824">
    <w:name w:val="Header"/>
    <w:basedOn w:val="792"/>
    <w:link w:val="825"/>
    <w:uiPriority w:val="99"/>
    <w:unhideWhenUsed/>
    <w:pPr>
      <w:pBdr/>
      <w:tabs>
        <w:tab w:val="center" w:leader="none" w:pos="4680"/>
        <w:tab w:val="right" w:leader="none" w:pos="9360"/>
      </w:tabs>
      <w:spacing w:after="0" w:line="240" w:lineRule="auto"/>
      <w:ind/>
    </w:pPr>
  </w:style>
  <w:style w:type="character" w:styleId="825" w:customStyle="1">
    <w:name w:val="Header Char"/>
    <w:basedOn w:val="799"/>
    <w:link w:val="824"/>
    <w:uiPriority w:val="99"/>
    <w:pPr>
      <w:pBdr/>
      <w:spacing/>
      <w:ind/>
    </w:pPr>
  </w:style>
  <w:style w:type="paragraph" w:styleId="826">
    <w:name w:val="Footer"/>
    <w:basedOn w:val="792"/>
    <w:link w:val="827"/>
    <w:uiPriority w:val="99"/>
    <w:unhideWhenUsed/>
    <w:pPr>
      <w:pBdr/>
      <w:tabs>
        <w:tab w:val="center" w:leader="none" w:pos="4680"/>
        <w:tab w:val="right" w:leader="none" w:pos="9360"/>
      </w:tabs>
      <w:spacing w:after="0" w:line="240" w:lineRule="auto"/>
      <w:ind/>
    </w:pPr>
  </w:style>
  <w:style w:type="character" w:styleId="827" w:customStyle="1">
    <w:name w:val="Footer Char"/>
    <w:basedOn w:val="799"/>
    <w:link w:val="826"/>
    <w:uiPriority w:val="99"/>
    <w:pPr>
      <w:pBdr/>
      <w:spacing/>
      <w:ind/>
    </w:pPr>
  </w:style>
  <w:style w:type="paragraph" w:styleId="828">
    <w:name w:val="Caption"/>
    <w:basedOn w:val="792"/>
    <w:next w:val="792"/>
    <w:uiPriority w:val="35"/>
    <w:unhideWhenUsed/>
    <w:qFormat/>
    <w:pPr>
      <w:pBdr/>
      <w:spacing w:after="200" w:line="240" w:lineRule="auto"/>
      <w:ind/>
    </w:pPr>
    <w:rPr>
      <w:i/>
      <w:iCs/>
      <w:color w:val="1f497d" w:themeColor="text2"/>
      <w:sz w:val="18"/>
      <w:szCs w:val="18"/>
    </w:rPr>
  </w:style>
  <w:style w:type="paragraph" w:styleId="829">
    <w:name w:val="TOC Heading"/>
    <w:basedOn w:val="793"/>
    <w:next w:val="792"/>
    <w:uiPriority w:val="39"/>
    <w:unhideWhenUsed/>
    <w:qFormat/>
    <w:pPr>
      <w:pBdr/>
      <w:spacing w:after="0" w:before="240" w:line="259" w:lineRule="auto"/>
      <w:ind/>
      <w:outlineLvl w:val="9"/>
    </w:pPr>
    <w:rPr>
      <w:rFonts w:asciiTheme="majorHAnsi" w:hAnsiTheme="majorHAnsi" w:eastAsiaTheme="majorEastAsia" w:cstheme="majorBidi"/>
      <w:color w:val="365f91" w:themeColor="accent1" w:themeShade="BF"/>
      <w:sz w:val="32"/>
      <w:szCs w:val="32"/>
      <w:lang w:val="en-US"/>
    </w:rPr>
  </w:style>
  <w:style w:type="paragraph" w:styleId="830">
    <w:name w:val="toc 1"/>
    <w:basedOn w:val="792"/>
    <w:next w:val="792"/>
    <w:uiPriority w:val="39"/>
    <w:unhideWhenUsed/>
    <w:pPr>
      <w:pBdr/>
      <w:spacing w:after="100"/>
      <w:ind/>
    </w:pPr>
  </w:style>
  <w:style w:type="paragraph" w:styleId="831">
    <w:name w:val="toc 2"/>
    <w:basedOn w:val="792"/>
    <w:next w:val="792"/>
    <w:uiPriority w:val="39"/>
    <w:unhideWhenUsed/>
    <w:pPr>
      <w:pBdr/>
      <w:spacing w:after="100"/>
      <w:ind w:left="240"/>
    </w:pPr>
  </w:style>
  <w:style w:type="paragraph" w:styleId="832">
    <w:name w:val="toc 3"/>
    <w:basedOn w:val="792"/>
    <w:next w:val="792"/>
    <w:uiPriority w:val="39"/>
    <w:unhideWhenUsed/>
    <w:pPr>
      <w:pBdr/>
      <w:spacing w:after="100"/>
      <w:ind w:left="480"/>
    </w:pPr>
  </w:style>
  <w:style w:type="paragraph" w:styleId="833">
    <w:name w:val="table of figures"/>
    <w:basedOn w:val="792"/>
    <w:next w:val="792"/>
    <w:uiPriority w:val="99"/>
    <w:unhideWhenUsed/>
    <w:pPr>
      <w:pBdr/>
      <w:spacing w:after="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yperlink" Target="ca://s?q=Dairy_processing_equipment_specifications" TargetMode="External"/><Relationship Id="rId14" Type="http://schemas.openxmlformats.org/officeDocument/2006/relationships/hyperlink" Target="ca://s?q=Fruit_and_vegetable_processing_equipment_specifications" TargetMode="External"/><Relationship Id="rId15" Type="http://schemas.openxmlformats.org/officeDocument/2006/relationships/hyperlink" Target="ca://s?q=Grain_and_pastry_processing_equipment_specifications" TargetMode="External"/><Relationship Id="rId16" Type="http://schemas.openxmlformats.org/officeDocument/2006/relationships/hyperlink" Target="ca://s?q=Meat_processing_equipment_specifications" TargetMode="External"/><Relationship Id="rId17" Type="http://schemas.openxmlformats.org/officeDocument/2006/relationships/hyperlink" Target="ca://s?q=Specialty_crop_processing_equipment_specifications" TargetMode="External"/><Relationship Id="rId18" Type="http://schemas.openxmlformats.org/officeDocument/2006/relationships/hyperlink" Target="ca://s?q=Honey_processing_equipment_specifications" TargetMode="External"/><Relationship Id="rId19" Type="http://schemas.openxmlformats.org/officeDocument/2006/relationships/hyperlink" Target="ca://s?q=Milling_and_storage_equipment_specifications" TargetMode="External"/><Relationship Id="rId20" Type="http://schemas.openxmlformats.org/officeDocument/2006/relationships/hyperlink" Target="ca://s?q=CIP_facilities_equipment_specifications" TargetMode="External"/><Relationship Id="rId21" Type="http://schemas.openxmlformats.org/officeDocument/2006/relationships/hyperlink" Target="ca://s?q=Steam_generation_equipment_specifications" TargetMode="External"/><Relationship Id="rId22" Type="http://schemas.openxmlformats.org/officeDocument/2006/relationships/hyperlink" Target="ca://s?q=Wastewater_treatment_equipment_specifications" TargetMode="Externa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comments" Target="comments.xml"/><Relationship Id="rId26" Type="http://schemas.microsoft.com/office/2011/relationships/commentsExtended" Target="commentsExtended.xml"/><Relationship Id="rId27" Type="http://schemas.microsoft.com/office/2016/09/relationships/commentsIds" Target="commentsIds.xml"/><Relationship Id="rId28" Type="http://schemas.microsoft.com/office/2018/08/relationships/commentsExtensible" Target="commentsExtensible.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13941-8F87-475D-B1AC-F6ADF4DD4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all Ernest NTAGANZWA</cp:lastModifiedBy>
  <cp:revision>5</cp:revision>
  <dcterms:created xsi:type="dcterms:W3CDTF">2026-07-02T11:52:00Z</dcterms:created>
  <dcterms:modified xsi:type="dcterms:W3CDTF">2026-07-20T12:24:19Z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574f387c-5ce9-49cd-bfea-05ec0f014499</vt:lpwstr>
  </property>
</Properties>
</file>